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170678">
        <w:trPr>
          <w:cantSplit/>
        </w:trPr>
        <w:tc>
          <w:tcPr>
            <w:tcW w:w="6911" w:type="dxa"/>
          </w:tcPr>
          <w:p w:rsidR="00A066F1" w:rsidRPr="00170678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170678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(WRC-15)</w:t>
            </w:r>
            <w:r w:rsidRPr="00170678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170678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Geneva, 2–27 November 2015</w:t>
            </w:r>
          </w:p>
        </w:tc>
        <w:tc>
          <w:tcPr>
            <w:tcW w:w="3120" w:type="dxa"/>
          </w:tcPr>
          <w:p w:rsidR="00A066F1" w:rsidRPr="00170678" w:rsidRDefault="003B2284" w:rsidP="003B2284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170678"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17067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170678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2" w:name="dhead"/>
            <w:r w:rsidRPr="00170678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170678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17067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17067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17067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17067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170678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170678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170678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170678">
              <w:rPr>
                <w:rFonts w:ascii="Verdana" w:eastAsia="SimSun" w:hAnsi="Verdana" w:cs="Traditional Arabic"/>
                <w:b/>
                <w:sz w:val="20"/>
              </w:rPr>
              <w:t>Addendum 14 to</w:t>
            </w:r>
            <w:r w:rsidRPr="00170678">
              <w:rPr>
                <w:rFonts w:ascii="Verdana" w:eastAsia="SimSun" w:hAnsi="Verdana" w:cs="Traditional Arabic"/>
                <w:b/>
                <w:sz w:val="20"/>
              </w:rPr>
              <w:br/>
              <w:t>Document 7</w:t>
            </w:r>
            <w:r w:rsidR="00A066F1" w:rsidRPr="00170678">
              <w:rPr>
                <w:rFonts w:ascii="Verdana" w:hAnsi="Verdana"/>
                <w:b/>
                <w:sz w:val="20"/>
              </w:rPr>
              <w:t>-</w:t>
            </w:r>
            <w:r w:rsidR="005E10C9" w:rsidRPr="00170678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17067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170678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120" w:type="dxa"/>
            <w:shd w:val="clear" w:color="auto" w:fill="auto"/>
          </w:tcPr>
          <w:p w:rsidR="00A066F1" w:rsidRPr="00170678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170678">
              <w:rPr>
                <w:rFonts w:ascii="Verdana" w:hAnsi="Verdana"/>
                <w:b/>
                <w:sz w:val="20"/>
              </w:rPr>
              <w:t>29 July 2015</w:t>
            </w:r>
          </w:p>
        </w:tc>
      </w:tr>
      <w:tr w:rsidR="00A066F1" w:rsidRPr="0017067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170678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20" w:type="dxa"/>
          </w:tcPr>
          <w:p w:rsidR="00A066F1" w:rsidRPr="00170678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170678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17067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17067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17067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170678" w:rsidRDefault="00884D60" w:rsidP="00E55816">
            <w:pPr>
              <w:pStyle w:val="Source"/>
            </w:pPr>
            <w:r w:rsidRPr="00170678">
              <w:t>Member States of the Inter-American Telecommunication Commission (CITEL)</w:t>
            </w:r>
          </w:p>
        </w:tc>
      </w:tr>
      <w:tr w:rsidR="00E55816" w:rsidRPr="0017067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170678" w:rsidRDefault="007D5320" w:rsidP="00E55816">
            <w:pPr>
              <w:pStyle w:val="Title1"/>
            </w:pPr>
            <w:r w:rsidRPr="00170678">
              <w:t>Proposals for the work of the conference</w:t>
            </w:r>
          </w:p>
        </w:tc>
      </w:tr>
      <w:tr w:rsidR="00E55816" w:rsidRPr="0017067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170678" w:rsidRDefault="00E55816" w:rsidP="00E55816">
            <w:pPr>
              <w:pStyle w:val="Title2"/>
            </w:pPr>
          </w:p>
        </w:tc>
      </w:tr>
      <w:tr w:rsidR="00A538A6" w:rsidRPr="0017067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170678" w:rsidRDefault="004B13CB" w:rsidP="004B13CB">
            <w:pPr>
              <w:pStyle w:val="Agendaitem"/>
              <w:rPr>
                <w:lang w:val="en-GB"/>
              </w:rPr>
            </w:pPr>
            <w:r w:rsidRPr="00170678">
              <w:rPr>
                <w:lang w:val="en-GB"/>
              </w:rPr>
              <w:t>Agenda item 1.14</w:t>
            </w:r>
          </w:p>
        </w:tc>
      </w:tr>
    </w:tbl>
    <w:bookmarkEnd w:id="7"/>
    <w:bookmarkEnd w:id="8"/>
    <w:p w:rsidR="00C51699" w:rsidRPr="00170678" w:rsidRDefault="00A579D5" w:rsidP="00717634">
      <w:pPr>
        <w:overflowPunct/>
        <w:autoSpaceDE/>
        <w:autoSpaceDN/>
        <w:adjustRightInd/>
        <w:spacing w:before="100"/>
        <w:textAlignment w:val="auto"/>
      </w:pPr>
      <w:r w:rsidRPr="00170678">
        <w:t>1.14</w:t>
      </w:r>
      <w:r w:rsidRPr="00170678">
        <w:rPr>
          <w:b/>
        </w:rPr>
        <w:tab/>
      </w:r>
      <w:r w:rsidRPr="00170678">
        <w:t xml:space="preserve">to consider the feasibility of achieving a continuous reference time-scale, whether by the modification of coordinated universal time (UTC) or some other method, and take appropriate action, in accordance with Resolution </w:t>
      </w:r>
      <w:r w:rsidRPr="00170678">
        <w:rPr>
          <w:b/>
        </w:rPr>
        <w:t>653 (WRC</w:t>
      </w:r>
      <w:r w:rsidRPr="00170678">
        <w:rPr>
          <w:b/>
        </w:rPr>
        <w:noBreakHyphen/>
        <w:t>12)</w:t>
      </w:r>
      <w:r w:rsidRPr="00170678">
        <w:t>;</w:t>
      </w:r>
    </w:p>
    <w:p w:rsidR="00F0088F" w:rsidRPr="00170678" w:rsidRDefault="00F0088F" w:rsidP="006B7652">
      <w:pPr>
        <w:pStyle w:val="Headingb"/>
        <w:rPr>
          <w:lang w:val="en-GB"/>
        </w:rPr>
      </w:pPr>
    </w:p>
    <w:p w:rsidR="006B7652" w:rsidRPr="00170678" w:rsidRDefault="006B7652" w:rsidP="006B7652">
      <w:pPr>
        <w:pStyle w:val="Headingb"/>
        <w:rPr>
          <w:lang w:val="en-GB"/>
        </w:rPr>
      </w:pPr>
      <w:r w:rsidRPr="00170678">
        <w:rPr>
          <w:lang w:val="en-GB"/>
        </w:rPr>
        <w:t>Background</w:t>
      </w:r>
    </w:p>
    <w:p w:rsidR="006B7652" w:rsidRPr="00170678" w:rsidRDefault="006B7652" w:rsidP="006B7652">
      <w:pPr>
        <w:rPr>
          <w:szCs w:val="22"/>
        </w:rPr>
      </w:pPr>
      <w:r w:rsidRPr="00170678">
        <w:rPr>
          <w:szCs w:val="22"/>
        </w:rPr>
        <w:t>Coordinated Universal Time (UTC) is the international standard time scale for practical timekeeping in the modern world.</w:t>
      </w:r>
      <w:r w:rsidR="001B64B0" w:rsidRPr="00170678">
        <w:rPr>
          <w:szCs w:val="22"/>
        </w:rPr>
        <w:t xml:space="preserve"> </w:t>
      </w:r>
      <w:r w:rsidRPr="00170678">
        <w:rPr>
          <w:szCs w:val="22"/>
        </w:rPr>
        <w:t>The basic unit of measurement is the internationally accepted Système International (SI) second, which is realized in practice by atomic clocks in national laboratories throughout the world.</w:t>
      </w:r>
      <w:r w:rsidR="001B64B0" w:rsidRPr="00170678">
        <w:rPr>
          <w:szCs w:val="22"/>
        </w:rPr>
        <w:t xml:space="preserve"> </w:t>
      </w:r>
      <w:r w:rsidRPr="00170678">
        <w:rPr>
          <w:szCs w:val="22"/>
        </w:rPr>
        <w:t>The Bureau International des Poids et Mesures uses clock information from these laboratories to coordinate the various national realizations of UTC.</w:t>
      </w:r>
      <w:r w:rsidR="001B64B0" w:rsidRPr="00170678">
        <w:rPr>
          <w:szCs w:val="22"/>
        </w:rPr>
        <w:t xml:space="preserve"> </w:t>
      </w:r>
      <w:r w:rsidRPr="00170678">
        <w:rPr>
          <w:szCs w:val="22"/>
        </w:rPr>
        <w:t>This process provides time with a stability of better than a billionth of a second per day for the international infrastructure that requires accurate timing information, such as communications, computer networks, navigation, and air traffic control.</w:t>
      </w:r>
      <w:r w:rsidR="001B64B0" w:rsidRPr="00170678">
        <w:rPr>
          <w:szCs w:val="22"/>
        </w:rPr>
        <w:t xml:space="preserve"> </w:t>
      </w:r>
      <w:r w:rsidRPr="00170678">
        <w:rPr>
          <w:szCs w:val="22"/>
        </w:rPr>
        <w:t>The Radio Regulations define UTC in No. </w:t>
      </w:r>
      <w:r w:rsidRPr="00170678">
        <w:rPr>
          <w:bCs/>
          <w:szCs w:val="22"/>
        </w:rPr>
        <w:t>1.14</w:t>
      </w:r>
      <w:r w:rsidRPr="00170678">
        <w:rPr>
          <w:szCs w:val="22"/>
        </w:rPr>
        <w:t xml:space="preserve"> through incorporation by reference of Recommendation ITU-R TF.460-6.</w:t>
      </w:r>
    </w:p>
    <w:p w:rsidR="006B7652" w:rsidRPr="00170678" w:rsidRDefault="006B7652" w:rsidP="006B7652">
      <w:pPr>
        <w:rPr>
          <w:szCs w:val="22"/>
        </w:rPr>
      </w:pPr>
      <w:r w:rsidRPr="00170678">
        <w:rPr>
          <w:szCs w:val="22"/>
        </w:rPr>
        <w:t>The International Radio Consultative Committee (CCIR) formally adopted the system for UTC in Recommendation 374 in 1963.</w:t>
      </w:r>
      <w:r w:rsidR="001B64B0" w:rsidRPr="00170678">
        <w:rPr>
          <w:szCs w:val="22"/>
        </w:rPr>
        <w:t xml:space="preserve"> </w:t>
      </w:r>
      <w:r w:rsidRPr="00170678">
        <w:rPr>
          <w:szCs w:val="22"/>
        </w:rPr>
        <w:t xml:space="preserve">The CCIR introduced </w:t>
      </w:r>
      <w:r w:rsidRPr="00170678">
        <w:rPr>
          <w:rFonts w:eastAsia="MS Mincho"/>
          <w:szCs w:val="22"/>
          <w:lang w:bidi="th-TH"/>
        </w:rPr>
        <w:t xml:space="preserve">leap seconds into the definition of UTC </w:t>
      </w:r>
      <w:r w:rsidRPr="00170678">
        <w:rPr>
          <w:szCs w:val="22"/>
        </w:rPr>
        <w:t>beginning on January 1, 1972.</w:t>
      </w:r>
      <w:r w:rsidR="001B64B0" w:rsidRPr="00170678">
        <w:rPr>
          <w:szCs w:val="22"/>
        </w:rPr>
        <w:t xml:space="preserve"> </w:t>
      </w:r>
      <w:r w:rsidRPr="00170678">
        <w:rPr>
          <w:szCs w:val="22"/>
        </w:rPr>
        <w:t>In its Recommendation 460, the CCIR stated that UTC is a timescale that uses the SI second.</w:t>
      </w:r>
      <w:r w:rsidR="001B64B0" w:rsidRPr="00170678">
        <w:rPr>
          <w:szCs w:val="22"/>
        </w:rPr>
        <w:t xml:space="preserve"> </w:t>
      </w:r>
      <w:r w:rsidRPr="00170678">
        <w:rPr>
          <w:szCs w:val="22"/>
        </w:rPr>
        <w:t>The CCIR also stated the accounting of those seconds will be adjusted, when necessary, in 1 second steps to compensate for the slowing of the Earth’s rotation rate.</w:t>
      </w:r>
      <w:r w:rsidR="001B64B0" w:rsidRPr="00170678">
        <w:rPr>
          <w:rFonts w:eastAsia="MS Mincho"/>
          <w:szCs w:val="22"/>
          <w:lang w:bidi="th-TH"/>
        </w:rPr>
        <w:t xml:space="preserve"> </w:t>
      </w:r>
      <w:r w:rsidRPr="00170678">
        <w:rPr>
          <w:rFonts w:eastAsia="MS Mincho"/>
          <w:szCs w:val="22"/>
          <w:lang w:bidi="th-TH"/>
        </w:rPr>
        <w:t xml:space="preserve">This version of the UTC system remains in use today, </w:t>
      </w:r>
      <w:r w:rsidRPr="00170678">
        <w:rPr>
          <w:szCs w:val="22"/>
        </w:rPr>
        <w:t>defined by ITU-R (formerly CCIR) Recommendation ITU-R TF.460-6.</w:t>
      </w:r>
      <w:r w:rsidRPr="00170678">
        <w:rPr>
          <w:rFonts w:eastAsia="MS Mincho"/>
          <w:szCs w:val="22"/>
          <w:lang w:bidi="th-TH"/>
        </w:rPr>
        <w:t xml:space="preserve"> Since their introduction, </w:t>
      </w:r>
      <w:r w:rsidRPr="00170678">
        <w:rPr>
          <w:szCs w:val="22"/>
        </w:rPr>
        <w:t>leap seconds have been inserted into UTC at irregular intervals because the slowing of the Earth’s rotation rate is not uniform.</w:t>
      </w:r>
      <w:r w:rsidR="000776E2" w:rsidRPr="00170678">
        <w:rPr>
          <w:szCs w:val="22"/>
        </w:rPr>
        <w:t xml:space="preserve"> </w:t>
      </w:r>
    </w:p>
    <w:p w:rsidR="006B7652" w:rsidRPr="00170678" w:rsidRDefault="006B7652" w:rsidP="006B7652">
      <w:pPr>
        <w:rPr>
          <w:rFonts w:eastAsia="MS Mincho"/>
          <w:szCs w:val="22"/>
          <w:lang w:bidi="th-TH"/>
        </w:rPr>
      </w:pPr>
      <w:r w:rsidRPr="00170678">
        <w:rPr>
          <w:rFonts w:eastAsia="MS Mincho"/>
          <w:szCs w:val="22"/>
          <w:lang w:bidi="th-TH"/>
        </w:rPr>
        <w:t>Much of our international infrastructure relies on steady, accurate timing.</w:t>
      </w:r>
      <w:r w:rsidR="001B64B0" w:rsidRPr="00170678">
        <w:rPr>
          <w:rFonts w:eastAsia="MS Mincho"/>
          <w:szCs w:val="22"/>
          <w:lang w:bidi="th-TH"/>
        </w:rPr>
        <w:t xml:space="preserve"> </w:t>
      </w:r>
      <w:r w:rsidRPr="00170678">
        <w:rPr>
          <w:rFonts w:eastAsia="MS Mincho"/>
          <w:szCs w:val="22"/>
          <w:lang w:bidi="th-TH"/>
        </w:rPr>
        <w:t xml:space="preserve">Many of these systems view leap seconds as disruptions of the count in the time stream. Resolution </w:t>
      </w:r>
      <w:r w:rsidRPr="00170678">
        <w:rPr>
          <w:bCs/>
          <w:szCs w:val="22"/>
        </w:rPr>
        <w:t>653 (WRC-12),</w:t>
      </w:r>
      <w:r w:rsidRPr="00170678">
        <w:rPr>
          <w:szCs w:val="22"/>
        </w:rPr>
        <w:t xml:space="preserve"> considering e, states “</w:t>
      </w:r>
      <w:r w:rsidRPr="00170678">
        <w:rPr>
          <w:rFonts w:eastAsia="MS Mincho"/>
          <w:szCs w:val="22"/>
          <w:lang w:bidi="th-TH"/>
        </w:rPr>
        <w:t>that the occasional insertion of leap seconds into UTC may create difficulties for systems and applications that depend on accurate timing.”</w:t>
      </w:r>
      <w:r w:rsidR="001B64B0" w:rsidRPr="00170678">
        <w:rPr>
          <w:rFonts w:eastAsia="MS Mincho"/>
          <w:szCs w:val="22"/>
          <w:lang w:bidi="th-TH"/>
        </w:rPr>
        <w:t xml:space="preserve"> </w:t>
      </w:r>
      <w:r w:rsidRPr="00170678">
        <w:rPr>
          <w:rFonts w:eastAsia="MS Mincho"/>
          <w:szCs w:val="22"/>
          <w:lang w:bidi="th-TH"/>
        </w:rPr>
        <w:t xml:space="preserve">Given that our reliance on many of these systems and applications is both critical and growing with time, </w:t>
      </w:r>
      <w:r w:rsidRPr="00170678">
        <w:rPr>
          <w:szCs w:val="22"/>
        </w:rPr>
        <w:t xml:space="preserve">WRC-12 adopted </w:t>
      </w:r>
      <w:r w:rsidRPr="00170678">
        <w:rPr>
          <w:szCs w:val="22"/>
        </w:rPr>
        <w:lastRenderedPageBreak/>
        <w:t>agenda</w:t>
      </w:r>
      <w:r w:rsidR="00E63832" w:rsidRPr="00170678">
        <w:rPr>
          <w:szCs w:val="22"/>
        </w:rPr>
        <w:t> </w:t>
      </w:r>
      <w:r w:rsidRPr="00170678">
        <w:rPr>
          <w:szCs w:val="22"/>
        </w:rPr>
        <w:t>item 1.14 in order to consider the feasibility of achieving a continuous reference time-scale, whether by the modification of UTC or some other method.</w:t>
      </w:r>
      <w:r w:rsidR="000776E2" w:rsidRPr="00170678">
        <w:rPr>
          <w:szCs w:val="22"/>
        </w:rPr>
        <w:t xml:space="preserve"> </w:t>
      </w:r>
    </w:p>
    <w:p w:rsidR="006B7652" w:rsidRPr="00170678" w:rsidRDefault="006B7652" w:rsidP="006B7652">
      <w:pPr>
        <w:rPr>
          <w:szCs w:val="22"/>
        </w:rPr>
      </w:pPr>
      <w:r w:rsidRPr="00170678">
        <w:rPr>
          <w:szCs w:val="22"/>
        </w:rPr>
        <w:t xml:space="preserve">Given the results of studies, this proposal supports the adoption of UTC without leap seconds as the most feasible means for achieving a continuous reference time-scale for dissemination by radiocommunication systems. </w:t>
      </w:r>
      <w:r w:rsidRPr="00170678">
        <w:rPr>
          <w:bCs/>
          <w:szCs w:val="22"/>
        </w:rPr>
        <w:t xml:space="preserve">To ensure sufficient time for legacy systems to update hardware and/or software to accommodate the elimination of leap seconds from UTC, a period of five years from the date of entry into force of the Final Acts of WRC-15 will be the </w:t>
      </w:r>
      <w:r w:rsidRPr="00170678">
        <w:rPr>
          <w:szCs w:val="22"/>
        </w:rPr>
        <w:t xml:space="preserve">effective date of application of revisions to the Radio Regulations resulting from Resolution </w:t>
      </w:r>
      <w:r w:rsidRPr="00170678">
        <w:rPr>
          <w:bCs/>
          <w:szCs w:val="22"/>
        </w:rPr>
        <w:t>653 (WRC-12).</w:t>
      </w:r>
    </w:p>
    <w:p w:rsidR="00187BD9" w:rsidRPr="00170678" w:rsidRDefault="006B7652" w:rsidP="006B7652">
      <w:pPr>
        <w:pStyle w:val="Headingb"/>
        <w:rPr>
          <w:lang w:val="en-GB"/>
        </w:rPr>
      </w:pPr>
      <w:r w:rsidRPr="00170678">
        <w:rPr>
          <w:lang w:val="en-GB"/>
        </w:rPr>
        <w:t>Proposals</w:t>
      </w:r>
    </w:p>
    <w:p w:rsidR="009B463A" w:rsidRPr="00170678" w:rsidRDefault="00A579D5" w:rsidP="009B463A">
      <w:pPr>
        <w:pStyle w:val="ArtNo"/>
      </w:pPr>
      <w:bookmarkStart w:id="9" w:name="_Toc327956572"/>
      <w:r w:rsidRPr="00170678">
        <w:t xml:space="preserve">ARTICLE </w:t>
      </w:r>
      <w:r w:rsidRPr="00170678">
        <w:rPr>
          <w:rStyle w:val="href"/>
          <w:rFonts w:eastAsiaTheme="majorEastAsia"/>
          <w:color w:val="000000"/>
        </w:rPr>
        <w:t>1</w:t>
      </w:r>
      <w:bookmarkEnd w:id="9"/>
    </w:p>
    <w:p w:rsidR="009B463A" w:rsidRPr="00170678" w:rsidRDefault="00A579D5" w:rsidP="009B463A">
      <w:pPr>
        <w:pStyle w:val="Arttitle"/>
      </w:pPr>
      <w:bookmarkStart w:id="10" w:name="_Toc327956573"/>
      <w:r w:rsidRPr="00170678">
        <w:t>Terms and definitions</w:t>
      </w:r>
      <w:bookmarkEnd w:id="10"/>
    </w:p>
    <w:p w:rsidR="009B463A" w:rsidRPr="00170678" w:rsidRDefault="00A579D5" w:rsidP="009B463A">
      <w:pPr>
        <w:pStyle w:val="Section1"/>
      </w:pPr>
      <w:r w:rsidRPr="00170678">
        <w:t>Section I – General terms</w:t>
      </w:r>
    </w:p>
    <w:p w:rsidR="00585D00" w:rsidRPr="00170678" w:rsidRDefault="00A579D5">
      <w:pPr>
        <w:pStyle w:val="Proposal"/>
      </w:pPr>
      <w:r w:rsidRPr="00170678">
        <w:t>MOD</w:t>
      </w:r>
      <w:r w:rsidRPr="00170678">
        <w:tab/>
        <w:t>IAP/7A14/1</w:t>
      </w:r>
    </w:p>
    <w:p w:rsidR="00867B6E" w:rsidRPr="00170678" w:rsidDel="00F87688" w:rsidRDefault="00867B6E" w:rsidP="00867B6E">
      <w:pPr>
        <w:rPr>
          <w:del w:id="11" w:author="Feldhake, Glenn S. (GRC-MSC0)" w:date="2015-07-17T12:43:00Z"/>
          <w:szCs w:val="24"/>
        </w:rPr>
      </w:pPr>
      <w:r w:rsidRPr="00170678">
        <w:rPr>
          <w:rStyle w:val="Artdef"/>
          <w:szCs w:val="24"/>
        </w:rPr>
        <w:t>1.14</w:t>
      </w:r>
      <w:r w:rsidRPr="00170678">
        <w:rPr>
          <w:szCs w:val="24"/>
        </w:rPr>
        <w:tab/>
      </w:r>
      <w:r w:rsidRPr="00170678">
        <w:rPr>
          <w:szCs w:val="24"/>
        </w:rPr>
        <w:tab/>
      </w:r>
      <w:r w:rsidRPr="00170678">
        <w:rPr>
          <w:i/>
          <w:szCs w:val="24"/>
        </w:rPr>
        <w:t>Coordinated Universal Time (UTC):</w:t>
      </w:r>
      <w:r w:rsidR="001B64B0" w:rsidRPr="00170678">
        <w:rPr>
          <w:i/>
          <w:szCs w:val="24"/>
        </w:rPr>
        <w:t xml:space="preserve"> </w:t>
      </w:r>
      <w:r w:rsidRPr="00170678">
        <w:rPr>
          <w:szCs w:val="24"/>
        </w:rPr>
        <w:t>Time scale, based on the second (SI)</w:t>
      </w:r>
      <w:r w:rsidRPr="00170678">
        <w:rPr>
          <w:szCs w:val="24"/>
        </w:rPr>
        <w:t xml:space="preserve"> </w:t>
      </w:r>
      <w:ins w:id="12" w:author="Feldhake, Glenn S. (GRC-MSC0)" w:date="2015-07-17T12:43:00Z">
        <w:r w:rsidRPr="00170678">
          <w:rPr>
            <w:szCs w:val="24"/>
          </w:rPr>
          <w:t>and maintained by the Bureau International de Poids et Mesures (BIPM), that forms the basis for the coordinated dissemination of standard frequencies and time signals.</w:t>
        </w:r>
      </w:ins>
      <w:del w:id="13" w:author="Feldhake, Glenn S. (GRC-MSC0)" w:date="2015-07-17T12:43:00Z">
        <w:r w:rsidRPr="00170678" w:rsidDel="00F87688">
          <w:rPr>
            <w:szCs w:val="24"/>
          </w:rPr>
          <w:delText>, as defined in Recommendation ITU</w:delText>
        </w:r>
        <w:r w:rsidRPr="00170678" w:rsidDel="00F87688">
          <w:rPr>
            <w:szCs w:val="24"/>
          </w:rPr>
          <w:noBreakHyphen/>
          <w:delText>R TF.460-6.     (WRC-03)</w:delText>
        </w:r>
      </w:del>
    </w:p>
    <w:p w:rsidR="009B463A" w:rsidRPr="00170678" w:rsidRDefault="00867B6E" w:rsidP="00867B6E">
      <w:del w:id="14" w:author="Feldhake, Glenn S. (GRC-MSC0)" w:date="2015-07-17T12:43:00Z">
        <w:r w:rsidRPr="00170678" w:rsidDel="00F87688">
          <w:rPr>
            <w:szCs w:val="24"/>
          </w:rPr>
          <w:tab/>
        </w:r>
        <w:r w:rsidRPr="00170678" w:rsidDel="00F87688">
          <w:rPr>
            <w:szCs w:val="24"/>
          </w:rPr>
          <w:tab/>
          <w:delText>For most practical purposes associated with the Radio Regulations, UTC is equivalent to mean solar time at the prime meridian (0° longitude), formerly expressed in GMT.</w:delText>
        </w:r>
      </w:del>
    </w:p>
    <w:p w:rsidR="00585D00" w:rsidRPr="00170678" w:rsidRDefault="00A579D5">
      <w:pPr>
        <w:pStyle w:val="Reasons"/>
      </w:pPr>
      <w:r w:rsidRPr="00170678">
        <w:rPr>
          <w:b/>
        </w:rPr>
        <w:t>Reasons:</w:t>
      </w:r>
      <w:r w:rsidRPr="00170678">
        <w:tab/>
      </w:r>
      <w:r w:rsidR="00867B6E" w:rsidRPr="00170678">
        <w:t>The modification removes the incorporation by reference of Recommendation ITU-R TF.460-6, which defines the use of leap seconds in UTC.</w:t>
      </w:r>
      <w:r w:rsidR="001B64B0" w:rsidRPr="00170678">
        <w:t xml:space="preserve"> </w:t>
      </w:r>
      <w:r w:rsidR="00867B6E" w:rsidRPr="00170678">
        <w:t>The modification also adds a reference to the international organization responsible for the maintenance of the UTC time scale.</w:t>
      </w:r>
      <w:r w:rsidR="001B64B0" w:rsidRPr="00170678">
        <w:t xml:space="preserve"> </w:t>
      </w:r>
      <w:r w:rsidR="00867B6E" w:rsidRPr="00170678">
        <w:t>Finally, because UTC will no longer be tied to Earth’s rotation, the modification removes the equivalence between UTC and the mean solar time at the prime meridian.</w:t>
      </w:r>
    </w:p>
    <w:p w:rsidR="009B463A" w:rsidRPr="00170678" w:rsidRDefault="00A579D5" w:rsidP="009B463A">
      <w:pPr>
        <w:pStyle w:val="ArtNo"/>
      </w:pPr>
      <w:bookmarkStart w:id="15" w:name="_Toc327956574"/>
      <w:r w:rsidRPr="00170678">
        <w:t xml:space="preserve">ARTICLE </w:t>
      </w:r>
      <w:r w:rsidRPr="00170678">
        <w:rPr>
          <w:rStyle w:val="href"/>
          <w:rFonts w:eastAsiaTheme="majorEastAsia"/>
          <w:color w:val="000000"/>
        </w:rPr>
        <w:t>2</w:t>
      </w:r>
      <w:bookmarkEnd w:id="15"/>
    </w:p>
    <w:p w:rsidR="009B463A" w:rsidRPr="00170678" w:rsidRDefault="00A579D5" w:rsidP="009B463A">
      <w:pPr>
        <w:pStyle w:val="Arttitle"/>
      </w:pPr>
      <w:bookmarkStart w:id="16" w:name="_Toc327956575"/>
      <w:r w:rsidRPr="00170678">
        <w:t>Nomenclature</w:t>
      </w:r>
      <w:bookmarkEnd w:id="16"/>
    </w:p>
    <w:p w:rsidR="009B463A" w:rsidRPr="00170678" w:rsidRDefault="00A579D5" w:rsidP="009B463A">
      <w:pPr>
        <w:pStyle w:val="Section1"/>
      </w:pPr>
      <w:r w:rsidRPr="00170678">
        <w:t>Section II – Dates and times</w:t>
      </w:r>
    </w:p>
    <w:p w:rsidR="00585D00" w:rsidRPr="00170678" w:rsidRDefault="00A579D5">
      <w:pPr>
        <w:pStyle w:val="Proposal"/>
      </w:pPr>
      <w:r w:rsidRPr="00170678">
        <w:t>MOD</w:t>
      </w:r>
      <w:r w:rsidRPr="00170678">
        <w:tab/>
        <w:t>IAP/7A14/2</w:t>
      </w:r>
    </w:p>
    <w:p w:rsidR="007367FE" w:rsidRPr="00170678" w:rsidRDefault="007367FE" w:rsidP="007367FE">
      <w:pPr>
        <w:rPr>
          <w:szCs w:val="24"/>
        </w:rPr>
      </w:pPr>
      <w:r w:rsidRPr="00170678">
        <w:rPr>
          <w:rStyle w:val="Artdef"/>
        </w:rPr>
        <w:t>2.5</w:t>
      </w:r>
      <w:r w:rsidRPr="00170678">
        <w:rPr>
          <w:rStyle w:val="Artdef"/>
        </w:rPr>
        <w:tab/>
      </w:r>
      <w:r w:rsidRPr="00170678">
        <w:rPr>
          <w:rStyle w:val="Artdef"/>
        </w:rPr>
        <w:tab/>
      </w:r>
      <w:r w:rsidRPr="00170678">
        <w:t>Whenever a date is used in connection with Coordinated Universal Time (UTC), this date shall be that of the prime meridian</w:t>
      </w:r>
      <w:del w:id="17" w:author="laptopuser" w:date="2015-08-18T09:55:00Z">
        <w:r w:rsidRPr="00170678" w:rsidDel="00E44B75">
          <w:delText xml:space="preserve"> at the appropriate time, the prime meridian</w:delText>
        </w:r>
      </w:del>
      <w:ins w:id="18" w:author="laptopuser" w:date="2015-08-18T09:55:00Z">
        <w:r w:rsidRPr="00170678">
          <w:t>,</w:t>
        </w:r>
      </w:ins>
      <w:r w:rsidR="00170678" w:rsidRPr="00170678">
        <w:t xml:space="preserve"> </w:t>
      </w:r>
      <w:r w:rsidRPr="00170678">
        <w:t>corresponding to zero degrees geographical lon</w:t>
      </w:r>
      <w:r w:rsidRPr="00170678">
        <w:rPr>
          <w:szCs w:val="24"/>
        </w:rPr>
        <w:t>gitude.</w:t>
      </w:r>
    </w:p>
    <w:p w:rsidR="007367FE" w:rsidRPr="00170678" w:rsidRDefault="00A579D5" w:rsidP="007367FE">
      <w:pPr>
        <w:pStyle w:val="Reasons"/>
        <w:rPr>
          <w:szCs w:val="24"/>
        </w:rPr>
      </w:pPr>
      <w:r w:rsidRPr="00170678">
        <w:rPr>
          <w:b/>
        </w:rPr>
        <w:t>Reasons:</w:t>
      </w:r>
      <w:r w:rsidRPr="00170678">
        <w:tab/>
      </w:r>
      <w:r w:rsidR="007367FE" w:rsidRPr="00170678">
        <w:rPr>
          <w:szCs w:val="24"/>
        </w:rPr>
        <w:t>Consequential change resulting from removing the equivalence between UTC and the mean solar time at the prime meridian in the definition of UTC.</w:t>
      </w:r>
    </w:p>
    <w:p w:rsidR="00585D00" w:rsidRPr="00170678" w:rsidRDefault="00A579D5" w:rsidP="007367FE">
      <w:pPr>
        <w:pStyle w:val="Proposal"/>
      </w:pPr>
      <w:r w:rsidRPr="00170678">
        <w:lastRenderedPageBreak/>
        <w:t>MOD</w:t>
      </w:r>
      <w:r w:rsidRPr="00170678">
        <w:tab/>
        <w:t>IAP/7A14/3</w:t>
      </w:r>
    </w:p>
    <w:p w:rsidR="009B463A" w:rsidRPr="00170678" w:rsidRDefault="00A579D5" w:rsidP="009B463A">
      <w:pPr>
        <w:pStyle w:val="ChapNo"/>
      </w:pPr>
      <w:bookmarkStart w:id="19" w:name="_Toc327956705"/>
      <w:r w:rsidRPr="00170678">
        <w:t xml:space="preserve">CHAPTER </w:t>
      </w:r>
      <w:r w:rsidRPr="00170678">
        <w:rPr>
          <w:rStyle w:val="href"/>
          <w:color w:val="000000"/>
        </w:rPr>
        <w:t>X</w:t>
      </w:r>
      <w:bookmarkEnd w:id="19"/>
    </w:p>
    <w:p w:rsidR="009B463A" w:rsidRPr="00170678" w:rsidRDefault="00A579D5">
      <w:pPr>
        <w:pStyle w:val="Chaptitle"/>
      </w:pPr>
      <w:bookmarkStart w:id="20" w:name="_Toc327956706"/>
      <w:r w:rsidRPr="00170678">
        <w:t>Provisions for entry into force of the Radio Regulations</w:t>
      </w:r>
      <w:r w:rsidRPr="00170678">
        <w:rPr>
          <w:b w:val="0"/>
          <w:bCs/>
          <w:sz w:val="16"/>
          <w:szCs w:val="16"/>
        </w:rPr>
        <w:t>    (WRC</w:t>
      </w:r>
      <w:r w:rsidRPr="00170678">
        <w:rPr>
          <w:b w:val="0"/>
          <w:bCs/>
          <w:sz w:val="16"/>
          <w:szCs w:val="16"/>
        </w:rPr>
        <w:noBreakHyphen/>
      </w:r>
      <w:del w:id="21" w:author="Bonnici, Adrienne" w:date="2015-09-29T16:29:00Z">
        <w:r w:rsidRPr="00170678" w:rsidDel="00C07473">
          <w:rPr>
            <w:b w:val="0"/>
            <w:bCs/>
            <w:sz w:val="16"/>
            <w:szCs w:val="16"/>
          </w:rPr>
          <w:delText>12</w:delText>
        </w:r>
      </w:del>
      <w:ins w:id="22" w:author="Bonnici, Adrienne" w:date="2015-09-29T16:29:00Z">
        <w:r w:rsidR="00C07473" w:rsidRPr="00170678">
          <w:rPr>
            <w:b w:val="0"/>
            <w:bCs/>
            <w:sz w:val="16"/>
            <w:szCs w:val="16"/>
          </w:rPr>
          <w:t>15</w:t>
        </w:r>
      </w:ins>
      <w:r w:rsidRPr="00170678">
        <w:rPr>
          <w:b w:val="0"/>
          <w:bCs/>
          <w:sz w:val="16"/>
          <w:szCs w:val="16"/>
        </w:rPr>
        <w:t>)</w:t>
      </w:r>
      <w:bookmarkEnd w:id="20"/>
    </w:p>
    <w:p w:rsidR="00585D00" w:rsidRPr="00170678" w:rsidRDefault="00A579D5" w:rsidP="00C07473">
      <w:pPr>
        <w:pStyle w:val="Reasons"/>
        <w:tabs>
          <w:tab w:val="clear" w:pos="1588"/>
          <w:tab w:val="clear" w:pos="1985"/>
          <w:tab w:val="left" w:pos="1871"/>
        </w:tabs>
      </w:pPr>
      <w:r w:rsidRPr="00170678">
        <w:rPr>
          <w:b/>
        </w:rPr>
        <w:t>Reasons:</w:t>
      </w:r>
      <w:r w:rsidRPr="00170678">
        <w:tab/>
      </w:r>
      <w:r w:rsidR="00C07473" w:rsidRPr="00170678">
        <w:t>To update the WRC where provisions for entry into force will be recorded for the final acts of the conference.</w:t>
      </w:r>
    </w:p>
    <w:p w:rsidR="00585D00" w:rsidRPr="00170678" w:rsidRDefault="00A579D5">
      <w:pPr>
        <w:pStyle w:val="Proposal"/>
      </w:pPr>
      <w:r w:rsidRPr="00170678">
        <w:t>MOD</w:t>
      </w:r>
      <w:r w:rsidRPr="00170678">
        <w:tab/>
        <w:t>IAP/7A14/4</w:t>
      </w:r>
    </w:p>
    <w:p w:rsidR="009B463A" w:rsidRPr="00170678" w:rsidRDefault="00A579D5" w:rsidP="009B463A">
      <w:pPr>
        <w:pStyle w:val="ArtNo"/>
      </w:pPr>
      <w:r w:rsidRPr="00170678">
        <w:t>ARTICLE 59</w:t>
      </w:r>
    </w:p>
    <w:p w:rsidR="009B463A" w:rsidRPr="00170678" w:rsidRDefault="00A579D5">
      <w:pPr>
        <w:pStyle w:val="Arttitle"/>
      </w:pPr>
      <w:bookmarkStart w:id="23" w:name="_Toc327956708"/>
      <w:r w:rsidRPr="00170678">
        <w:t>Entry into force and provisional application</w:t>
      </w:r>
      <w:r w:rsidRPr="00170678">
        <w:br/>
        <w:t>of the Radio Regulations</w:t>
      </w:r>
      <w:r w:rsidRPr="00170678">
        <w:rPr>
          <w:b w:val="0"/>
          <w:bCs/>
          <w:sz w:val="16"/>
          <w:szCs w:val="16"/>
        </w:rPr>
        <w:t>    (WRC</w:t>
      </w:r>
      <w:r w:rsidRPr="00170678">
        <w:rPr>
          <w:b w:val="0"/>
          <w:bCs/>
          <w:sz w:val="16"/>
          <w:szCs w:val="16"/>
        </w:rPr>
        <w:noBreakHyphen/>
      </w:r>
      <w:del w:id="24" w:author="Bonnici, Adrienne" w:date="2015-09-29T16:29:00Z">
        <w:r w:rsidRPr="00170678" w:rsidDel="00EC5E90">
          <w:rPr>
            <w:b w:val="0"/>
            <w:bCs/>
            <w:sz w:val="16"/>
            <w:szCs w:val="16"/>
          </w:rPr>
          <w:delText>12</w:delText>
        </w:r>
      </w:del>
      <w:ins w:id="25" w:author="Bonnici, Adrienne" w:date="2015-09-29T16:29:00Z">
        <w:r w:rsidR="00EC5E90" w:rsidRPr="00170678">
          <w:rPr>
            <w:b w:val="0"/>
            <w:bCs/>
            <w:sz w:val="16"/>
            <w:szCs w:val="16"/>
          </w:rPr>
          <w:t>15</w:t>
        </w:r>
      </w:ins>
      <w:r w:rsidRPr="00170678">
        <w:rPr>
          <w:b w:val="0"/>
          <w:bCs/>
          <w:sz w:val="16"/>
          <w:szCs w:val="16"/>
        </w:rPr>
        <w:t>)</w:t>
      </w:r>
      <w:bookmarkEnd w:id="23"/>
    </w:p>
    <w:p w:rsidR="00585D00" w:rsidRPr="00170678" w:rsidRDefault="00A579D5" w:rsidP="00EC5E90">
      <w:pPr>
        <w:pStyle w:val="Reasons"/>
        <w:tabs>
          <w:tab w:val="clear" w:pos="1588"/>
          <w:tab w:val="clear" w:pos="1985"/>
          <w:tab w:val="left" w:pos="1871"/>
        </w:tabs>
      </w:pPr>
      <w:r w:rsidRPr="00170678">
        <w:rPr>
          <w:b/>
        </w:rPr>
        <w:t>Reasons:</w:t>
      </w:r>
      <w:r w:rsidRPr="00170678">
        <w:tab/>
      </w:r>
      <w:r w:rsidR="00EC5E90" w:rsidRPr="00170678">
        <w:t>To update the WRC in the Article where provisions for entry into force will be recorded for the final acts of the conference.</w:t>
      </w:r>
    </w:p>
    <w:p w:rsidR="00585D00" w:rsidRPr="00170678" w:rsidRDefault="00A579D5">
      <w:pPr>
        <w:pStyle w:val="Proposal"/>
      </w:pPr>
      <w:r w:rsidRPr="00170678">
        <w:t>MOD</w:t>
      </w:r>
      <w:r w:rsidRPr="00170678">
        <w:tab/>
        <w:t>IAP/7A14/5</w:t>
      </w:r>
    </w:p>
    <w:p w:rsidR="009B463A" w:rsidRPr="00170678" w:rsidRDefault="00EC5E90" w:rsidP="009B463A">
      <w:pPr>
        <w:pStyle w:val="Normalaftertitle"/>
      </w:pPr>
      <w:r w:rsidRPr="00170678">
        <w:rPr>
          <w:rStyle w:val="Artdef"/>
        </w:rPr>
        <w:t>59.1</w:t>
      </w:r>
      <w:r w:rsidRPr="00170678">
        <w:rPr>
          <w:rStyle w:val="Artdef"/>
        </w:rPr>
        <w:tab/>
      </w:r>
      <w:r w:rsidRPr="00170678">
        <w:rPr>
          <w:rStyle w:val="Artdef"/>
        </w:rPr>
        <w:tab/>
      </w:r>
      <w:r w:rsidRPr="00170678">
        <w:t>These Regulations, which complement the provisions of the Constitution and Convention of the International Telecommunication Union, and as revised and contained in the Final Acts of WRC</w:t>
      </w:r>
      <w:r w:rsidRPr="00170678">
        <w:noBreakHyphen/>
        <w:t>95, WRC</w:t>
      </w:r>
      <w:r w:rsidRPr="00170678">
        <w:noBreakHyphen/>
        <w:t>97, WRC</w:t>
      </w:r>
      <w:r w:rsidRPr="00170678">
        <w:noBreakHyphen/>
        <w:t>2000, WRC</w:t>
      </w:r>
      <w:r w:rsidRPr="00170678">
        <w:noBreakHyphen/>
        <w:t>03, WRC</w:t>
      </w:r>
      <w:r w:rsidRPr="00170678">
        <w:noBreakHyphen/>
        <w:t>07</w:t>
      </w:r>
      <w:del w:id="26" w:author="Feldhake, Glenn S. (GRC-MSC0)" w:date="2015-07-17T13:37:00Z">
        <w:r w:rsidRPr="00170678" w:rsidDel="000C0AD2">
          <w:delText xml:space="preserve"> and</w:delText>
        </w:r>
      </w:del>
      <w:ins w:id="27" w:author="Feldhake, Glenn S. (GRC-MSC0)" w:date="2015-07-17T13:37:00Z">
        <w:r w:rsidRPr="00170678">
          <w:t>,</w:t>
        </w:r>
      </w:ins>
      <w:r w:rsidRPr="00170678">
        <w:t xml:space="preserve"> WRC</w:t>
      </w:r>
      <w:r w:rsidRPr="00170678">
        <w:noBreakHyphen/>
        <w:t>12,</w:t>
      </w:r>
      <w:ins w:id="28" w:author="Feldhake, Glenn S. (GRC-MSC0)" w:date="2015-07-17T13:37:00Z">
        <w:r w:rsidRPr="00170678">
          <w:t xml:space="preserve"> and WRC-15</w:t>
        </w:r>
      </w:ins>
      <w:r w:rsidRPr="00170678">
        <w:t xml:space="preserve"> shall be applied, pursuant to Article 54 of the Constitution, on the following basis.</w:t>
      </w:r>
      <w:r w:rsidRPr="00170678">
        <w:rPr>
          <w:sz w:val="16"/>
          <w:szCs w:val="16"/>
        </w:rPr>
        <w:t>    (WRC</w:t>
      </w:r>
      <w:r w:rsidRPr="00170678">
        <w:rPr>
          <w:sz w:val="16"/>
          <w:szCs w:val="16"/>
        </w:rPr>
        <w:noBreakHyphen/>
      </w:r>
      <w:del w:id="29" w:author="Feldhake, Glenn S. (GRC-MSC0)" w:date="2015-07-17T13:37:00Z">
        <w:r w:rsidRPr="00170678" w:rsidDel="000C0AD2">
          <w:rPr>
            <w:sz w:val="16"/>
            <w:szCs w:val="16"/>
          </w:rPr>
          <w:delText>12</w:delText>
        </w:r>
      </w:del>
      <w:ins w:id="30" w:author="Feldhake, Glenn S. (GRC-MSC0)" w:date="2015-07-17T13:37:00Z">
        <w:r w:rsidRPr="00170678">
          <w:rPr>
            <w:sz w:val="16"/>
            <w:szCs w:val="16"/>
          </w:rPr>
          <w:t>15</w:t>
        </w:r>
      </w:ins>
      <w:r w:rsidRPr="00170678">
        <w:rPr>
          <w:sz w:val="16"/>
          <w:szCs w:val="16"/>
        </w:rPr>
        <w:t>)</w:t>
      </w:r>
    </w:p>
    <w:p w:rsidR="00585D00" w:rsidRPr="00170678" w:rsidRDefault="00A579D5">
      <w:pPr>
        <w:pStyle w:val="Reasons"/>
      </w:pPr>
      <w:r w:rsidRPr="00170678">
        <w:rPr>
          <w:b/>
        </w:rPr>
        <w:t>Reasons:</w:t>
      </w:r>
      <w:r w:rsidRPr="00170678">
        <w:tab/>
      </w:r>
      <w:r w:rsidR="00EC5E90" w:rsidRPr="00170678">
        <w:t>To update the WRC where provisions for entry into force will be recorded for the final acts of the conference.</w:t>
      </w:r>
    </w:p>
    <w:p w:rsidR="00585D00" w:rsidRPr="00170678" w:rsidRDefault="00A579D5">
      <w:pPr>
        <w:pStyle w:val="Proposal"/>
      </w:pPr>
      <w:r w:rsidRPr="00170678">
        <w:t>ADD</w:t>
      </w:r>
      <w:r w:rsidRPr="00170678">
        <w:tab/>
        <w:t>IAP/7A14/6</w:t>
      </w:r>
    </w:p>
    <w:p w:rsidR="00EC5E90" w:rsidRPr="00170678" w:rsidRDefault="00A579D5" w:rsidP="00EC5E90">
      <w:pPr>
        <w:rPr>
          <w:sz w:val="16"/>
          <w:szCs w:val="16"/>
        </w:rPr>
      </w:pPr>
      <w:r w:rsidRPr="00170678">
        <w:rPr>
          <w:rStyle w:val="Artdef"/>
        </w:rPr>
        <w:t>59.A114</w:t>
      </w:r>
      <w:r w:rsidRPr="00170678">
        <w:tab/>
      </w:r>
      <w:r w:rsidR="00EC5E90" w:rsidRPr="00170678">
        <w:t>The other provisions of these Regulations, as revised by WRC 15, shall enter into force on 1 January 2017, with the following exceptions:    </w:t>
      </w:r>
      <w:r w:rsidR="00EC5E90" w:rsidRPr="00170678">
        <w:rPr>
          <w:sz w:val="16"/>
          <w:szCs w:val="16"/>
        </w:rPr>
        <w:t>(WRC 15)</w:t>
      </w:r>
    </w:p>
    <w:p w:rsidR="00585D00" w:rsidRPr="00170678" w:rsidRDefault="00A579D5" w:rsidP="00A579D5">
      <w:pPr>
        <w:pStyle w:val="Reasons"/>
      </w:pPr>
      <w:r w:rsidRPr="00170678">
        <w:rPr>
          <w:b/>
        </w:rPr>
        <w:t>Reasons:</w:t>
      </w:r>
      <w:r w:rsidRPr="00170678">
        <w:tab/>
      </w:r>
      <w:r w:rsidR="00EC5E90" w:rsidRPr="00170678">
        <w:t>To update Article 59 add provisions for entry into force for Regulations as revised by WRC-15 as well as other effective dates of application as specified in the listed Resolutions.</w:t>
      </w:r>
    </w:p>
    <w:p w:rsidR="00585D00" w:rsidRPr="00170678" w:rsidRDefault="00A579D5">
      <w:pPr>
        <w:pStyle w:val="Proposal"/>
      </w:pPr>
      <w:r w:rsidRPr="00170678">
        <w:t>ADD</w:t>
      </w:r>
      <w:r w:rsidRPr="00170678">
        <w:tab/>
        <w:t>IAP/7A14/7</w:t>
      </w:r>
    </w:p>
    <w:p w:rsidR="00EC5E90" w:rsidRPr="00170678" w:rsidRDefault="00EC5E90" w:rsidP="00583AF6">
      <w:r w:rsidRPr="00170678">
        <w:rPr>
          <w:rStyle w:val="Artdef"/>
        </w:rPr>
        <w:t>59.B114</w:t>
      </w:r>
      <w:r w:rsidRPr="00170678">
        <w:tab/>
        <w:t>the revised provisions for which other effective dates of application are stipulated in Resolution [IAP</w:t>
      </w:r>
      <w:r w:rsidR="00583AF6" w:rsidRPr="00170678">
        <w:t>-</w:t>
      </w:r>
      <w:r w:rsidRPr="00170678">
        <w:t>A</w:t>
      </w:r>
      <w:r w:rsidR="00E43D2F" w:rsidRPr="00170678">
        <w:t>1</w:t>
      </w:r>
      <w:r w:rsidRPr="00170678">
        <w:t>14</w:t>
      </w:r>
      <w:r w:rsidR="00583AF6" w:rsidRPr="00170678">
        <w:t>]</w:t>
      </w:r>
      <w:r w:rsidRPr="00170678">
        <w:t xml:space="preserve"> (WRC-</w:t>
      </w:r>
      <w:r w:rsidR="00583AF6" w:rsidRPr="00170678">
        <w:t>15).</w:t>
      </w:r>
    </w:p>
    <w:p w:rsidR="00EC5E90" w:rsidRPr="00170678" w:rsidRDefault="00EC5E90" w:rsidP="00EC5E90">
      <w:pPr>
        <w:pStyle w:val="Reasons"/>
        <w:rPr>
          <w:b/>
        </w:rPr>
      </w:pPr>
      <w:r w:rsidRPr="00170678">
        <w:rPr>
          <w:b/>
        </w:rPr>
        <w:t>Reasons:</w:t>
      </w:r>
      <w:r w:rsidRPr="00170678">
        <w:rPr>
          <w:b/>
        </w:rPr>
        <w:tab/>
      </w:r>
      <w:r w:rsidRPr="00170678">
        <w:t>To update Article 59 add provisions for entry into force for Regulations as revised by WRC-15 as well as other effective dates of application as specified in the listed Resolutions.</w:t>
      </w:r>
    </w:p>
    <w:p w:rsidR="00585D00" w:rsidRPr="00170678" w:rsidRDefault="00A579D5">
      <w:pPr>
        <w:pStyle w:val="Proposal"/>
      </w:pPr>
      <w:r w:rsidRPr="00170678">
        <w:lastRenderedPageBreak/>
        <w:t>ADD</w:t>
      </w:r>
      <w:r w:rsidRPr="00170678">
        <w:tab/>
        <w:t>IAP/7A14/8</w:t>
      </w:r>
    </w:p>
    <w:p w:rsidR="00585D00" w:rsidRPr="00170678" w:rsidRDefault="00583AF6">
      <w:pPr>
        <w:pStyle w:val="ResNo"/>
      </w:pPr>
      <w:r w:rsidRPr="00170678">
        <w:t>Draft New Resolution [IAP-</w:t>
      </w:r>
      <w:r w:rsidR="00B176F1" w:rsidRPr="00170678">
        <w:t>A</w:t>
      </w:r>
      <w:r w:rsidR="00E43D2F" w:rsidRPr="00170678">
        <w:t>1</w:t>
      </w:r>
      <w:r w:rsidR="00A579D5" w:rsidRPr="00170678">
        <w:t>14]</w:t>
      </w:r>
      <w:r w:rsidRPr="00170678">
        <w:t xml:space="preserve"> (wrc-15)</w:t>
      </w:r>
    </w:p>
    <w:p w:rsidR="00585D00" w:rsidRPr="00170678" w:rsidRDefault="00574FF6">
      <w:pPr>
        <w:pStyle w:val="Restitle"/>
        <w:rPr>
          <w:rFonts w:ascii="Times New Roman"/>
        </w:rPr>
      </w:pPr>
      <w:r w:rsidRPr="00170678">
        <w:rPr>
          <w:rFonts w:ascii="Times New Roman"/>
        </w:rPr>
        <w:t>Provisional application of certain provisions of the Radio Regulations</w:t>
      </w:r>
      <w:r w:rsidRPr="00170678">
        <w:rPr>
          <w:rFonts w:ascii="Times New Roman"/>
        </w:rPr>
        <w:br/>
        <w:t>as revised by WRC 15 and abrogation of certain</w:t>
      </w:r>
      <w:r w:rsidRPr="00170678">
        <w:rPr>
          <w:rFonts w:ascii="Times New Roman"/>
        </w:rPr>
        <w:br/>
        <w:t>Resolutions and Recommendations</w:t>
      </w:r>
    </w:p>
    <w:p w:rsidR="00574FF6" w:rsidRPr="00170678" w:rsidRDefault="00574FF6" w:rsidP="00574FF6">
      <w:pPr>
        <w:pStyle w:val="Normalaftertitle"/>
        <w:keepNext/>
        <w:spacing w:beforeLines="150" w:before="360" w:line="300" w:lineRule="exact"/>
        <w:rPr>
          <w:szCs w:val="24"/>
        </w:rPr>
      </w:pPr>
      <w:r w:rsidRPr="00170678">
        <w:rPr>
          <w:szCs w:val="24"/>
        </w:rPr>
        <w:t>The World Radiocommunication Conference (Geneva, 20</w:t>
      </w:r>
      <w:r w:rsidRPr="00170678">
        <w:rPr>
          <w:szCs w:val="24"/>
          <w:lang w:eastAsia="ja-JP"/>
        </w:rPr>
        <w:t>15</w:t>
      </w:r>
      <w:r w:rsidRPr="00170678">
        <w:rPr>
          <w:szCs w:val="24"/>
        </w:rPr>
        <w:t>),</w:t>
      </w:r>
    </w:p>
    <w:p w:rsidR="00574FF6" w:rsidRPr="00170678" w:rsidRDefault="00574FF6" w:rsidP="00574FF6">
      <w:pPr>
        <w:pStyle w:val="Call"/>
        <w:spacing w:beforeLines="50" w:before="120" w:line="300" w:lineRule="exact"/>
        <w:rPr>
          <w:szCs w:val="24"/>
        </w:rPr>
      </w:pPr>
      <w:r w:rsidRPr="00170678">
        <w:rPr>
          <w:szCs w:val="24"/>
        </w:rPr>
        <w:t>considering</w:t>
      </w:r>
    </w:p>
    <w:p w:rsidR="00574FF6" w:rsidRPr="00170678" w:rsidRDefault="00574FF6" w:rsidP="000776E2">
      <w:r w:rsidRPr="00170678">
        <w:rPr>
          <w:i/>
          <w:iCs/>
          <w:color w:val="000000"/>
        </w:rPr>
        <w:t>a)</w:t>
      </w:r>
      <w:r w:rsidRPr="00170678">
        <w:rPr>
          <w:i/>
          <w:iCs/>
          <w:color w:val="000000"/>
        </w:rPr>
        <w:tab/>
      </w:r>
      <w:r w:rsidRPr="00170678">
        <w:t>that this Conference has, in accordance with its terms of reference adopted a partial revision to the Radio Regulations (RR), which will enter into force on 1 January 20</w:t>
      </w:r>
      <w:r w:rsidRPr="00170678">
        <w:rPr>
          <w:lang w:eastAsia="ja-JP"/>
        </w:rPr>
        <w:t>17</w:t>
      </w:r>
      <w:r w:rsidRPr="00170678">
        <w:t>;</w:t>
      </w:r>
    </w:p>
    <w:p w:rsidR="00574FF6" w:rsidRPr="00170678" w:rsidRDefault="00574FF6" w:rsidP="000776E2">
      <w:r w:rsidRPr="00170678">
        <w:rPr>
          <w:i/>
          <w:iCs/>
          <w:color w:val="000000"/>
        </w:rPr>
        <w:t>b)</w:t>
      </w:r>
      <w:r w:rsidRPr="00170678">
        <w:rPr>
          <w:i/>
          <w:iCs/>
          <w:color w:val="000000"/>
        </w:rPr>
        <w:tab/>
      </w:r>
      <w:r w:rsidRPr="00170678">
        <w:t>that some of the provisions, as amended by this Conference, need to apply provisionally before that date;</w:t>
      </w:r>
    </w:p>
    <w:p w:rsidR="00574FF6" w:rsidRPr="00170678" w:rsidRDefault="00574FF6" w:rsidP="000776E2">
      <w:r w:rsidRPr="00170678">
        <w:rPr>
          <w:i/>
          <w:iCs/>
          <w:color w:val="000000"/>
        </w:rPr>
        <w:t>c)</w:t>
      </w:r>
      <w:r w:rsidRPr="00170678">
        <w:rPr>
          <w:i/>
          <w:iCs/>
          <w:color w:val="000000"/>
        </w:rPr>
        <w:tab/>
      </w:r>
      <w:r w:rsidRPr="00170678">
        <w:t>that some of the provisions, as amended by this Conference, need to apply after that date;</w:t>
      </w:r>
    </w:p>
    <w:p w:rsidR="00574FF6" w:rsidRPr="00170678" w:rsidRDefault="00574FF6" w:rsidP="000776E2">
      <w:r w:rsidRPr="00170678">
        <w:rPr>
          <w:i/>
          <w:iCs/>
          <w:color w:val="000000"/>
        </w:rPr>
        <w:t>d)</w:t>
      </w:r>
      <w:r w:rsidRPr="00170678">
        <w:tab/>
        <w:t>that, as a general rule, new and revised Resolutions and Recommendations enter into force at the time of the signing of the Final Acts of a Conference;</w:t>
      </w:r>
    </w:p>
    <w:p w:rsidR="00574FF6" w:rsidRPr="00170678" w:rsidRDefault="00574FF6" w:rsidP="000776E2">
      <w:r w:rsidRPr="00170678">
        <w:rPr>
          <w:i/>
          <w:iCs/>
          <w:color w:val="000000"/>
        </w:rPr>
        <w:t>e)</w:t>
      </w:r>
      <w:r w:rsidRPr="00170678">
        <w:tab/>
        <w:t>that, as a general rule, Resolutions and Recommendations which a WRC has decided to suppress are abrogated at the time of the signing of the Final Acts of a Conference,</w:t>
      </w:r>
    </w:p>
    <w:p w:rsidR="00574FF6" w:rsidRPr="00170678" w:rsidRDefault="00574FF6" w:rsidP="00574FF6">
      <w:pPr>
        <w:pStyle w:val="Call"/>
        <w:tabs>
          <w:tab w:val="left" w:pos="720"/>
        </w:tabs>
        <w:spacing w:beforeLines="50" w:before="120" w:line="300" w:lineRule="exact"/>
        <w:rPr>
          <w:szCs w:val="24"/>
        </w:rPr>
      </w:pPr>
      <w:r w:rsidRPr="00170678">
        <w:rPr>
          <w:szCs w:val="24"/>
        </w:rPr>
        <w:t>resolves</w:t>
      </w:r>
    </w:p>
    <w:p w:rsidR="00574FF6" w:rsidRPr="00170678" w:rsidRDefault="00574FF6" w:rsidP="00574FF6">
      <w:pPr>
        <w:tabs>
          <w:tab w:val="left" w:pos="720"/>
        </w:tabs>
        <w:rPr>
          <w:szCs w:val="24"/>
        </w:rPr>
      </w:pPr>
      <w:r w:rsidRPr="00170678">
        <w:rPr>
          <w:szCs w:val="24"/>
        </w:rPr>
        <w:t>that, as of 1 January 2022, the following provisions of the RR, as revised or established by WRC</w:t>
      </w:r>
      <w:r w:rsidRPr="00170678">
        <w:rPr>
          <w:szCs w:val="24"/>
        </w:rPr>
        <w:noBreakHyphen/>
        <w:t xml:space="preserve">15, shall apply: Nos. </w:t>
      </w:r>
      <w:r w:rsidRPr="00170678">
        <w:rPr>
          <w:b/>
          <w:szCs w:val="24"/>
        </w:rPr>
        <w:t>1.14, 2.5</w:t>
      </w:r>
      <w:r w:rsidRPr="00170678">
        <w:rPr>
          <w:szCs w:val="24"/>
        </w:rPr>
        <w:t>;</w:t>
      </w:r>
    </w:p>
    <w:p w:rsidR="00574FF6" w:rsidRPr="00170678" w:rsidRDefault="00574FF6" w:rsidP="00574FF6">
      <w:pPr>
        <w:pStyle w:val="Reasons"/>
      </w:pPr>
      <w:r w:rsidRPr="00170678">
        <w:rPr>
          <w:b/>
        </w:rPr>
        <w:t>Reasons:</w:t>
      </w:r>
      <w:r w:rsidRPr="00170678">
        <w:tab/>
        <w:t>To ensure sufficient time for legacy systems to update hardware and/or software to accommodate the elimination of leap seconds, this provision is added to Resolution [</w:t>
      </w:r>
      <w:r w:rsidR="007B2591" w:rsidRPr="00170678">
        <w:t>IAP-</w:t>
      </w:r>
      <w:r w:rsidRPr="00170678">
        <w:t>A1</w:t>
      </w:r>
      <w:r w:rsidR="00E43D2F" w:rsidRPr="00170678">
        <w:t>1</w:t>
      </w:r>
      <w:r w:rsidRPr="00170678">
        <w:t>4</w:t>
      </w:r>
      <w:r w:rsidR="007B2591" w:rsidRPr="00170678">
        <w:t>] (WRC-15)</w:t>
      </w:r>
      <w:r w:rsidRPr="00170678">
        <w:t xml:space="preserve"> “Provisional application of certain provisions of the Radio Regulations as revised by WRC-15 and abrogation of certain Resolutions and Recommendations”(WRC-15).  </w:t>
      </w:r>
    </w:p>
    <w:p w:rsidR="00574FF6" w:rsidRPr="00170678" w:rsidRDefault="00574FF6" w:rsidP="00574FF6">
      <w:pPr>
        <w:pStyle w:val="Reasons"/>
      </w:pPr>
      <w:r w:rsidRPr="00170678">
        <w:t>Additional provisions and abrogation for WRC-15 may be added to Resolution [</w:t>
      </w:r>
      <w:r w:rsidR="007B2591" w:rsidRPr="00170678">
        <w:t>IAP-</w:t>
      </w:r>
      <w:r w:rsidRPr="00170678">
        <w:t>A</w:t>
      </w:r>
      <w:r w:rsidR="00E43D2F" w:rsidRPr="00170678">
        <w:t>1</w:t>
      </w:r>
      <w:r w:rsidRPr="00170678">
        <w:t>14</w:t>
      </w:r>
      <w:r w:rsidR="007B2591" w:rsidRPr="00170678">
        <w:t>]</w:t>
      </w:r>
      <w:r w:rsidR="00E63832" w:rsidRPr="00170678">
        <w:t xml:space="preserve"> (WRC</w:t>
      </w:r>
      <w:r w:rsidR="00E63832" w:rsidRPr="00170678">
        <w:noBreakHyphen/>
      </w:r>
      <w:r w:rsidR="007B2591" w:rsidRPr="00170678">
        <w:t>15)</w:t>
      </w:r>
      <w:r w:rsidRPr="00170678">
        <w:t>.</w:t>
      </w:r>
    </w:p>
    <w:p w:rsidR="00585D00" w:rsidRPr="00170678" w:rsidRDefault="00A579D5">
      <w:pPr>
        <w:pStyle w:val="Proposal"/>
      </w:pPr>
      <w:r w:rsidRPr="00170678">
        <w:t>SUP</w:t>
      </w:r>
      <w:r w:rsidRPr="00170678">
        <w:tab/>
        <w:t>IAP/7A14/9</w:t>
      </w:r>
    </w:p>
    <w:p w:rsidR="003638D8" w:rsidRPr="00170678" w:rsidRDefault="00A579D5" w:rsidP="003638D8">
      <w:pPr>
        <w:pStyle w:val="ResNo"/>
      </w:pPr>
      <w:r w:rsidRPr="00170678">
        <w:t xml:space="preserve">RESOLUTION </w:t>
      </w:r>
      <w:r w:rsidRPr="00170678">
        <w:rPr>
          <w:rStyle w:val="href"/>
        </w:rPr>
        <w:t>653</w:t>
      </w:r>
      <w:r w:rsidRPr="00170678">
        <w:t xml:space="preserve"> (WRC</w:t>
      </w:r>
      <w:r w:rsidRPr="00170678">
        <w:noBreakHyphen/>
        <w:t>12)</w:t>
      </w:r>
    </w:p>
    <w:p w:rsidR="003638D8" w:rsidRPr="00170678" w:rsidRDefault="00A579D5" w:rsidP="00114582">
      <w:pPr>
        <w:pStyle w:val="Restitle"/>
      </w:pPr>
      <w:bookmarkStart w:id="31" w:name="_Toc327364537"/>
      <w:r w:rsidRPr="00170678">
        <w:t>Future of the Coordinated Universal Time time-scale</w:t>
      </w:r>
      <w:bookmarkEnd w:id="31"/>
    </w:p>
    <w:p w:rsidR="00585D00" w:rsidRPr="00170678" w:rsidRDefault="00A579D5" w:rsidP="00574FF6">
      <w:pPr>
        <w:pStyle w:val="Reasons"/>
        <w:tabs>
          <w:tab w:val="clear" w:pos="1588"/>
          <w:tab w:val="clear" w:pos="1985"/>
          <w:tab w:val="left" w:pos="1871"/>
        </w:tabs>
      </w:pPr>
      <w:r w:rsidRPr="00170678">
        <w:rPr>
          <w:b/>
        </w:rPr>
        <w:t>Reasons:</w:t>
      </w:r>
      <w:r w:rsidRPr="00170678">
        <w:tab/>
      </w:r>
      <w:r w:rsidR="00574FF6" w:rsidRPr="00170678">
        <w:t>The required studies have been completed and this resolution is no longer needed.</w:t>
      </w:r>
    </w:p>
    <w:p w:rsidR="00574FF6" w:rsidRPr="00170678" w:rsidRDefault="00574FF6" w:rsidP="0032202E">
      <w:pPr>
        <w:pStyle w:val="Reasons"/>
      </w:pPr>
    </w:p>
    <w:p w:rsidR="00574FF6" w:rsidRPr="00170678" w:rsidRDefault="00574FF6">
      <w:pPr>
        <w:jc w:val="center"/>
      </w:pPr>
      <w:r w:rsidRPr="00170678">
        <w:t>______________</w:t>
      </w:r>
    </w:p>
    <w:p w:rsidR="00574FF6" w:rsidRPr="00170678" w:rsidRDefault="00574FF6" w:rsidP="00574FF6">
      <w:pPr>
        <w:pStyle w:val="Reasons"/>
        <w:tabs>
          <w:tab w:val="clear" w:pos="1588"/>
          <w:tab w:val="clear" w:pos="1985"/>
          <w:tab w:val="left" w:pos="1871"/>
        </w:tabs>
      </w:pPr>
    </w:p>
    <w:sectPr w:rsidR="00574FF6" w:rsidRPr="00170678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579D5">
      <w:rPr>
        <w:noProof/>
        <w:lang w:val="en-US"/>
      </w:rPr>
      <w:t>Y:\APP\BR\POOL\WRC-15\DOC (Contributions)\1-100\007ADD14E.docx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6182C">
      <w:rPr>
        <w:noProof/>
      </w:rPr>
      <w:t>02.10.15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579D5">
      <w:rPr>
        <w:noProof/>
      </w:rPr>
      <w:t>29.09.15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958D9">
      <w:rPr>
        <w:lang w:val="en-US"/>
      </w:rPr>
      <w:t>P:\ENG\ITU-R\CONF-R\CMR15\000\007ADD14E.docx</w:t>
    </w:r>
    <w:r>
      <w:fldChar w:fldCharType="end"/>
    </w:r>
    <w:r w:rsidR="008958D9">
      <w:t>(387384)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958D9">
      <w:t>15.10.15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579D5">
      <w:t>29.09.15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958D9">
      <w:rPr>
        <w:lang w:val="en-US"/>
      </w:rPr>
      <w:t>P:\ENG\ITU-R\CONF-R\CMR15\000\007ADD14E.docx</w:t>
    </w:r>
    <w:r>
      <w:fldChar w:fldCharType="end"/>
    </w:r>
    <w:r w:rsidR="008958D9">
      <w:t>(387384)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958D9">
      <w:t>15.10.15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579D5">
      <w:t>29.09.15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170678">
      <w:rPr>
        <w:noProof/>
      </w:rPr>
      <w:t>4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32" w:name="OLE_LINK1"/>
    <w:bookmarkStart w:id="33" w:name="OLE_LINK2"/>
    <w:bookmarkStart w:id="34" w:name="OLE_LINK3"/>
    <w:r w:rsidR="00EB55C6">
      <w:t>7(Add.14)</w:t>
    </w:r>
    <w:bookmarkEnd w:id="32"/>
    <w:bookmarkEnd w:id="33"/>
    <w:bookmarkEnd w:id="34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ldhake, Glenn S. (GRC-MSC0)">
    <w15:presenceInfo w15:providerId="AD" w15:userId="S-1-5-21-330711430-3775241029-4075259233-12522"/>
  </w15:person>
  <w15:person w15:author="laptopuser">
    <w15:presenceInfo w15:providerId="None" w15:userId="laptopuser"/>
  </w15:person>
  <w15:person w15:author="Bonnici, Adrienne">
    <w15:presenceInfo w15:providerId="AD" w15:userId="S-1-5-21-8740799-900759487-1415713722-69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6E2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70678"/>
    <w:rsid w:val="00187BD9"/>
    <w:rsid w:val="00190B55"/>
    <w:rsid w:val="001B64B0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74FF6"/>
    <w:rsid w:val="00583AF6"/>
    <w:rsid w:val="00585D00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652"/>
    <w:rsid w:val="006B7C2A"/>
    <w:rsid w:val="006C23DA"/>
    <w:rsid w:val="006E3D45"/>
    <w:rsid w:val="007149F9"/>
    <w:rsid w:val="00733A30"/>
    <w:rsid w:val="007367FE"/>
    <w:rsid w:val="00745AEE"/>
    <w:rsid w:val="00750F10"/>
    <w:rsid w:val="007742CA"/>
    <w:rsid w:val="00790D70"/>
    <w:rsid w:val="007A6F1F"/>
    <w:rsid w:val="007B2591"/>
    <w:rsid w:val="007D5320"/>
    <w:rsid w:val="00800972"/>
    <w:rsid w:val="00804475"/>
    <w:rsid w:val="00811633"/>
    <w:rsid w:val="00841216"/>
    <w:rsid w:val="00867B6E"/>
    <w:rsid w:val="00872FC8"/>
    <w:rsid w:val="008845D0"/>
    <w:rsid w:val="00884D60"/>
    <w:rsid w:val="008958D9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579D5"/>
    <w:rsid w:val="00A710E7"/>
    <w:rsid w:val="00A7372E"/>
    <w:rsid w:val="00A93B85"/>
    <w:rsid w:val="00AA0B18"/>
    <w:rsid w:val="00AA3C65"/>
    <w:rsid w:val="00AA666F"/>
    <w:rsid w:val="00B176F1"/>
    <w:rsid w:val="00B639E9"/>
    <w:rsid w:val="00B817CD"/>
    <w:rsid w:val="00B81A7D"/>
    <w:rsid w:val="00B94AD0"/>
    <w:rsid w:val="00BB3A95"/>
    <w:rsid w:val="00BD6CCE"/>
    <w:rsid w:val="00C0018F"/>
    <w:rsid w:val="00C07473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3D2F"/>
    <w:rsid w:val="00E45D05"/>
    <w:rsid w:val="00E55816"/>
    <w:rsid w:val="00E55AEF"/>
    <w:rsid w:val="00E6182C"/>
    <w:rsid w:val="00E63832"/>
    <w:rsid w:val="00E976C1"/>
    <w:rsid w:val="00EA12E5"/>
    <w:rsid w:val="00EB55C6"/>
    <w:rsid w:val="00EC5E90"/>
    <w:rsid w:val="00EF1932"/>
    <w:rsid w:val="00F0088F"/>
    <w:rsid w:val="00F02766"/>
    <w:rsid w:val="00F05BD4"/>
    <w:rsid w:val="00F6155B"/>
    <w:rsid w:val="00F65C19"/>
    <w:rsid w:val="00FD18DA"/>
    <w:rsid w:val="00FD2546"/>
    <w:rsid w:val="00FD371D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8E898D88-B171-432D-BC06-8344A7FF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character" w:customStyle="1" w:styleId="NormalaftertitleChar">
    <w:name w:val="Normal after title Char"/>
    <w:link w:val="Normalaftertitle"/>
    <w:uiPriority w:val="99"/>
    <w:locked/>
    <w:rsid w:val="00574FF6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link w:val="Call"/>
    <w:uiPriority w:val="99"/>
    <w:locked/>
    <w:rsid w:val="00574FF6"/>
    <w:rPr>
      <w:rFonts w:ascii="Times New Roman" w:hAnsi="Times New Roman"/>
      <w:i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R15-WRC15-C-0007!A14!MSW-E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01BD38-7A1A-44AA-B3F9-0AE7833B3D93}">
  <ds:schemaRefs>
    <ds:schemaRef ds:uri="996b2e75-67fd-4955-a3b0-5ab9934cb50b"/>
    <ds:schemaRef ds:uri="http://purl.org/dc/terms/"/>
    <ds:schemaRef ds:uri="http://purl.org/dc/elements/1.1/"/>
    <ds:schemaRef ds:uri="32a1a8c5-2265-4ebc-b7a0-2071e2c5c9bb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2C4CAE6-4FD7-404B-88F5-D0018B61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25</TotalTime>
  <Pages>4</Pages>
  <Words>1204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R15-WRC15-C-0007!A14!MSW-E</vt:lpstr>
    </vt:vector>
  </TitlesOfParts>
  <Manager>General Secretariat - Pool</Manager>
  <Company>International Telecommunication Union (ITU)</Company>
  <LinksUpToDate>false</LinksUpToDate>
  <CharactersWithSpaces>8196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R15-WRC15-C-0007!A14!MSW-E</dc:title>
  <dc:subject>World Radiocommunication Conference - 2015</dc:subject>
  <dc:creator>Documents Proposals Manager (DPM)</dc:creator>
  <cp:keywords>DPM_v5.2015.9.16_prod</cp:keywords>
  <dc:description>Uploaded on 2015.07.06</dc:description>
  <cp:lastModifiedBy>Jasani, Sabine </cp:lastModifiedBy>
  <cp:revision>7</cp:revision>
  <cp:lastPrinted>2015-09-29T14:50:00Z</cp:lastPrinted>
  <dcterms:created xsi:type="dcterms:W3CDTF">2015-10-15T07:56:00Z</dcterms:created>
  <dcterms:modified xsi:type="dcterms:W3CDTF">2015-10-15T08:20:00Z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