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729CF">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 (Add.21)</w:t>
            </w:r>
            <w:r w:rsidR="009729CF">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3F34AA" w:rsidP="008221A4">
            <w:pPr>
              <w:pStyle w:val="Title1"/>
            </w:pPr>
            <w:bookmarkStart w:id="5" w:name="dtitle1" w:colFirst="0" w:colLast="0"/>
            <w:bookmarkEnd w:id="4"/>
            <w:r w:rsidRPr="00B77174">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7(B)</w:t>
            </w:r>
          </w:p>
        </w:tc>
      </w:tr>
    </w:tbl>
    <w:bookmarkEnd w:id="7"/>
    <w:p w:rsidR="008B60D0" w:rsidRDefault="00394261" w:rsidP="003F34AA">
      <w:pPr>
        <w:pStyle w:val="Normalaftertitle0"/>
        <w:rPr>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lang w:eastAsia="zh-CN"/>
        </w:rPr>
        <w:t>在</w:t>
      </w:r>
      <w:r>
        <w:rPr>
          <w:lang w:eastAsia="zh-CN"/>
        </w:rPr>
        <w:t>ITU</w:t>
      </w:r>
      <w:r>
        <w:rPr>
          <w:lang w:eastAsia="zh-CN"/>
        </w:rPr>
        <w:t>网站上公布卫星网络投入使用信息</w:t>
      </w:r>
    </w:p>
    <w:p w:rsidR="008C58F3" w:rsidRPr="008C58F3" w:rsidRDefault="008C58F3" w:rsidP="008C58F3">
      <w:pPr>
        <w:rPr>
          <w:lang w:eastAsia="zh-CN"/>
        </w:rPr>
      </w:pPr>
    </w:p>
    <w:p w:rsidR="000C7CAB" w:rsidRPr="005B6B2F" w:rsidRDefault="008E1F26" w:rsidP="008C58F3">
      <w:pPr>
        <w:pStyle w:val="Headingb"/>
        <w:rPr>
          <w:lang w:eastAsia="zh-CN"/>
        </w:rPr>
      </w:pPr>
      <w:r>
        <w:rPr>
          <w:rFonts w:hint="eastAsia"/>
          <w:lang w:eastAsia="zh-CN"/>
        </w:rPr>
        <w:t>背景</w:t>
      </w:r>
    </w:p>
    <w:p w:rsidR="008C58F3" w:rsidRDefault="000C7CAB" w:rsidP="008C58F3">
      <w:pPr>
        <w:tabs>
          <w:tab w:val="left" w:pos="709"/>
          <w:tab w:val="center" w:pos="4419"/>
          <w:tab w:val="right" w:pos="8838"/>
        </w:tabs>
        <w:ind w:firstLineChars="200" w:firstLine="480"/>
        <w:rPr>
          <w:szCs w:val="24"/>
          <w:lang w:eastAsia="ko-KR"/>
        </w:rPr>
      </w:pPr>
      <w:r w:rsidRPr="005B6B2F">
        <w:rPr>
          <w:szCs w:val="24"/>
          <w:lang w:eastAsia="ko-KR"/>
        </w:rPr>
        <w:t>WRC-12</w:t>
      </w:r>
      <w:r w:rsidR="008E1F26">
        <w:rPr>
          <w:rFonts w:hint="eastAsia"/>
          <w:szCs w:val="24"/>
          <w:lang w:eastAsia="zh-CN"/>
        </w:rPr>
        <w:t>通过了对规则框架的修订，其中包括新增了一条有关</w:t>
      </w:r>
      <w:r w:rsidR="008D1FF3">
        <w:rPr>
          <w:rFonts w:hint="eastAsia"/>
          <w:szCs w:val="24"/>
          <w:lang w:eastAsia="zh-CN"/>
        </w:rPr>
        <w:t>启用</w:t>
      </w:r>
      <w:r w:rsidR="0096507D">
        <w:rPr>
          <w:rFonts w:hint="eastAsia"/>
          <w:szCs w:val="24"/>
          <w:lang w:eastAsia="zh-CN"/>
        </w:rPr>
        <w:t>频率指配</w:t>
      </w:r>
      <w:r w:rsidR="008D1FF3">
        <w:rPr>
          <w:rFonts w:hint="eastAsia"/>
          <w:szCs w:val="24"/>
          <w:lang w:eastAsia="zh-CN"/>
        </w:rPr>
        <w:t>的条款和对有关停用卫星网络的现有条款的修改。但没有讨论无线电通信局关于信息公布采取的措施。尽管《无线电规则》</w:t>
      </w:r>
      <w:r w:rsidR="0096507D">
        <w:rPr>
          <w:rFonts w:hint="eastAsia"/>
          <w:szCs w:val="24"/>
          <w:lang w:eastAsia="zh-CN"/>
        </w:rPr>
        <w:t>对附录</w:t>
      </w:r>
      <w:r w:rsidR="0096507D">
        <w:rPr>
          <w:rFonts w:hint="eastAsia"/>
          <w:szCs w:val="24"/>
          <w:lang w:eastAsia="zh-CN"/>
        </w:rPr>
        <w:t>30</w:t>
      </w:r>
      <w:r w:rsidR="0096507D">
        <w:rPr>
          <w:rFonts w:hint="eastAsia"/>
          <w:szCs w:val="24"/>
          <w:lang w:eastAsia="zh-CN"/>
        </w:rPr>
        <w:t>、</w:t>
      </w:r>
      <w:r w:rsidR="0096507D">
        <w:rPr>
          <w:rFonts w:hint="eastAsia"/>
          <w:szCs w:val="24"/>
          <w:lang w:eastAsia="zh-CN"/>
        </w:rPr>
        <w:t>30A</w:t>
      </w:r>
      <w:r w:rsidR="0096507D">
        <w:rPr>
          <w:rFonts w:hint="eastAsia"/>
          <w:szCs w:val="24"/>
          <w:lang w:eastAsia="zh-CN"/>
        </w:rPr>
        <w:t>和</w:t>
      </w:r>
      <w:r w:rsidR="0096507D">
        <w:rPr>
          <w:rFonts w:hint="eastAsia"/>
          <w:szCs w:val="24"/>
          <w:lang w:eastAsia="zh-CN"/>
        </w:rPr>
        <w:t>30B</w:t>
      </w:r>
      <w:r w:rsidR="0096507D">
        <w:rPr>
          <w:rFonts w:hint="eastAsia"/>
          <w:szCs w:val="24"/>
          <w:lang w:eastAsia="zh-CN"/>
        </w:rPr>
        <w:t>中的</w:t>
      </w:r>
      <w:r w:rsidR="0096507D">
        <w:rPr>
          <w:rFonts w:hint="eastAsia"/>
          <w:szCs w:val="24"/>
          <w:lang w:eastAsia="zh-CN"/>
        </w:rPr>
        <w:t>API</w:t>
      </w:r>
      <w:r w:rsidR="0096507D">
        <w:rPr>
          <w:rFonts w:hint="eastAsia"/>
          <w:szCs w:val="24"/>
          <w:lang w:eastAsia="zh-CN"/>
        </w:rPr>
        <w:t>出版、协调申请、通知和其他程序有具体规定，但是，《无线电规则》中对出版提交给无线电通信局的资料和以及启用卫星网络频率指配或停用这些指配没有具体规定。</w:t>
      </w:r>
    </w:p>
    <w:p w:rsidR="008C58F3" w:rsidRDefault="0096507D" w:rsidP="008C58F3">
      <w:pPr>
        <w:tabs>
          <w:tab w:val="left" w:pos="709"/>
          <w:tab w:val="center" w:pos="4419"/>
          <w:tab w:val="right" w:pos="8838"/>
        </w:tabs>
        <w:ind w:firstLineChars="200" w:firstLine="480"/>
        <w:rPr>
          <w:szCs w:val="24"/>
          <w:lang w:eastAsia="ko-KR"/>
        </w:rPr>
      </w:pPr>
      <w:r>
        <w:rPr>
          <w:rFonts w:hint="eastAsia"/>
          <w:szCs w:val="24"/>
          <w:lang w:eastAsia="zh-CN"/>
        </w:rPr>
        <w:t>应该指出，启用和恢复使用网络以及维护关于有效使用已登记的频率指配的可靠信息是卫星网络通知程序的组成部分。这些信息对所有主管部门意义重大。</w:t>
      </w:r>
    </w:p>
    <w:p w:rsidR="000C7CAB" w:rsidRPr="005B6B2F" w:rsidRDefault="0096507D" w:rsidP="008C58F3">
      <w:pPr>
        <w:tabs>
          <w:tab w:val="left" w:pos="709"/>
          <w:tab w:val="center" w:pos="4419"/>
          <w:tab w:val="right" w:pos="8838"/>
        </w:tabs>
        <w:ind w:firstLineChars="200" w:firstLine="480"/>
        <w:rPr>
          <w:szCs w:val="24"/>
          <w:lang w:eastAsia="ko-KR"/>
        </w:rPr>
      </w:pPr>
      <w:r>
        <w:rPr>
          <w:rFonts w:hint="eastAsia"/>
          <w:szCs w:val="24"/>
          <w:lang w:eastAsia="zh-CN"/>
        </w:rPr>
        <w:t>关于此问题，建议对《无线电规则》有关启用和恢复使用卫星网络的条款进行修改，</w:t>
      </w:r>
      <w:r w:rsidR="00153562">
        <w:rPr>
          <w:rFonts w:hint="eastAsia"/>
          <w:szCs w:val="24"/>
          <w:lang w:eastAsia="zh-CN"/>
        </w:rPr>
        <w:t>要求无线电通信局出版主管部门提交的资料，提高这些资料使用的便利性，改善国际电联程序的透明度。</w:t>
      </w:r>
    </w:p>
    <w:p w:rsidR="00AB412A" w:rsidRDefault="00AB412A">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rsidR="00622560" w:rsidRDefault="008C58F3" w:rsidP="008C58F3">
      <w:pPr>
        <w:pStyle w:val="Headingb"/>
        <w:rPr>
          <w:lang w:eastAsia="zh-CN"/>
        </w:rPr>
      </w:pPr>
      <w:r w:rsidRPr="008C58F3">
        <w:rPr>
          <w:rFonts w:hint="eastAsia"/>
          <w:lang w:eastAsia="zh-CN"/>
        </w:rPr>
        <w:lastRenderedPageBreak/>
        <w:t>提案</w:t>
      </w:r>
    </w:p>
    <w:p w:rsidR="00DB1CAC" w:rsidRPr="00F439B1" w:rsidRDefault="00394261"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394261"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394261"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91B91" w:rsidRDefault="00394261">
      <w:pPr>
        <w:pStyle w:val="Proposal"/>
        <w:rPr>
          <w:lang w:eastAsia="zh-CN"/>
        </w:rPr>
      </w:pPr>
      <w:r>
        <w:rPr>
          <w:lang w:eastAsia="zh-CN"/>
        </w:rPr>
        <w:t>MOD</w:t>
      </w:r>
      <w:r>
        <w:rPr>
          <w:lang w:eastAsia="zh-CN"/>
        </w:rPr>
        <w:tab/>
        <w:t>IAP/7A21A2/1</w:t>
      </w:r>
    </w:p>
    <w:p w:rsidR="00DB1CAC" w:rsidRDefault="00394261" w:rsidP="008C58F3">
      <w:pPr>
        <w:pStyle w:val="Normalaftertitle0"/>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Liu, Sanping" w:date="2015-10-16T11:59:00Z">
        <w:r w:rsidR="008C58F3" w:rsidRPr="00394261">
          <w:rPr>
            <w:rFonts w:hint="eastAsia"/>
            <w:lang w:eastAsia="zh-CN"/>
          </w:rPr>
          <w:t>无线电通信局在收到该款规定的资料后，须尽快</w:t>
        </w:r>
        <w:r w:rsidR="008C58F3">
          <w:rPr>
            <w:rFonts w:hint="eastAsia"/>
            <w:lang w:eastAsia="zh-CN"/>
          </w:rPr>
          <w:t>在国际电联网站上提供</w:t>
        </w:r>
        <w:r w:rsidR="008C58F3" w:rsidRPr="00394261">
          <w:rPr>
            <w:rFonts w:hint="eastAsia"/>
            <w:lang w:eastAsia="zh-CN"/>
          </w:rPr>
          <w:t>该资料并将其公布在无线电通信局的《国际频率信息通报》中。</w:t>
        </w:r>
      </w:ins>
      <w:r w:rsidR="003F34AA" w:rsidRPr="00394261">
        <w:rPr>
          <w:rFonts w:hint="eastAsia"/>
          <w:sz w:val="16"/>
          <w:szCs w:val="16"/>
          <w:lang w:val="en-US" w:eastAsia="zh-CN"/>
        </w:rPr>
        <w:t>（</w:t>
      </w:r>
      <w:r w:rsidRPr="00394261">
        <w:rPr>
          <w:sz w:val="16"/>
          <w:szCs w:val="16"/>
          <w:lang w:val="en-US" w:eastAsia="zh-CN"/>
        </w:rPr>
        <w:t>WRC-</w:t>
      </w:r>
      <w:del w:id="10" w:author="Liu, Sanping" w:date="2015-10-16T11:59:00Z">
        <w:r w:rsidR="003F34AA" w:rsidRPr="00394261" w:rsidDel="008C58F3">
          <w:rPr>
            <w:sz w:val="16"/>
            <w:szCs w:val="16"/>
            <w:lang w:val="en-US" w:eastAsia="zh-CN"/>
          </w:rPr>
          <w:delText>1</w:delText>
        </w:r>
        <w:r w:rsidR="008C58F3" w:rsidDel="008C58F3">
          <w:rPr>
            <w:sz w:val="16"/>
            <w:szCs w:val="16"/>
            <w:lang w:val="en-US" w:eastAsia="zh-CN"/>
          </w:rPr>
          <w:delText>2</w:delText>
        </w:r>
      </w:del>
      <w:ins w:id="11" w:author="Liu, Sanping" w:date="2015-10-16T11:59:00Z">
        <w:r w:rsidR="008C58F3">
          <w:rPr>
            <w:sz w:val="16"/>
            <w:szCs w:val="16"/>
            <w:lang w:val="en-US" w:eastAsia="zh-CN"/>
          </w:rPr>
          <w:t>15</w:t>
        </w:r>
      </w:ins>
      <w:r w:rsidR="003F34AA" w:rsidRPr="00394261">
        <w:rPr>
          <w:rFonts w:hint="eastAsia"/>
          <w:sz w:val="16"/>
          <w:szCs w:val="16"/>
          <w:lang w:val="en-US" w:eastAsia="zh-CN"/>
        </w:rPr>
        <w:t>）</w:t>
      </w:r>
    </w:p>
    <w:p w:rsidR="00C91B91" w:rsidRDefault="00394261" w:rsidP="00153562">
      <w:pPr>
        <w:pStyle w:val="Reasons"/>
        <w:rPr>
          <w:lang w:eastAsia="zh-CN"/>
        </w:rPr>
      </w:pPr>
      <w:r>
        <w:rPr>
          <w:b/>
          <w:lang w:eastAsia="zh-CN"/>
        </w:rPr>
        <w:t>理由：</w:t>
      </w:r>
      <w:r>
        <w:rPr>
          <w:lang w:eastAsia="zh-CN"/>
        </w:rPr>
        <w:tab/>
      </w:r>
      <w:r w:rsidR="00153562">
        <w:rPr>
          <w:rFonts w:hint="eastAsia"/>
          <w:lang w:eastAsia="zh-CN"/>
        </w:rPr>
        <w:t>修改《无线电规则》，明确无线电通信局有义务出版根据此条款提交的资料。</w:t>
      </w:r>
    </w:p>
    <w:p w:rsidR="00C91B91" w:rsidRDefault="00394261">
      <w:pPr>
        <w:pStyle w:val="Proposal"/>
        <w:rPr>
          <w:lang w:eastAsia="zh-CN"/>
        </w:rPr>
      </w:pPr>
      <w:r>
        <w:rPr>
          <w:lang w:eastAsia="zh-CN"/>
        </w:rPr>
        <w:t>MOD</w:t>
      </w:r>
      <w:r>
        <w:rPr>
          <w:lang w:eastAsia="zh-CN"/>
        </w:rPr>
        <w:tab/>
        <w:t>IAP/7A21A2/2</w:t>
      </w:r>
    </w:p>
    <w:p w:rsidR="00DB1CAC" w:rsidRDefault="00394261">
      <w:pPr>
        <w:pStyle w:val="Normalaftertitle0"/>
        <w:rPr>
          <w:sz w:val="16"/>
          <w:szCs w:val="16"/>
          <w:lang w:val="en-US" w:eastAsia="zh-CN"/>
        </w:rPr>
      </w:pPr>
      <w:r w:rsidRPr="00745B90">
        <w:rPr>
          <w:rStyle w:val="Artdef"/>
          <w:rFonts w:hint="eastAsia"/>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360B26">
        <w:rPr>
          <w:rFonts w:hint="eastAsia"/>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12" w:author="Liu, Sanping" w:date="2015-10-16T12:00:00Z">
        <w:r w:rsidR="008C58F3" w:rsidRPr="00394261">
          <w:rPr>
            <w:rFonts w:hint="eastAsia"/>
            <w:lang w:eastAsia="zh-CN"/>
          </w:rPr>
          <w:t>无线电通信局在收到该款规定的资料后，须尽快</w:t>
        </w:r>
        <w:r w:rsidR="008C58F3">
          <w:rPr>
            <w:rFonts w:hint="eastAsia"/>
            <w:lang w:eastAsia="zh-CN"/>
          </w:rPr>
          <w:t>在国际电联网站上</w:t>
        </w:r>
        <w:r w:rsidR="008C58F3" w:rsidRPr="00394261">
          <w:rPr>
            <w:rFonts w:hint="eastAsia"/>
            <w:lang w:eastAsia="zh-CN"/>
          </w:rPr>
          <w:t>提供该资料并将其公布在无线电通信局的《国际频率信息通报》中。</w:t>
        </w:r>
      </w:ins>
      <w:r w:rsidRPr="00394261">
        <w:rPr>
          <w:rFonts w:hint="eastAsia"/>
          <w:sz w:val="16"/>
          <w:szCs w:val="16"/>
          <w:lang w:val="en-US" w:eastAsia="zh-CN"/>
        </w:rPr>
        <w:t>（</w:t>
      </w:r>
      <w:r w:rsidRPr="00394261">
        <w:rPr>
          <w:sz w:val="16"/>
          <w:szCs w:val="16"/>
          <w:lang w:val="en-US" w:eastAsia="zh-CN"/>
        </w:rPr>
        <w:t>WRC-</w:t>
      </w:r>
      <w:del w:id="13" w:author="Liu, Sanping" w:date="2015-10-16T12:00:00Z">
        <w:r w:rsidRPr="00394261" w:rsidDel="008C58F3">
          <w:rPr>
            <w:sz w:val="16"/>
            <w:szCs w:val="16"/>
            <w:lang w:val="en-US" w:eastAsia="zh-CN"/>
          </w:rPr>
          <w:delText>1</w:delText>
        </w:r>
        <w:r w:rsidR="008C58F3" w:rsidDel="008C58F3">
          <w:rPr>
            <w:sz w:val="16"/>
            <w:szCs w:val="16"/>
            <w:lang w:val="en-US" w:eastAsia="zh-CN"/>
          </w:rPr>
          <w:delText>2</w:delText>
        </w:r>
      </w:del>
      <w:ins w:id="14" w:author="Liu, Sanping" w:date="2015-10-16T12:00:00Z">
        <w:r w:rsidR="008C58F3">
          <w:rPr>
            <w:sz w:val="16"/>
            <w:szCs w:val="16"/>
            <w:lang w:val="en-US" w:eastAsia="zh-CN"/>
          </w:rPr>
          <w:t>15</w:t>
        </w:r>
      </w:ins>
      <w:r w:rsidRPr="00394261">
        <w:rPr>
          <w:rFonts w:hint="eastAsia"/>
          <w:sz w:val="16"/>
          <w:szCs w:val="16"/>
          <w:lang w:val="en-US" w:eastAsia="zh-CN"/>
        </w:rPr>
        <w:t>）</w:t>
      </w:r>
    </w:p>
    <w:p w:rsidR="00E42EC2" w:rsidRPr="00E42EC2" w:rsidRDefault="00E42EC2" w:rsidP="00E42EC2">
      <w:pPr>
        <w:pStyle w:val="Reasons"/>
        <w:rPr>
          <w:lang w:val="en-US" w:eastAsia="zh-CN"/>
        </w:rPr>
      </w:pPr>
    </w:p>
    <w:p w:rsidR="00C91B91" w:rsidRDefault="00394261">
      <w:pPr>
        <w:pStyle w:val="Proposal"/>
        <w:rPr>
          <w:lang w:eastAsia="zh-CN"/>
        </w:rPr>
      </w:pPr>
      <w:r>
        <w:rPr>
          <w:u w:val="single"/>
          <w:lang w:eastAsia="zh-CN"/>
        </w:rPr>
        <w:t>NOC</w:t>
      </w:r>
      <w:r>
        <w:rPr>
          <w:lang w:eastAsia="zh-CN"/>
        </w:rPr>
        <w:tab/>
        <w:t>IAP/7A21A2/3</w:t>
      </w:r>
    </w:p>
    <w:p w:rsidR="00360B26" w:rsidRPr="00360B26" w:rsidRDefault="00360B26" w:rsidP="00360B26">
      <w:r>
        <w:t>_______________</w:t>
      </w:r>
    </w:p>
    <w:p w:rsidR="006F71CA" w:rsidRDefault="00394261" w:rsidP="00E602FE">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153562" w:rsidRDefault="00153562" w:rsidP="00956510">
      <w:pPr>
        <w:pStyle w:val="Reasons"/>
        <w:rPr>
          <w:lang w:eastAsia="zh-CN"/>
        </w:rPr>
      </w:pPr>
      <w:r>
        <w:rPr>
          <w:b/>
          <w:lang w:eastAsia="zh-CN"/>
        </w:rPr>
        <w:t>理由：</w:t>
      </w:r>
      <w:r>
        <w:rPr>
          <w:lang w:eastAsia="zh-CN"/>
        </w:rPr>
        <w:tab/>
      </w:r>
      <w:r>
        <w:rPr>
          <w:rFonts w:hint="eastAsia"/>
          <w:lang w:eastAsia="zh-CN"/>
        </w:rPr>
        <w:t>修改《无线电规则》，明确无线电通信局有义务出版根据此款提交的资料。</w:t>
      </w:r>
    </w:p>
    <w:p w:rsidR="000048E7" w:rsidRPr="003D4758" w:rsidRDefault="00394261" w:rsidP="003A45DC">
      <w:pPr>
        <w:pStyle w:val="AppendixNo"/>
        <w:rPr>
          <w:lang w:eastAsia="zh-CN"/>
        </w:rPr>
      </w:pPr>
      <w:r w:rsidRPr="003D4758">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3A45DC" w:rsidRPr="004A0FDD">
        <w:rPr>
          <w:vertAlign w:val="superscript"/>
          <w:lang w:eastAsia="zh-CN"/>
        </w:rPr>
        <w:t>*</w:t>
      </w:r>
    </w:p>
    <w:p w:rsidR="000048E7" w:rsidRPr="00F655F7" w:rsidRDefault="00394261" w:rsidP="003A45DC">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3A45DC" w:rsidRPr="00266F17">
        <w:rPr>
          <w:b w:val="0"/>
          <w:bCs/>
          <w:vertAlign w:val="superscript"/>
          <w:lang w:eastAsia="zh-CN"/>
        </w:rPr>
        <w:t>1</w:t>
      </w:r>
      <w:r w:rsidRPr="00F655F7">
        <w:rPr>
          <w:b w:val="0"/>
          <w:sz w:val="16"/>
          <w:szCs w:val="16"/>
          <w:lang w:eastAsia="zh-CN"/>
        </w:rPr>
        <w:t>（</w:t>
      </w:r>
      <w:r w:rsidRPr="00A83DFE">
        <w:rPr>
          <w:b w:val="0"/>
          <w:sz w:val="16"/>
          <w:szCs w:val="16"/>
          <w:lang w:eastAsia="zh-CN"/>
        </w:rPr>
        <w:t>WRC-03</w:t>
      </w:r>
      <w:r w:rsidRPr="00F655F7">
        <w:rPr>
          <w:b w:val="0"/>
          <w:sz w:val="16"/>
          <w:szCs w:val="16"/>
          <w:lang w:eastAsia="zh-CN"/>
        </w:rPr>
        <w:t>）</w:t>
      </w:r>
    </w:p>
    <w:p w:rsidR="000048E7" w:rsidRPr="00696F4D" w:rsidRDefault="00394261" w:rsidP="000048E7">
      <w:pPr>
        <w:pStyle w:val="AppArtNo"/>
        <w:rPr>
          <w:sz w:val="16"/>
          <w:szCs w:val="16"/>
          <w:lang w:eastAsia="zh-CN"/>
        </w:rPr>
      </w:pPr>
      <w:r w:rsidRPr="00696F4D">
        <w:rPr>
          <w:rFonts w:hint="eastAsia"/>
          <w:lang w:eastAsia="zh-CN"/>
        </w:rPr>
        <w:t>第</w:t>
      </w:r>
      <w:r w:rsidRPr="00696F4D">
        <w:rPr>
          <w:rFonts w:hint="eastAsia"/>
          <w:lang w:eastAsia="zh-CN"/>
        </w:rPr>
        <w:t>5</w:t>
      </w:r>
      <w:r w:rsidRPr="00696F4D">
        <w:rPr>
          <w:rFonts w:hint="eastAsia"/>
          <w:lang w:eastAsia="zh-CN"/>
        </w:rPr>
        <w:t>条</w:t>
      </w:r>
      <w:r w:rsidRPr="00696F4D">
        <w:rPr>
          <w:rFonts w:hint="eastAsia"/>
          <w:sz w:val="16"/>
          <w:szCs w:val="16"/>
          <w:lang w:eastAsia="zh-CN"/>
        </w:rPr>
        <w:t>（</w:t>
      </w:r>
      <w:r w:rsidRPr="00696F4D">
        <w:rPr>
          <w:rFonts w:hint="eastAsia"/>
          <w:sz w:val="16"/>
          <w:szCs w:val="16"/>
          <w:lang w:eastAsia="zh-CN"/>
        </w:rPr>
        <w:t>WRC-</w:t>
      </w:r>
      <w:r>
        <w:rPr>
          <w:sz w:val="16"/>
          <w:szCs w:val="16"/>
          <w:lang w:eastAsia="zh-CN"/>
        </w:rPr>
        <w:t>12</w:t>
      </w:r>
      <w:r>
        <w:rPr>
          <w:rFonts w:hint="eastAsia"/>
          <w:sz w:val="16"/>
          <w:szCs w:val="16"/>
          <w:lang w:eastAsia="zh-CN"/>
        </w:rPr>
        <w:t>，修订版</w:t>
      </w:r>
      <w:r w:rsidRPr="00696F4D">
        <w:rPr>
          <w:rFonts w:hint="eastAsia"/>
          <w:sz w:val="16"/>
          <w:szCs w:val="16"/>
          <w:lang w:eastAsia="zh-CN"/>
        </w:rPr>
        <w:t>）</w:t>
      </w:r>
    </w:p>
    <w:p w:rsidR="000048E7" w:rsidRPr="00696F4D" w:rsidRDefault="00394261" w:rsidP="003A45DC">
      <w:pPr>
        <w:pStyle w:val="AppArttitle"/>
        <w:rPr>
          <w:lang w:eastAsia="zh-CN"/>
        </w:rPr>
      </w:pPr>
      <w:r w:rsidRPr="00696F4D">
        <w:rPr>
          <w:rFonts w:hint="eastAsia"/>
          <w:lang w:eastAsia="zh-CN"/>
        </w:rPr>
        <w:t>卫星广播业务空间电台频率指配的通知、审查</w:t>
      </w:r>
      <w:r w:rsidRPr="00696F4D">
        <w:rPr>
          <w:lang w:eastAsia="zh-CN"/>
        </w:rPr>
        <w:br/>
      </w:r>
      <w:r w:rsidRPr="008C5F34">
        <w:rPr>
          <w:rFonts w:hint="eastAsia"/>
          <w:lang w:eastAsia="zh-CN"/>
        </w:rPr>
        <w:t>和在国际频率登记总表中的登记</w:t>
      </w:r>
      <w:r w:rsidR="003A45DC" w:rsidRPr="00266F17">
        <w:rPr>
          <w:b w:val="0"/>
          <w:bCs/>
          <w:vertAlign w:val="superscript"/>
          <w:lang w:eastAsia="zh-CN"/>
        </w:rPr>
        <w:t>18</w:t>
      </w:r>
      <w:r w:rsidRPr="00696F4D">
        <w:rPr>
          <w:rFonts w:hint="eastAsia"/>
          <w:b w:val="0"/>
          <w:bCs/>
          <w:sz w:val="16"/>
          <w:szCs w:val="16"/>
          <w:lang w:eastAsia="zh-CN"/>
        </w:rPr>
        <w:t>（</w:t>
      </w:r>
      <w:r w:rsidRPr="00696F4D">
        <w:rPr>
          <w:b w:val="0"/>
          <w:bCs/>
          <w:sz w:val="16"/>
          <w:szCs w:val="16"/>
          <w:lang w:eastAsia="zh-CN"/>
        </w:rPr>
        <w:t>WRC-07</w:t>
      </w:r>
      <w:r w:rsidRPr="00696F4D">
        <w:rPr>
          <w:rFonts w:hint="eastAsia"/>
          <w:b w:val="0"/>
          <w:bCs/>
          <w:sz w:val="16"/>
          <w:szCs w:val="16"/>
          <w:lang w:eastAsia="zh-CN"/>
        </w:rPr>
        <w:t>）</w:t>
      </w:r>
    </w:p>
    <w:p w:rsidR="000048E7" w:rsidRPr="00E07E53" w:rsidRDefault="00394261" w:rsidP="000048E7">
      <w:pPr>
        <w:pStyle w:val="Heading2"/>
        <w:rPr>
          <w:lang w:eastAsia="zh-CN"/>
        </w:rPr>
      </w:pPr>
      <w:r w:rsidRPr="00E07E53">
        <w:rPr>
          <w:rFonts w:hint="eastAsia"/>
          <w:lang w:eastAsia="zh-CN"/>
        </w:rPr>
        <w:t>5.2</w:t>
      </w:r>
      <w:r w:rsidRPr="00E07E53">
        <w:rPr>
          <w:rFonts w:hint="eastAsia"/>
          <w:lang w:eastAsia="zh-CN"/>
        </w:rPr>
        <w:tab/>
      </w:r>
      <w:r w:rsidRPr="00E07E53">
        <w:rPr>
          <w:rFonts w:hint="eastAsia"/>
          <w:lang w:eastAsia="zh-CN"/>
        </w:rPr>
        <w:t>审查和登记</w:t>
      </w:r>
    </w:p>
    <w:p w:rsidR="00C91B91" w:rsidRDefault="00394261">
      <w:pPr>
        <w:pStyle w:val="Proposal"/>
        <w:rPr>
          <w:lang w:eastAsia="zh-CN"/>
        </w:rPr>
      </w:pPr>
      <w:r>
        <w:rPr>
          <w:lang w:eastAsia="zh-CN"/>
        </w:rPr>
        <w:t>MOD</w:t>
      </w:r>
      <w:r>
        <w:rPr>
          <w:lang w:eastAsia="zh-CN"/>
        </w:rPr>
        <w:tab/>
        <w:t>IAP/7A21A2/4</w:t>
      </w:r>
    </w:p>
    <w:p w:rsidR="000048E7" w:rsidRDefault="00394261" w:rsidP="003A45DC">
      <w:pPr>
        <w:rPr>
          <w:sz w:val="16"/>
          <w:szCs w:val="16"/>
          <w:lang w:val="en-US" w:eastAsia="zh-CN"/>
        </w:rPr>
      </w:pPr>
      <w:r w:rsidRPr="00745B90">
        <w:rPr>
          <w:rStyle w:val="Artdef"/>
        </w:rPr>
        <w:t>5.2.10</w:t>
      </w:r>
      <w:r w:rsidRPr="002D560D">
        <w:rPr>
          <w:rFonts w:eastAsiaTheme="minorHAnsi"/>
          <w:b/>
          <w:lang w:val="en-US" w:eastAsia="zh-CN"/>
        </w:rPr>
        <w:tab/>
      </w:r>
      <w:r>
        <w:rPr>
          <w:rFonts w:eastAsiaTheme="minorEastAsia" w:hint="eastAsia"/>
          <w:lang w:val="en-US" w:eastAsia="zh-CN"/>
        </w:rPr>
        <w:t>当</w:t>
      </w:r>
      <w:r w:rsidRPr="00EB338C">
        <w:rPr>
          <w:rFonts w:hint="eastAsia"/>
          <w:lang w:val="en-US" w:eastAsia="zh-CN"/>
        </w:rPr>
        <w:t>任何</w:t>
      </w:r>
      <w:r w:rsidRPr="00ED1531">
        <w:rPr>
          <w:rFonts w:hint="eastAsia"/>
          <w:lang w:val="en-US" w:eastAsia="zh-CN"/>
        </w:rPr>
        <w:t>在</w:t>
      </w:r>
      <w:r>
        <w:rPr>
          <w:rFonts w:hint="eastAsia"/>
          <w:lang w:val="en-US" w:eastAsia="zh-CN"/>
        </w:rPr>
        <w:t>《国际</w:t>
      </w:r>
      <w:r w:rsidRPr="00ED1531">
        <w:rPr>
          <w:rFonts w:hint="eastAsia"/>
          <w:lang w:val="en-US" w:eastAsia="zh-CN"/>
        </w:rPr>
        <w:t>频率登记总表</w:t>
      </w:r>
      <w:r>
        <w:rPr>
          <w:rFonts w:hint="eastAsia"/>
          <w:lang w:val="en-US" w:eastAsia="zh-CN"/>
        </w:rPr>
        <w:t>》登记的空间电台的频率指配和来自</w:t>
      </w:r>
      <w:r>
        <w:rPr>
          <w:rFonts w:hint="eastAsia"/>
          <w:lang w:val="en-US" w:eastAsia="zh-CN"/>
        </w:rPr>
        <w:t>1</w:t>
      </w:r>
      <w:r>
        <w:rPr>
          <w:rFonts w:hint="eastAsia"/>
          <w:lang w:val="en-US" w:eastAsia="zh-CN"/>
        </w:rPr>
        <w:t>区和</w:t>
      </w:r>
      <w:r>
        <w:rPr>
          <w:rFonts w:hint="eastAsia"/>
          <w:lang w:val="en-US" w:eastAsia="zh-CN"/>
        </w:rPr>
        <w:t>3</w:t>
      </w:r>
      <w:r>
        <w:rPr>
          <w:rFonts w:hint="eastAsia"/>
          <w:lang w:val="en-US" w:eastAsia="zh-CN"/>
        </w:rPr>
        <w:t>区列表的频率指配暂停使用超过六个月时，通知主管部门须尽早，但不得晚于中止日后六个月，通知无线电通信局这类使用的停用日期。当登记的指配重新启用时，通知主管部门须将此情况尽早通知无线电通信局。已登记指配的重新启用日期</w:t>
      </w:r>
      <w:r w:rsidR="003A45DC" w:rsidRPr="003A45DC">
        <w:rPr>
          <w:color w:val="000000"/>
          <w:vertAlign w:val="superscript"/>
          <w:lang w:eastAsia="zh-CN"/>
        </w:rPr>
        <w:t>20</w:t>
      </w:r>
      <w:r w:rsidR="003A45DC" w:rsidRPr="003A45DC">
        <w:rPr>
          <w:rFonts w:hint="eastAsia"/>
          <w:color w:val="000000"/>
          <w:vertAlign w:val="superscript"/>
          <w:lang w:val="fr-CH" w:eastAsia="zh-CN" w:bidi="ar-EG"/>
        </w:rPr>
        <w:t>之二</w:t>
      </w:r>
      <w:r>
        <w:rPr>
          <w:rFonts w:hint="eastAsia"/>
          <w:lang w:val="en-US" w:eastAsia="zh-CN"/>
        </w:rPr>
        <w:t>不得晚于中止日期后的三年。</w:t>
      </w:r>
      <w:ins w:id="15" w:author="Liu, Sanping" w:date="2015-10-16T12:01:00Z">
        <w:r w:rsidR="008C58F3" w:rsidRPr="00394261">
          <w:rPr>
            <w:rFonts w:hint="eastAsia"/>
            <w:lang w:eastAsia="zh-CN"/>
          </w:rPr>
          <w:t>无线电通信局在收到该款规定的资料后，须尽快</w:t>
        </w:r>
        <w:r w:rsidR="008C58F3">
          <w:rPr>
            <w:rFonts w:hint="eastAsia"/>
            <w:lang w:eastAsia="zh-CN"/>
          </w:rPr>
          <w:t>在国际电联网站上</w:t>
        </w:r>
        <w:r w:rsidR="008C58F3" w:rsidRPr="00394261">
          <w:rPr>
            <w:rFonts w:hint="eastAsia"/>
            <w:lang w:eastAsia="zh-CN"/>
          </w:rPr>
          <w:t>提供该资料并将其公布在无线电通信局的《国际频率信息通报》中。</w:t>
        </w:r>
      </w:ins>
      <w:r w:rsidRPr="00394261">
        <w:rPr>
          <w:rFonts w:hint="eastAsia"/>
          <w:sz w:val="16"/>
          <w:szCs w:val="16"/>
          <w:lang w:val="en-US" w:eastAsia="zh-CN"/>
        </w:rPr>
        <w:t>（</w:t>
      </w:r>
      <w:r w:rsidRPr="00394261">
        <w:rPr>
          <w:sz w:val="16"/>
          <w:szCs w:val="16"/>
          <w:lang w:val="en-US" w:eastAsia="zh-CN"/>
        </w:rPr>
        <w:t>WRC-1</w:t>
      </w:r>
      <w:del w:id="16" w:author="Liu, Sanping" w:date="2015-10-16T12:01:00Z">
        <w:r w:rsidR="008C58F3" w:rsidDel="008C58F3">
          <w:rPr>
            <w:sz w:val="16"/>
            <w:szCs w:val="16"/>
            <w:lang w:val="en-US" w:eastAsia="zh-CN"/>
          </w:rPr>
          <w:delText>2</w:delText>
        </w:r>
      </w:del>
      <w:ins w:id="17" w:author="Liu, Sanping" w:date="2015-10-16T12:01:00Z">
        <w:r w:rsidR="008C58F3">
          <w:rPr>
            <w:sz w:val="16"/>
            <w:szCs w:val="16"/>
            <w:lang w:val="en-US" w:eastAsia="zh-CN"/>
          </w:rPr>
          <w:t>5</w:t>
        </w:r>
      </w:ins>
      <w:r w:rsidRPr="00394261">
        <w:rPr>
          <w:rFonts w:hint="eastAsia"/>
          <w:sz w:val="16"/>
          <w:szCs w:val="16"/>
          <w:lang w:val="en-US" w:eastAsia="zh-CN"/>
        </w:rPr>
        <w:t>）</w:t>
      </w:r>
    </w:p>
    <w:p w:rsidR="00153562" w:rsidRDefault="00153562" w:rsidP="00153562">
      <w:pPr>
        <w:pStyle w:val="Reasons"/>
        <w:rPr>
          <w:lang w:eastAsia="zh-CN"/>
        </w:rPr>
      </w:pPr>
      <w:r>
        <w:rPr>
          <w:b/>
          <w:lang w:eastAsia="zh-CN"/>
        </w:rPr>
        <w:t>理由：</w:t>
      </w:r>
      <w:r>
        <w:rPr>
          <w:lang w:eastAsia="zh-CN"/>
        </w:rPr>
        <w:tab/>
      </w:r>
      <w:r>
        <w:rPr>
          <w:rFonts w:hint="eastAsia"/>
          <w:lang w:eastAsia="zh-CN"/>
        </w:rPr>
        <w:t>修改《无线电规则》，明确无线电通信局有义务出版根据此条款提交的资料。</w:t>
      </w:r>
    </w:p>
    <w:p w:rsidR="000048E7" w:rsidRDefault="00394261" w:rsidP="003A45DC">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003A45DC" w:rsidRPr="001904E5">
        <w:rPr>
          <w:vertAlign w:val="superscript"/>
          <w:lang w:val="en-US" w:eastAsia="zh-CN"/>
        </w:rPr>
        <w:t>*</w:t>
      </w:r>
    </w:p>
    <w:p w:rsidR="000048E7" w:rsidRPr="00B339DF" w:rsidRDefault="00394261" w:rsidP="003A45DC">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3A45DC" w:rsidRPr="001904E5">
        <w:rPr>
          <w:b w:val="0"/>
          <w:bCs/>
          <w:vertAlign w:val="superscript"/>
          <w:lang w:val="en-US"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003A45DC" w:rsidRPr="001904E5">
        <w:rPr>
          <w:b w:val="0"/>
          <w:bCs/>
          <w:vertAlign w:val="superscript"/>
          <w:lang w:val="en-US" w:eastAsia="zh-CN"/>
        </w:rPr>
        <w:t>1</w:t>
      </w:r>
      <w:r w:rsidRPr="00AB412A">
        <w:rPr>
          <w:rFonts w:hAnsi="SimSun"/>
          <w:b w:val="0"/>
          <w:bCs/>
          <w:noProof/>
          <w:color w:val="000000"/>
          <w:sz w:val="16"/>
          <w:szCs w:val="16"/>
          <w:lang w:eastAsia="zh-CN"/>
        </w:rPr>
        <w:t>（</w:t>
      </w:r>
      <w:r w:rsidRPr="00AB412A">
        <w:rPr>
          <w:b w:val="0"/>
          <w:bCs/>
          <w:noProof/>
          <w:color w:val="000000"/>
          <w:sz w:val="16"/>
          <w:szCs w:val="16"/>
          <w:lang w:eastAsia="zh-CN"/>
        </w:rPr>
        <w:t>WRC-03</w:t>
      </w:r>
      <w:r w:rsidRPr="00AB412A">
        <w:rPr>
          <w:rFonts w:hAnsi="SimSun"/>
          <w:b w:val="0"/>
          <w:bCs/>
          <w:noProof/>
          <w:color w:val="000000"/>
          <w:sz w:val="16"/>
          <w:szCs w:val="16"/>
          <w:lang w:eastAsia="zh-CN"/>
        </w:rPr>
        <w:t>）</w:t>
      </w:r>
    </w:p>
    <w:p w:rsidR="000048E7" w:rsidRDefault="00394261" w:rsidP="001E7743">
      <w:pPr>
        <w:pStyle w:val="AppArtNo"/>
        <w:rPr>
          <w:lang w:eastAsia="zh-CN"/>
        </w:rPr>
      </w:pPr>
      <w:r>
        <w:rPr>
          <w:rFonts w:hint="eastAsia"/>
          <w:lang w:eastAsia="zh-CN"/>
        </w:rPr>
        <w:t>第</w:t>
      </w:r>
      <w:r>
        <w:rPr>
          <w:rFonts w:hint="eastAsia"/>
          <w:lang w:eastAsia="zh-CN"/>
        </w:rPr>
        <w:t>5</w:t>
      </w:r>
      <w:r>
        <w:rPr>
          <w:rFonts w:hint="eastAsia"/>
          <w:lang w:eastAsia="zh-CN"/>
        </w:rPr>
        <w:t>条</w:t>
      </w:r>
      <w:r w:rsidRPr="003B79E9">
        <w:rPr>
          <w:rFonts w:hint="eastAsia"/>
          <w:sz w:val="16"/>
          <w:szCs w:val="16"/>
          <w:lang w:eastAsia="zh-CN"/>
        </w:rPr>
        <w:t>（</w:t>
      </w:r>
      <w:r w:rsidRPr="003B79E9">
        <w:rPr>
          <w:rFonts w:hint="eastAsia"/>
          <w:sz w:val="16"/>
          <w:szCs w:val="16"/>
          <w:lang w:eastAsia="zh-CN"/>
        </w:rPr>
        <w:t>WRC-</w:t>
      </w:r>
      <w:r>
        <w:rPr>
          <w:rFonts w:hint="eastAsia"/>
          <w:sz w:val="16"/>
          <w:szCs w:val="16"/>
          <w:lang w:eastAsia="zh-CN"/>
        </w:rPr>
        <w:t>12</w:t>
      </w:r>
      <w:r w:rsidRPr="003B79E9">
        <w:rPr>
          <w:rFonts w:hint="eastAsia"/>
          <w:sz w:val="16"/>
          <w:szCs w:val="16"/>
          <w:lang w:eastAsia="zh-CN"/>
        </w:rPr>
        <w:t>，修订版）</w:t>
      </w:r>
    </w:p>
    <w:p w:rsidR="000048E7" w:rsidRDefault="00394261" w:rsidP="003A45DC">
      <w:pPr>
        <w:pStyle w:val="AppArttitle"/>
        <w:rPr>
          <w:lang w:eastAsia="zh-CN"/>
        </w:rPr>
      </w:pPr>
      <w:r w:rsidRPr="000A7F08">
        <w:rPr>
          <w:rFonts w:hint="eastAsia"/>
          <w:lang w:eastAsia="zh-CN"/>
        </w:rPr>
        <w:t>卫星固定业务中发射地球站和接收空间电台馈线链路</w:t>
      </w:r>
      <w:r>
        <w:rPr>
          <w:lang w:eastAsia="zh-CN"/>
        </w:rPr>
        <w:br/>
      </w:r>
      <w:r>
        <w:rPr>
          <w:rFonts w:hint="eastAsia"/>
          <w:lang w:eastAsia="zh-CN"/>
        </w:rPr>
        <w:t>频率指配的协调、通知、审查和在国际频率</w:t>
      </w:r>
      <w:r>
        <w:rPr>
          <w:lang w:eastAsia="zh-CN"/>
        </w:rPr>
        <w:br/>
      </w:r>
      <w:r>
        <w:rPr>
          <w:rFonts w:hint="eastAsia"/>
          <w:lang w:eastAsia="zh-CN"/>
        </w:rPr>
        <w:t>登记总表内的登记</w:t>
      </w:r>
      <w:r w:rsidR="003A45DC" w:rsidRPr="001904E5">
        <w:rPr>
          <w:b w:val="0"/>
          <w:bCs/>
          <w:vertAlign w:val="superscript"/>
          <w:lang w:val="en-US" w:eastAsia="zh-CN"/>
        </w:rPr>
        <w:t>21, 22</w:t>
      </w:r>
      <w:r w:rsidRPr="003B79E9">
        <w:rPr>
          <w:b w:val="0"/>
          <w:bCs/>
          <w:sz w:val="16"/>
          <w:szCs w:val="16"/>
          <w:lang w:eastAsia="zh-CN"/>
        </w:rPr>
        <w:t>（</w:t>
      </w:r>
      <w:r w:rsidRPr="003B79E9">
        <w:rPr>
          <w:b w:val="0"/>
          <w:bCs/>
          <w:sz w:val="16"/>
          <w:szCs w:val="16"/>
          <w:lang w:eastAsia="zh-CN"/>
        </w:rPr>
        <w:t>WRC-07</w:t>
      </w:r>
      <w:r w:rsidRPr="003B79E9">
        <w:rPr>
          <w:b w:val="0"/>
          <w:bCs/>
          <w:sz w:val="16"/>
          <w:szCs w:val="16"/>
          <w:lang w:eastAsia="zh-CN"/>
        </w:rPr>
        <w:t>）</w:t>
      </w:r>
    </w:p>
    <w:p w:rsidR="00394261" w:rsidRPr="00E07E53" w:rsidRDefault="00394261" w:rsidP="00394261">
      <w:pPr>
        <w:pStyle w:val="Heading2"/>
        <w:rPr>
          <w:lang w:eastAsia="zh-CN"/>
        </w:rPr>
      </w:pPr>
      <w:r w:rsidRPr="00E07E53">
        <w:rPr>
          <w:rFonts w:hint="eastAsia"/>
          <w:lang w:eastAsia="zh-CN"/>
        </w:rPr>
        <w:t>5.2</w:t>
      </w:r>
      <w:r w:rsidRPr="00E07E53">
        <w:rPr>
          <w:rFonts w:hint="eastAsia"/>
          <w:lang w:eastAsia="zh-CN"/>
        </w:rPr>
        <w:tab/>
      </w:r>
      <w:r w:rsidRPr="00E07E53">
        <w:rPr>
          <w:rFonts w:hint="eastAsia"/>
          <w:lang w:eastAsia="zh-CN"/>
        </w:rPr>
        <w:t>审查和登记</w:t>
      </w:r>
    </w:p>
    <w:p w:rsidR="00C91B91" w:rsidRDefault="00394261">
      <w:pPr>
        <w:pStyle w:val="Proposal"/>
        <w:rPr>
          <w:lang w:eastAsia="zh-CN"/>
        </w:rPr>
      </w:pPr>
      <w:r>
        <w:rPr>
          <w:lang w:eastAsia="zh-CN"/>
        </w:rPr>
        <w:t>MOD</w:t>
      </w:r>
      <w:r>
        <w:rPr>
          <w:lang w:eastAsia="zh-CN"/>
        </w:rPr>
        <w:tab/>
        <w:t>IAP/7A21A2/5</w:t>
      </w:r>
    </w:p>
    <w:p w:rsidR="000048E7" w:rsidRDefault="00394261" w:rsidP="001615A0">
      <w:pPr>
        <w:rPr>
          <w:lang w:eastAsia="zh-CN"/>
        </w:rPr>
      </w:pPr>
      <w:r w:rsidRPr="0034542A">
        <w:rPr>
          <w:rStyle w:val="Artdef"/>
          <w:b w:val="0"/>
          <w:bCs/>
        </w:rPr>
        <w:t>5.2.10</w:t>
      </w:r>
      <w:r w:rsidRPr="002D560D">
        <w:rPr>
          <w:rFonts w:eastAsiaTheme="minorHAnsi"/>
          <w:b/>
          <w:lang w:val="en-US" w:eastAsia="zh-CN"/>
        </w:rPr>
        <w:tab/>
      </w:r>
      <w:r>
        <w:rPr>
          <w:rFonts w:eastAsiaTheme="minorEastAsia" w:hint="eastAsia"/>
          <w:lang w:val="en-US" w:eastAsia="zh-CN"/>
        </w:rPr>
        <w:t>当</w:t>
      </w:r>
      <w:r w:rsidRPr="00EB338C">
        <w:rPr>
          <w:rFonts w:hint="eastAsia"/>
          <w:lang w:val="en-US" w:eastAsia="zh-CN"/>
        </w:rPr>
        <w:t>任何</w:t>
      </w:r>
      <w:r w:rsidRPr="00ED1531">
        <w:rPr>
          <w:rFonts w:hint="eastAsia"/>
          <w:lang w:val="en-US" w:eastAsia="zh-CN"/>
        </w:rPr>
        <w:t>在</w:t>
      </w:r>
      <w:r>
        <w:rPr>
          <w:rFonts w:hint="eastAsia"/>
          <w:lang w:val="en-US" w:eastAsia="zh-CN"/>
        </w:rPr>
        <w:t>国际</w:t>
      </w:r>
      <w:r w:rsidRPr="00ED1531">
        <w:rPr>
          <w:rFonts w:hint="eastAsia"/>
          <w:lang w:val="en-US" w:eastAsia="zh-CN"/>
        </w:rPr>
        <w:t>频率登记总表</w:t>
      </w:r>
      <w:r>
        <w:rPr>
          <w:rFonts w:hint="eastAsia"/>
          <w:lang w:val="en-US" w:eastAsia="zh-CN"/>
        </w:rPr>
        <w:t>登记的空间电台的频率指配和来自</w:t>
      </w:r>
      <w:r>
        <w:rPr>
          <w:rFonts w:hint="eastAsia"/>
          <w:lang w:val="en-US" w:eastAsia="zh-CN"/>
        </w:rPr>
        <w:t>1</w:t>
      </w:r>
      <w:r>
        <w:rPr>
          <w:rFonts w:hint="eastAsia"/>
          <w:lang w:val="en-US" w:eastAsia="zh-CN"/>
        </w:rPr>
        <w:t>区和</w:t>
      </w:r>
      <w:r>
        <w:rPr>
          <w:rFonts w:hint="eastAsia"/>
          <w:lang w:val="en-US" w:eastAsia="zh-CN"/>
        </w:rPr>
        <w:t>3</w:t>
      </w:r>
      <w:r>
        <w:rPr>
          <w:rFonts w:hint="eastAsia"/>
          <w:lang w:val="en-US" w:eastAsia="zh-CN"/>
        </w:rPr>
        <w:t>区列表的频率指配暂停使用超过六个月时，通知主管部门须尽早，但不得晚于中止日后六个月，通知无线电通信局这类使用的停用日期。当登记的指配恢复使用时，通知主管部门须将此情况尽早</w:t>
      </w:r>
      <w:r>
        <w:rPr>
          <w:rFonts w:hint="eastAsia"/>
          <w:lang w:val="en-US" w:eastAsia="zh-CN"/>
        </w:rPr>
        <w:lastRenderedPageBreak/>
        <w:t>通知无线电通信局。已登记指配的恢复使用日期</w:t>
      </w:r>
      <w:r w:rsidR="001615A0" w:rsidRPr="001904E5">
        <w:rPr>
          <w:rFonts w:eastAsiaTheme="minorHAnsi"/>
          <w:color w:val="000000"/>
          <w:vertAlign w:val="superscript"/>
          <w:lang w:eastAsia="zh-CN"/>
        </w:rPr>
        <w:t>24</w:t>
      </w:r>
      <w:r w:rsidR="001615A0" w:rsidRPr="001615A0">
        <w:rPr>
          <w:rFonts w:ascii="STKaiti" w:eastAsia="STKaiti" w:hAnsi="STKaiti" w:hint="eastAsia"/>
          <w:color w:val="000000"/>
          <w:vertAlign w:val="superscript"/>
          <w:lang w:eastAsia="zh-CN"/>
        </w:rPr>
        <w:t>之二</w:t>
      </w:r>
      <w:r>
        <w:rPr>
          <w:rFonts w:hint="eastAsia"/>
          <w:lang w:val="en-US" w:eastAsia="zh-CN"/>
        </w:rPr>
        <w:t>不得晚于中止日期后的三年。</w:t>
      </w:r>
      <w:ins w:id="18" w:author="Liu, Sanping" w:date="2015-10-16T12:04:00Z">
        <w:r w:rsidR="00AB412A" w:rsidRPr="00394261">
          <w:rPr>
            <w:rFonts w:hint="eastAsia"/>
            <w:lang w:eastAsia="zh-CN"/>
          </w:rPr>
          <w:t>无线电通信局在收到该款规定的资料后，须尽快</w:t>
        </w:r>
        <w:r w:rsidR="00AB412A">
          <w:rPr>
            <w:rFonts w:hint="eastAsia"/>
            <w:lang w:eastAsia="zh-CN"/>
          </w:rPr>
          <w:t>在国际电联网站上</w:t>
        </w:r>
        <w:r w:rsidR="00AB412A" w:rsidRPr="00394261">
          <w:rPr>
            <w:rFonts w:hint="eastAsia"/>
            <w:lang w:eastAsia="zh-CN"/>
          </w:rPr>
          <w:t>提供该资料并将其公布在无线电通信局的《国际频率信息通报》中。</w:t>
        </w:r>
      </w:ins>
      <w:r w:rsidRPr="00394261">
        <w:rPr>
          <w:rFonts w:hint="eastAsia"/>
          <w:sz w:val="16"/>
          <w:szCs w:val="16"/>
          <w:lang w:val="en-US" w:eastAsia="zh-CN"/>
        </w:rPr>
        <w:t>（</w:t>
      </w:r>
      <w:r w:rsidRPr="00394261">
        <w:rPr>
          <w:sz w:val="16"/>
          <w:szCs w:val="16"/>
          <w:lang w:val="en-US" w:eastAsia="zh-CN"/>
        </w:rPr>
        <w:t>WRC-1</w:t>
      </w:r>
      <w:del w:id="19" w:author="Liu, Sanping" w:date="2015-10-16T12:04:00Z">
        <w:r w:rsidR="00AB412A" w:rsidDel="00AB412A">
          <w:rPr>
            <w:sz w:val="16"/>
            <w:szCs w:val="16"/>
            <w:lang w:val="en-US" w:eastAsia="zh-CN"/>
          </w:rPr>
          <w:delText>2</w:delText>
        </w:r>
      </w:del>
      <w:ins w:id="20" w:author="Liu, Sanping" w:date="2015-10-16T12:04:00Z">
        <w:r w:rsidR="00AB412A">
          <w:rPr>
            <w:sz w:val="16"/>
            <w:szCs w:val="16"/>
            <w:lang w:val="en-US" w:eastAsia="zh-CN"/>
          </w:rPr>
          <w:t>5</w:t>
        </w:r>
      </w:ins>
      <w:r w:rsidRPr="00394261">
        <w:rPr>
          <w:rFonts w:hint="eastAsia"/>
          <w:sz w:val="16"/>
          <w:szCs w:val="16"/>
          <w:lang w:val="en-US" w:eastAsia="zh-CN"/>
        </w:rPr>
        <w:t>）</w:t>
      </w:r>
    </w:p>
    <w:p w:rsidR="00153562" w:rsidRDefault="00153562" w:rsidP="00153562">
      <w:pPr>
        <w:pStyle w:val="Reasons"/>
        <w:rPr>
          <w:lang w:eastAsia="zh-CN"/>
        </w:rPr>
      </w:pPr>
      <w:r>
        <w:rPr>
          <w:b/>
          <w:lang w:eastAsia="zh-CN"/>
        </w:rPr>
        <w:t>理由：</w:t>
      </w:r>
      <w:r>
        <w:rPr>
          <w:lang w:eastAsia="zh-CN"/>
        </w:rPr>
        <w:tab/>
      </w:r>
      <w:r>
        <w:rPr>
          <w:rFonts w:hint="eastAsia"/>
          <w:lang w:eastAsia="zh-CN"/>
        </w:rPr>
        <w:t>修改《无线电规则》，明确无线电通信局有义务出版根据此条款提交的资料。</w:t>
      </w:r>
    </w:p>
    <w:p w:rsidR="003F34AA" w:rsidRDefault="003F34AA">
      <w:pPr>
        <w:pStyle w:val="Reasons"/>
        <w:rPr>
          <w:lang w:eastAsia="zh-CN"/>
        </w:rPr>
      </w:pPr>
    </w:p>
    <w:p w:rsidR="00AB412A" w:rsidRDefault="00AB412A">
      <w:pPr>
        <w:pStyle w:val="Reasons"/>
        <w:rPr>
          <w:lang w:eastAsia="zh-CN"/>
        </w:rPr>
      </w:pPr>
    </w:p>
    <w:p w:rsidR="000048E7" w:rsidRDefault="00394261" w:rsidP="000048E7">
      <w:pPr>
        <w:pStyle w:val="AppendixNo"/>
        <w:spacing w:before="0"/>
        <w:rPr>
          <w:lang w:eastAsia="zh-CN"/>
        </w:rPr>
      </w:pPr>
      <w:r>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WRC-12</w:t>
      </w:r>
      <w:r>
        <w:rPr>
          <w:rFonts w:hint="eastAsia"/>
          <w:lang w:eastAsia="zh-CN"/>
        </w:rPr>
        <w:t>，修订版）</w:t>
      </w:r>
    </w:p>
    <w:p w:rsidR="000048E7" w:rsidRDefault="00394261" w:rsidP="001615A0">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rsidR="000048E7" w:rsidRDefault="00394261" w:rsidP="00A35670">
      <w:pPr>
        <w:pStyle w:val="AppArtNo"/>
        <w:rPr>
          <w:lang w:eastAsia="zh-CN"/>
        </w:rPr>
      </w:pPr>
      <w:r>
        <w:rPr>
          <w:rFonts w:hint="eastAsia"/>
          <w:lang w:eastAsia="zh-CN"/>
        </w:rPr>
        <w:t>第</w:t>
      </w:r>
      <w:r>
        <w:rPr>
          <w:rFonts w:hint="eastAsia"/>
          <w:lang w:eastAsia="zh-CN"/>
        </w:rPr>
        <w:t>8</w:t>
      </w:r>
      <w:r>
        <w:rPr>
          <w:rFonts w:hint="eastAsia"/>
          <w:lang w:eastAsia="zh-CN"/>
        </w:rPr>
        <w:t>条</w:t>
      </w:r>
      <w:r w:rsidRPr="000E5CF7">
        <w:rPr>
          <w:rFonts w:hint="eastAsia"/>
          <w:sz w:val="16"/>
          <w:szCs w:val="16"/>
          <w:lang w:eastAsia="zh-CN"/>
        </w:rPr>
        <w:t>（</w:t>
      </w:r>
      <w:r>
        <w:rPr>
          <w:sz w:val="16"/>
          <w:szCs w:val="16"/>
          <w:lang w:eastAsia="zh-CN"/>
        </w:rPr>
        <w:t>WRC-12</w:t>
      </w:r>
      <w:r>
        <w:rPr>
          <w:rFonts w:hint="eastAsia"/>
          <w:sz w:val="16"/>
          <w:szCs w:val="16"/>
          <w:lang w:eastAsia="zh-CN"/>
        </w:rPr>
        <w:t>，修订版</w:t>
      </w:r>
      <w:r w:rsidRPr="000E5CF7">
        <w:rPr>
          <w:rFonts w:hint="eastAsia"/>
          <w:sz w:val="16"/>
          <w:szCs w:val="16"/>
          <w:lang w:eastAsia="zh-CN"/>
        </w:rPr>
        <w:t>）</w:t>
      </w:r>
    </w:p>
    <w:p w:rsidR="000048E7" w:rsidRDefault="00394261" w:rsidP="001615A0">
      <w:pPr>
        <w:pStyle w:val="AppArttitle"/>
        <w:rPr>
          <w:lang w:eastAsia="zh-CN"/>
        </w:rPr>
      </w:pPr>
      <w:r>
        <w:rPr>
          <w:rFonts w:hint="eastAsia"/>
          <w:lang w:eastAsia="zh-CN"/>
        </w:rPr>
        <w:t>卫星固定业务</w:t>
      </w:r>
      <w:r w:rsidR="001615A0" w:rsidRPr="001904E5">
        <w:rPr>
          <w:b w:val="0"/>
          <w:bCs/>
          <w:vertAlign w:val="superscript"/>
          <w:lang w:val="en-US" w:eastAsia="zh-CN"/>
        </w:rPr>
        <w:t>11, 12</w:t>
      </w:r>
      <w:r>
        <w:rPr>
          <w:rFonts w:hint="eastAsia"/>
          <w:lang w:eastAsia="zh-CN"/>
        </w:rPr>
        <w:t>规划频段的指配</w:t>
      </w:r>
      <w:r>
        <w:rPr>
          <w:lang w:eastAsia="zh-CN"/>
        </w:rPr>
        <w:br/>
      </w:r>
      <w:r w:rsidRPr="001B3DC3">
        <w:rPr>
          <w:rFonts w:hint="eastAsia"/>
          <w:lang w:eastAsia="zh-CN"/>
        </w:rPr>
        <w:t>通知和登入总表的程序</w:t>
      </w:r>
      <w:r w:rsidRPr="000E5CF7">
        <w:rPr>
          <w:b w:val="0"/>
          <w:bCs/>
          <w:sz w:val="16"/>
          <w:szCs w:val="16"/>
          <w:lang w:eastAsia="zh-CN"/>
        </w:rPr>
        <w:t>（</w:t>
      </w:r>
      <w:r w:rsidRPr="000E5CF7">
        <w:rPr>
          <w:b w:val="0"/>
          <w:bCs/>
          <w:sz w:val="16"/>
          <w:szCs w:val="16"/>
          <w:lang w:eastAsia="zh-CN"/>
        </w:rPr>
        <w:t>WRC-07</w:t>
      </w:r>
      <w:r w:rsidRPr="000E5CF7">
        <w:rPr>
          <w:b w:val="0"/>
          <w:bCs/>
          <w:sz w:val="16"/>
          <w:szCs w:val="16"/>
          <w:lang w:eastAsia="zh-CN"/>
        </w:rPr>
        <w:t>）</w:t>
      </w:r>
    </w:p>
    <w:p w:rsidR="003F34AA" w:rsidRDefault="003F34AA" w:rsidP="003F34AA">
      <w:pPr>
        <w:pStyle w:val="Proposal"/>
        <w:rPr>
          <w:lang w:eastAsia="zh-CN"/>
        </w:rPr>
      </w:pPr>
      <w:r>
        <w:rPr>
          <w:lang w:eastAsia="zh-CN"/>
        </w:rPr>
        <w:t>MOD</w:t>
      </w:r>
      <w:r>
        <w:rPr>
          <w:lang w:eastAsia="zh-CN"/>
        </w:rPr>
        <w:tab/>
        <w:t>IAP/7A21A2/6</w:t>
      </w:r>
    </w:p>
    <w:p w:rsidR="00394261" w:rsidRDefault="00394261">
      <w:pPr>
        <w:rPr>
          <w:sz w:val="16"/>
          <w:szCs w:val="16"/>
          <w:lang w:val="en-US" w:eastAsia="zh-CN"/>
        </w:rPr>
      </w:pPr>
      <w:r w:rsidRPr="0034542A">
        <w:rPr>
          <w:rStyle w:val="Artdef"/>
          <w:rFonts w:hint="eastAsia"/>
          <w:b w:val="0"/>
        </w:rPr>
        <w:t>8.17</w:t>
      </w:r>
      <w:r>
        <w:rPr>
          <w:lang w:eastAsia="zh-CN"/>
        </w:rPr>
        <w:tab/>
      </w:r>
      <w:r w:rsidRPr="001A2CC7">
        <w:rPr>
          <w:rFonts w:hint="eastAsia"/>
          <w:noProof/>
          <w:spacing w:val="2"/>
          <w:lang w:eastAsia="zh-CN"/>
        </w:rPr>
        <w:t>在将用于空间电台的已登记指配暂停使用不超过十八个月时，发出通知的主管部门须尽快通知无线电通信局暂停使用的日期以及该指配计划重新恢复正常使用的日期。后者不得超过暂停之日起的两年。如果该指配自暂停之日起的两年内仍未重新投入使用，无线电通信局须从总表中取消这一指配，并应用第</w:t>
      </w:r>
      <w:r w:rsidRPr="001A2CC7">
        <w:rPr>
          <w:spacing w:val="2"/>
          <w:lang w:eastAsia="zh-CN"/>
        </w:rPr>
        <w:t>6.33</w:t>
      </w:r>
      <w:r w:rsidRPr="001A2CC7">
        <w:rPr>
          <w:rFonts w:hint="eastAsia"/>
          <w:noProof/>
          <w:spacing w:val="2"/>
          <w:lang w:eastAsia="zh-CN"/>
        </w:rPr>
        <w:t>段的规定。</w:t>
      </w:r>
      <w:ins w:id="21" w:author="Liu, Sanping" w:date="2015-10-16T12:05:00Z">
        <w:r w:rsidR="00AB412A" w:rsidRPr="00394261">
          <w:rPr>
            <w:rFonts w:hint="eastAsia"/>
            <w:lang w:eastAsia="zh-CN"/>
          </w:rPr>
          <w:t>无线电通信局在收到该款规定的资料后，须尽快</w:t>
        </w:r>
        <w:r w:rsidR="00AB412A">
          <w:rPr>
            <w:rFonts w:hint="eastAsia"/>
            <w:lang w:eastAsia="zh-CN"/>
          </w:rPr>
          <w:t>在国际电联网站上</w:t>
        </w:r>
        <w:r w:rsidR="00AB412A" w:rsidRPr="00394261">
          <w:rPr>
            <w:rFonts w:hint="eastAsia"/>
            <w:lang w:eastAsia="zh-CN"/>
          </w:rPr>
          <w:t>提供该资料并将其公布在无线电通信局的《国际频率信息通报》中。</w:t>
        </w:r>
      </w:ins>
      <w:r w:rsidRPr="00394261">
        <w:rPr>
          <w:rFonts w:hint="eastAsia"/>
          <w:sz w:val="16"/>
          <w:szCs w:val="16"/>
          <w:lang w:val="en-US" w:eastAsia="zh-CN"/>
        </w:rPr>
        <w:t>（</w:t>
      </w:r>
      <w:r w:rsidRPr="00394261">
        <w:rPr>
          <w:sz w:val="16"/>
          <w:szCs w:val="16"/>
          <w:lang w:val="en-US" w:eastAsia="zh-CN"/>
        </w:rPr>
        <w:t>WRC-</w:t>
      </w:r>
      <w:del w:id="22" w:author="Liu, Sanping" w:date="2015-10-16T12:05:00Z">
        <w:r w:rsidR="00AB412A" w:rsidDel="00AB412A">
          <w:rPr>
            <w:sz w:val="16"/>
            <w:szCs w:val="16"/>
            <w:lang w:val="en-US" w:eastAsia="zh-CN"/>
          </w:rPr>
          <w:delText>07</w:delText>
        </w:r>
      </w:del>
      <w:ins w:id="23" w:author="Liu, Sanping" w:date="2015-10-16T12:05:00Z">
        <w:r w:rsidR="00AB412A">
          <w:rPr>
            <w:sz w:val="16"/>
            <w:szCs w:val="16"/>
            <w:lang w:val="en-US" w:eastAsia="zh-CN"/>
          </w:rPr>
          <w:t>5</w:t>
        </w:r>
      </w:ins>
      <w:r w:rsidRPr="00394261">
        <w:rPr>
          <w:rFonts w:hint="eastAsia"/>
          <w:sz w:val="16"/>
          <w:szCs w:val="16"/>
          <w:lang w:val="en-US" w:eastAsia="zh-CN"/>
        </w:rPr>
        <w:t>）</w:t>
      </w:r>
    </w:p>
    <w:p w:rsidR="003F34AA" w:rsidRDefault="00153562" w:rsidP="001615A0">
      <w:pPr>
        <w:pStyle w:val="Reasons"/>
        <w:rPr>
          <w:lang w:eastAsia="zh-CN"/>
        </w:rPr>
      </w:pPr>
      <w:r>
        <w:rPr>
          <w:b/>
          <w:lang w:eastAsia="zh-CN"/>
        </w:rPr>
        <w:t>理由：</w:t>
      </w:r>
      <w:r>
        <w:rPr>
          <w:lang w:eastAsia="zh-CN"/>
        </w:rPr>
        <w:tab/>
      </w:r>
      <w:r>
        <w:rPr>
          <w:rFonts w:hint="eastAsia"/>
          <w:lang w:eastAsia="zh-CN"/>
        </w:rPr>
        <w:t>修改《无线电规则》，明确无线电通信局有义务出版根据此条款提交的资料。</w:t>
      </w:r>
    </w:p>
    <w:p w:rsidR="003F34AA" w:rsidRDefault="003F34AA" w:rsidP="003F34AA">
      <w:pPr>
        <w:pStyle w:val="Reasons"/>
        <w:rPr>
          <w:lang w:eastAsia="zh-CN"/>
        </w:rPr>
      </w:pPr>
    </w:p>
    <w:p w:rsidR="003F34AA" w:rsidRDefault="003F34AA" w:rsidP="003F34AA">
      <w:pPr>
        <w:jc w:val="center"/>
      </w:pPr>
      <w:r>
        <w:t>______________</w:t>
      </w:r>
    </w:p>
    <w:p w:rsidR="00C91B91" w:rsidRDefault="00C91B91">
      <w:pPr>
        <w:pStyle w:val="Reasons"/>
      </w:pPr>
      <w:bookmarkStart w:id="24" w:name="_GoBack"/>
      <w:bookmarkEnd w:id="24"/>
    </w:p>
    <w:sectPr w:rsidR="00C91B91">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61" w:rsidRDefault="00394261" w:rsidP="00394261">
    <w:pPr>
      <w:pStyle w:val="Header"/>
    </w:pPr>
  </w:p>
  <w:p w:rsidR="00B851D4" w:rsidRPr="00394261" w:rsidRDefault="00AB412A" w:rsidP="00394261">
    <w:pPr>
      <w:pStyle w:val="Footer"/>
    </w:pPr>
    <w:fldSimple w:instr=" FILENAME \p  \* MERGEFORMAT ">
      <w:r w:rsidR="00966E2D">
        <w:t>P:\CHI\ITU-R\CONF-R\CMR15\000\007ADD21ADD02C.docx</w:t>
      </w:r>
    </w:fldSimple>
    <w:r w:rsidR="00966E2D">
      <w:t xml:space="preserve"> </w:t>
    </w:r>
    <w:r w:rsidR="00394261">
      <w:t>(387392)</w:t>
    </w:r>
    <w:r w:rsidR="00394261">
      <w:tab/>
    </w:r>
    <w:r w:rsidR="00394261">
      <w:fldChar w:fldCharType="begin"/>
    </w:r>
    <w:r w:rsidR="00394261">
      <w:instrText xml:space="preserve"> SAVEDATE \@ DD.MM.YY </w:instrText>
    </w:r>
    <w:r w:rsidR="00394261">
      <w:fldChar w:fldCharType="separate"/>
    </w:r>
    <w:r w:rsidR="00966E2D">
      <w:t>19.10.15</w:t>
    </w:r>
    <w:r w:rsidR="00394261">
      <w:fldChar w:fldCharType="end"/>
    </w:r>
    <w:r w:rsidR="00394261">
      <w:tab/>
    </w:r>
    <w:r w:rsidR="00394261">
      <w:fldChar w:fldCharType="begin"/>
    </w:r>
    <w:r w:rsidR="00394261">
      <w:instrText xml:space="preserve"> PRINTDATE \@ DD.MM.YY </w:instrText>
    </w:r>
    <w:r w:rsidR="00394261">
      <w:fldChar w:fldCharType="separate"/>
    </w:r>
    <w:r w:rsidR="00966E2D">
      <w:t>19.10.15</w:t>
    </w:r>
    <w:r w:rsidR="003942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C58F3" w:rsidRDefault="00966E2D" w:rsidP="008C58F3">
    <w:pPr>
      <w:pStyle w:val="Footer"/>
    </w:pPr>
    <w:r>
      <w:fldChar w:fldCharType="begin"/>
    </w:r>
    <w:r>
      <w:instrText xml:space="preserve"> FILENAME \p  \* MERGEFORMAT </w:instrText>
    </w:r>
    <w:r>
      <w:fldChar w:fldCharType="separate"/>
    </w:r>
    <w:r>
      <w:t>P:\CHI\ITU-R\CONF-R\CMR15\000\007ADD21ADD02C.docx</w:t>
    </w:r>
    <w:r>
      <w:fldChar w:fldCharType="end"/>
    </w:r>
    <w:r>
      <w:t xml:space="preserve"> </w:t>
    </w:r>
    <w:r w:rsidR="00394261">
      <w:t>(387392)</w:t>
    </w:r>
    <w:r w:rsidR="00394261">
      <w:tab/>
    </w:r>
    <w:r w:rsidR="00394261">
      <w:fldChar w:fldCharType="begin"/>
    </w:r>
    <w:r w:rsidR="00394261">
      <w:instrText xml:space="preserve"> SAVEDATE \@ DD.MM.YY </w:instrText>
    </w:r>
    <w:r w:rsidR="00394261">
      <w:fldChar w:fldCharType="separate"/>
    </w:r>
    <w:r>
      <w:t>19.10.15</w:t>
    </w:r>
    <w:r w:rsidR="00394261">
      <w:fldChar w:fldCharType="end"/>
    </w:r>
    <w:r w:rsidR="00394261">
      <w:tab/>
    </w:r>
    <w:r w:rsidR="00394261">
      <w:fldChar w:fldCharType="begin"/>
    </w:r>
    <w:r w:rsidR="00394261">
      <w:instrText xml:space="preserve"> PRINTDATE \@ DD.MM.YY </w:instrText>
    </w:r>
    <w:r w:rsidR="00394261">
      <w:fldChar w:fldCharType="separate"/>
    </w:r>
    <w:r>
      <w:t>19.10.15</w:t>
    </w:r>
    <w:r w:rsidR="003942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6E2D">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C7CAB"/>
    <w:rsid w:val="000E26F6"/>
    <w:rsid w:val="00123C07"/>
    <w:rsid w:val="00153562"/>
    <w:rsid w:val="001615A0"/>
    <w:rsid w:val="00166859"/>
    <w:rsid w:val="001765EC"/>
    <w:rsid w:val="001853E8"/>
    <w:rsid w:val="001B6360"/>
    <w:rsid w:val="001F4EA6"/>
    <w:rsid w:val="00214959"/>
    <w:rsid w:val="002260A6"/>
    <w:rsid w:val="00256A84"/>
    <w:rsid w:val="002742B3"/>
    <w:rsid w:val="00291928"/>
    <w:rsid w:val="002A4C9C"/>
    <w:rsid w:val="002B509B"/>
    <w:rsid w:val="002E2A59"/>
    <w:rsid w:val="002E4507"/>
    <w:rsid w:val="00305254"/>
    <w:rsid w:val="003169D2"/>
    <w:rsid w:val="0034542A"/>
    <w:rsid w:val="00360B26"/>
    <w:rsid w:val="00394261"/>
    <w:rsid w:val="003A45DC"/>
    <w:rsid w:val="003B4BEF"/>
    <w:rsid w:val="003C6B45"/>
    <w:rsid w:val="003F34AA"/>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0586"/>
    <w:rsid w:val="006B67CE"/>
    <w:rsid w:val="006C38ED"/>
    <w:rsid w:val="006E6182"/>
    <w:rsid w:val="006F3C60"/>
    <w:rsid w:val="00736415"/>
    <w:rsid w:val="00745B90"/>
    <w:rsid w:val="00770D2A"/>
    <w:rsid w:val="007864F6"/>
    <w:rsid w:val="007A72EB"/>
    <w:rsid w:val="007B7C4B"/>
    <w:rsid w:val="007F0FC5"/>
    <w:rsid w:val="007F5C36"/>
    <w:rsid w:val="008047DB"/>
    <w:rsid w:val="008129A9"/>
    <w:rsid w:val="008221A4"/>
    <w:rsid w:val="00824BD6"/>
    <w:rsid w:val="0083672D"/>
    <w:rsid w:val="00844734"/>
    <w:rsid w:val="00865DFB"/>
    <w:rsid w:val="008A7416"/>
    <w:rsid w:val="008B6852"/>
    <w:rsid w:val="008C26FF"/>
    <w:rsid w:val="008C58F3"/>
    <w:rsid w:val="008D1D14"/>
    <w:rsid w:val="008D1FF3"/>
    <w:rsid w:val="008E1785"/>
    <w:rsid w:val="008E1F26"/>
    <w:rsid w:val="008E7127"/>
    <w:rsid w:val="008E7C8E"/>
    <w:rsid w:val="00912959"/>
    <w:rsid w:val="00956510"/>
    <w:rsid w:val="0096507D"/>
    <w:rsid w:val="009657F9"/>
    <w:rsid w:val="00966E2D"/>
    <w:rsid w:val="009729CF"/>
    <w:rsid w:val="0099525B"/>
    <w:rsid w:val="009C72B7"/>
    <w:rsid w:val="00A0052C"/>
    <w:rsid w:val="00A31B14"/>
    <w:rsid w:val="00A323DC"/>
    <w:rsid w:val="00A466E6"/>
    <w:rsid w:val="00A815BE"/>
    <w:rsid w:val="00AA5DA1"/>
    <w:rsid w:val="00AA67C1"/>
    <w:rsid w:val="00AB412A"/>
    <w:rsid w:val="00AE369F"/>
    <w:rsid w:val="00B026CB"/>
    <w:rsid w:val="00B711CC"/>
    <w:rsid w:val="00B851D4"/>
    <w:rsid w:val="00B868FC"/>
    <w:rsid w:val="00B95072"/>
    <w:rsid w:val="00BB26CD"/>
    <w:rsid w:val="00C07239"/>
    <w:rsid w:val="00C364B1"/>
    <w:rsid w:val="00C47D87"/>
    <w:rsid w:val="00C627F9"/>
    <w:rsid w:val="00C6584D"/>
    <w:rsid w:val="00C91B91"/>
    <w:rsid w:val="00C929E0"/>
    <w:rsid w:val="00CB4E5A"/>
    <w:rsid w:val="00CC27C9"/>
    <w:rsid w:val="00CC73D7"/>
    <w:rsid w:val="00CF0AD7"/>
    <w:rsid w:val="00CF0BE1"/>
    <w:rsid w:val="00D52A14"/>
    <w:rsid w:val="00D6206A"/>
    <w:rsid w:val="00D74599"/>
    <w:rsid w:val="00DA0469"/>
    <w:rsid w:val="00DD13B7"/>
    <w:rsid w:val="00DF3B0C"/>
    <w:rsid w:val="00E14984"/>
    <w:rsid w:val="00E22A25"/>
    <w:rsid w:val="00E42EC2"/>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62585F-AF5F-4952-9E90-C756C59D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customStyle="1" w:styleId="NoteChar">
    <w:name w:val="Note Char"/>
    <w:link w:val="Note"/>
    <w:rsid w:val="004E4E8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R15-WRC15-C-0007!A21-A2!MSW-C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72376-B2AC-4CC1-909A-8BBB00D89480}">
  <ds:schemaRef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996b2e75-67fd-4955-a3b0-5ab9934cb50b"/>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2168</Words>
  <Characters>2629</Characters>
  <Application>Microsoft Office Word</Application>
  <DocSecurity>0</DocSecurity>
  <Lines>113</Lines>
  <Paragraphs>51</Paragraphs>
  <ScaleCrop>false</ScaleCrop>
  <HeadingPairs>
    <vt:vector size="2" baseType="variant">
      <vt:variant>
        <vt:lpstr>Title</vt:lpstr>
      </vt:variant>
      <vt:variant>
        <vt:i4>1</vt:i4>
      </vt:variant>
    </vt:vector>
  </HeadingPairs>
  <TitlesOfParts>
    <vt:vector size="1" baseType="lpstr">
      <vt:lpstr>R15-WRC15-C-0007!A21-A2!MSW-C</vt:lpstr>
    </vt:vector>
  </TitlesOfParts>
  <Manager>General Secretariat - Pool</Manager>
  <Company>International Telecommunication Union (ITU)</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R15-WRC15-C-0007!A21-A2!MSW-C</dc:title>
  <dc:subject>World Radiocommunication Conference - 2015</dc:subject>
  <dc:creator>Documents Proposals Manager (DPM)</dc:creator>
  <cp:keywords>DPM_v5.2015.10.8_prod</cp:keywords>
  <dc:description/>
  <cp:lastModifiedBy>Wang, Yujia</cp:lastModifiedBy>
  <cp:revision>12</cp:revision>
  <cp:lastPrinted>2015-10-19T10:02:00Z</cp:lastPrinted>
  <dcterms:created xsi:type="dcterms:W3CDTF">2015-10-16T09:53:00Z</dcterms:created>
  <dcterms:modified xsi:type="dcterms:W3CDTF">2015-10-19T10:04:00Z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