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7EB50029" w14:textId="77777777" w:rsidTr="0050008E">
        <w:trPr>
          <w:cantSplit/>
        </w:trPr>
        <w:tc>
          <w:tcPr>
            <w:tcW w:w="6911" w:type="dxa"/>
          </w:tcPr>
          <w:p w14:paraId="05A93A5A"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w:t>
            </w:r>
            <w:bookmarkStart w:id="0" w:name="_GoBack"/>
            <w:bookmarkEnd w:id="0"/>
            <w:r w:rsidRPr="00930FFD">
              <w:rPr>
                <w:rFonts w:ascii="Verdana" w:hAnsi="Verdana"/>
                <w:b/>
                <w:bCs/>
                <w:sz w:val="18"/>
                <w:szCs w:val="18"/>
                <w:lang w:val="fr-CH"/>
              </w:rPr>
              <w:t xml:space="preserve"> novembre 2015</w:t>
            </w:r>
          </w:p>
        </w:tc>
        <w:tc>
          <w:tcPr>
            <w:tcW w:w="3120" w:type="dxa"/>
          </w:tcPr>
          <w:p w14:paraId="48304432" w14:textId="77777777" w:rsidR="00BB1D82" w:rsidRPr="002A6F8F" w:rsidRDefault="002C28A4" w:rsidP="002C28A4">
            <w:pPr>
              <w:spacing w:before="0" w:line="240" w:lineRule="atLeast"/>
              <w:jc w:val="right"/>
              <w:rPr>
                <w:lang w:val="en-US"/>
              </w:rPr>
            </w:pPr>
            <w:bookmarkStart w:id="1" w:name="ditulogo"/>
            <w:bookmarkEnd w:id="1"/>
            <w:r>
              <w:rPr>
                <w:noProof/>
                <w:lang w:val="en-GB" w:eastAsia="zh-CN"/>
              </w:rPr>
              <w:drawing>
                <wp:inline distT="0" distB="0" distL="0" distR="0" wp14:anchorId="35483B2C" wp14:editId="2F12D67C">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28D0BF96" w14:textId="77777777" w:rsidTr="0050008E">
        <w:trPr>
          <w:cantSplit/>
        </w:trPr>
        <w:tc>
          <w:tcPr>
            <w:tcW w:w="6911" w:type="dxa"/>
            <w:tcBorders>
              <w:bottom w:val="single" w:sz="12" w:space="0" w:color="auto"/>
            </w:tcBorders>
          </w:tcPr>
          <w:p w14:paraId="00D42879" w14:textId="77777777"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66215BEF" w14:textId="77777777" w:rsidR="00BB1D82" w:rsidRPr="002A6F8F" w:rsidRDefault="00BB1D82" w:rsidP="00BB1D82">
            <w:pPr>
              <w:spacing w:before="0" w:line="240" w:lineRule="atLeast"/>
              <w:rPr>
                <w:rFonts w:ascii="Verdana" w:hAnsi="Verdana"/>
                <w:szCs w:val="24"/>
                <w:lang w:val="en-US"/>
              </w:rPr>
            </w:pPr>
          </w:p>
        </w:tc>
      </w:tr>
      <w:tr w:rsidR="00BB1D82" w:rsidRPr="002A6F8F" w14:paraId="1F0DB54A" w14:textId="77777777" w:rsidTr="00BB1D82">
        <w:trPr>
          <w:cantSplit/>
        </w:trPr>
        <w:tc>
          <w:tcPr>
            <w:tcW w:w="6911" w:type="dxa"/>
            <w:tcBorders>
              <w:top w:val="single" w:sz="12" w:space="0" w:color="auto"/>
            </w:tcBorders>
          </w:tcPr>
          <w:p w14:paraId="6B52A1AD"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5C114EED" w14:textId="77777777" w:rsidR="00BB1D82" w:rsidRPr="002A6F8F" w:rsidRDefault="00BB1D82" w:rsidP="00BB1D82">
            <w:pPr>
              <w:spacing w:before="0" w:line="240" w:lineRule="atLeast"/>
              <w:rPr>
                <w:rFonts w:ascii="Verdana" w:hAnsi="Verdana"/>
                <w:sz w:val="20"/>
                <w:lang w:val="en-US"/>
              </w:rPr>
            </w:pPr>
          </w:p>
        </w:tc>
      </w:tr>
      <w:tr w:rsidR="00BB1D82" w:rsidRPr="002A6F8F" w14:paraId="7032E302" w14:textId="77777777" w:rsidTr="00BB1D82">
        <w:trPr>
          <w:cantSplit/>
        </w:trPr>
        <w:tc>
          <w:tcPr>
            <w:tcW w:w="6911" w:type="dxa"/>
            <w:shd w:val="clear" w:color="auto" w:fill="auto"/>
          </w:tcPr>
          <w:p w14:paraId="6BF08D87"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06727659" w14:textId="77777777" w:rsidR="00BB1D82" w:rsidRPr="00BA680D" w:rsidRDefault="006D4724" w:rsidP="00BA5BD0">
            <w:pPr>
              <w:spacing w:before="0"/>
              <w:rPr>
                <w:rFonts w:ascii="Verdana" w:hAnsi="Verdana"/>
                <w:sz w:val="20"/>
                <w:lang w:val="fr-CH"/>
              </w:rPr>
            </w:pPr>
            <w:r w:rsidRPr="00BA680D">
              <w:rPr>
                <w:rFonts w:ascii="Verdana" w:eastAsia="SimSun" w:hAnsi="Verdana" w:cs="Traditional Arabic"/>
                <w:b/>
                <w:sz w:val="20"/>
                <w:lang w:val="fr-CH"/>
              </w:rPr>
              <w:t>Addendum 5 au</w:t>
            </w:r>
            <w:r w:rsidRPr="00BA680D">
              <w:rPr>
                <w:rFonts w:ascii="Verdana" w:eastAsia="SimSun" w:hAnsi="Verdana" w:cs="Traditional Arabic"/>
                <w:b/>
                <w:sz w:val="20"/>
                <w:lang w:val="fr-CH"/>
              </w:rPr>
              <w:br/>
              <w:t>Document 7(Add.21)</w:t>
            </w:r>
            <w:r w:rsidR="00BB1D82" w:rsidRPr="00BA680D">
              <w:rPr>
                <w:rFonts w:ascii="Verdana" w:hAnsi="Verdana"/>
                <w:b/>
                <w:sz w:val="20"/>
                <w:lang w:val="fr-CH"/>
              </w:rPr>
              <w:t>-</w:t>
            </w:r>
            <w:r w:rsidRPr="00BA680D">
              <w:rPr>
                <w:rFonts w:ascii="Verdana" w:hAnsi="Verdana"/>
                <w:b/>
                <w:sz w:val="20"/>
                <w:lang w:val="fr-CH"/>
              </w:rPr>
              <w:t>F</w:t>
            </w:r>
          </w:p>
        </w:tc>
      </w:tr>
      <w:bookmarkEnd w:id="2"/>
      <w:tr w:rsidR="00690C7B" w:rsidRPr="002A6F8F" w14:paraId="3CD42D7C" w14:textId="77777777" w:rsidTr="00BB1D82">
        <w:trPr>
          <w:cantSplit/>
        </w:trPr>
        <w:tc>
          <w:tcPr>
            <w:tcW w:w="6911" w:type="dxa"/>
            <w:shd w:val="clear" w:color="auto" w:fill="auto"/>
          </w:tcPr>
          <w:p w14:paraId="6B3BCA25" w14:textId="77777777" w:rsidR="00690C7B" w:rsidRPr="00BA680D" w:rsidRDefault="00690C7B" w:rsidP="00BA5BD0">
            <w:pPr>
              <w:spacing w:before="0"/>
              <w:rPr>
                <w:rFonts w:ascii="Verdana" w:hAnsi="Verdana"/>
                <w:b/>
                <w:sz w:val="20"/>
                <w:lang w:val="fr-CH"/>
              </w:rPr>
            </w:pPr>
          </w:p>
        </w:tc>
        <w:tc>
          <w:tcPr>
            <w:tcW w:w="3120" w:type="dxa"/>
            <w:shd w:val="clear" w:color="auto" w:fill="auto"/>
          </w:tcPr>
          <w:p w14:paraId="6FC6E88C"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29</w:t>
            </w:r>
            <w:r w:rsidRPr="003F081C">
              <w:rPr>
                <w:rFonts w:ascii="Verdana" w:hAnsi="Verdana"/>
                <w:b/>
                <w:sz w:val="20"/>
                <w:lang w:val="fr-CH"/>
              </w:rPr>
              <w:t xml:space="preserve"> septembre</w:t>
            </w:r>
            <w:r w:rsidRPr="002A6F8F">
              <w:rPr>
                <w:rFonts w:ascii="Verdana" w:hAnsi="Verdana"/>
                <w:b/>
                <w:sz w:val="20"/>
                <w:lang w:val="en-US"/>
              </w:rPr>
              <w:t xml:space="preserve"> 2015</w:t>
            </w:r>
          </w:p>
        </w:tc>
      </w:tr>
      <w:tr w:rsidR="00690C7B" w:rsidRPr="002A6F8F" w14:paraId="19533A69" w14:textId="77777777" w:rsidTr="00BB1D82">
        <w:trPr>
          <w:cantSplit/>
        </w:trPr>
        <w:tc>
          <w:tcPr>
            <w:tcW w:w="6911" w:type="dxa"/>
          </w:tcPr>
          <w:p w14:paraId="32E1B3CE" w14:textId="77777777" w:rsidR="00690C7B" w:rsidRPr="002A6F8F" w:rsidRDefault="00690C7B" w:rsidP="00BA5BD0">
            <w:pPr>
              <w:spacing w:before="0" w:after="48"/>
              <w:rPr>
                <w:rFonts w:ascii="Verdana" w:hAnsi="Verdana"/>
                <w:b/>
                <w:smallCaps/>
                <w:sz w:val="20"/>
                <w:lang w:val="en-US"/>
              </w:rPr>
            </w:pPr>
          </w:p>
        </w:tc>
        <w:tc>
          <w:tcPr>
            <w:tcW w:w="3120" w:type="dxa"/>
          </w:tcPr>
          <w:p w14:paraId="17BBC3CC"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w:t>
            </w:r>
            <w:r w:rsidRPr="003F081C">
              <w:rPr>
                <w:rFonts w:ascii="Verdana" w:hAnsi="Verdana"/>
                <w:b/>
                <w:sz w:val="20"/>
                <w:lang w:val="fr-CH"/>
              </w:rPr>
              <w:t xml:space="preserve"> espagnol</w:t>
            </w:r>
          </w:p>
        </w:tc>
      </w:tr>
      <w:tr w:rsidR="00690C7B" w:rsidRPr="002A6F8F" w14:paraId="47935D22" w14:textId="77777777" w:rsidTr="00C11970">
        <w:trPr>
          <w:cantSplit/>
        </w:trPr>
        <w:tc>
          <w:tcPr>
            <w:tcW w:w="10031" w:type="dxa"/>
            <w:gridSpan w:val="2"/>
          </w:tcPr>
          <w:p w14:paraId="28F484B2" w14:textId="77777777" w:rsidR="00690C7B" w:rsidRPr="002A6F8F" w:rsidRDefault="00690C7B" w:rsidP="00BA5BD0">
            <w:pPr>
              <w:spacing w:before="0"/>
              <w:rPr>
                <w:rFonts w:ascii="Verdana" w:hAnsi="Verdana"/>
                <w:b/>
                <w:sz w:val="20"/>
                <w:lang w:val="en-US"/>
              </w:rPr>
            </w:pPr>
          </w:p>
        </w:tc>
      </w:tr>
      <w:tr w:rsidR="00690C7B" w:rsidRPr="002A6F8F" w14:paraId="797DD404" w14:textId="77777777" w:rsidTr="0050008E">
        <w:trPr>
          <w:cantSplit/>
        </w:trPr>
        <w:tc>
          <w:tcPr>
            <w:tcW w:w="10031" w:type="dxa"/>
            <w:gridSpan w:val="2"/>
          </w:tcPr>
          <w:p w14:paraId="7B68AB3A" w14:textId="77777777" w:rsidR="00690C7B" w:rsidRPr="00BA680D" w:rsidRDefault="00690C7B" w:rsidP="00690C7B">
            <w:pPr>
              <w:pStyle w:val="Source"/>
              <w:rPr>
                <w:lang w:val="fr-CH"/>
              </w:rPr>
            </w:pPr>
            <w:bookmarkStart w:id="3" w:name="dsource" w:colFirst="0" w:colLast="0"/>
            <w:r w:rsidRPr="00BA680D">
              <w:rPr>
                <w:lang w:val="fr-CH"/>
              </w:rPr>
              <w:t>Etats Membres de la Commission interaméricaine des télécommunications (CITEL)</w:t>
            </w:r>
          </w:p>
        </w:tc>
      </w:tr>
      <w:tr w:rsidR="00690C7B" w:rsidRPr="002A6F8F" w14:paraId="685E5050" w14:textId="77777777" w:rsidTr="0050008E">
        <w:trPr>
          <w:cantSplit/>
        </w:trPr>
        <w:tc>
          <w:tcPr>
            <w:tcW w:w="10031" w:type="dxa"/>
            <w:gridSpan w:val="2"/>
          </w:tcPr>
          <w:p w14:paraId="6B3B98B5" w14:textId="77777777" w:rsidR="00690C7B" w:rsidRPr="00BA680D" w:rsidRDefault="00BA680D" w:rsidP="00690C7B">
            <w:pPr>
              <w:pStyle w:val="Title1"/>
              <w:rPr>
                <w:lang w:val="fr-CH"/>
              </w:rPr>
            </w:pPr>
            <w:bookmarkStart w:id="4" w:name="dtitle1" w:colFirst="0" w:colLast="0"/>
            <w:bookmarkEnd w:id="3"/>
            <w:r w:rsidRPr="00BA680D">
              <w:rPr>
                <w:lang w:val="fr-CH"/>
              </w:rPr>
              <w:t>PROPOSITIONS POUR LES TRAVAUX DE LA CONFéRENCE</w:t>
            </w:r>
          </w:p>
        </w:tc>
      </w:tr>
      <w:tr w:rsidR="00690C7B" w:rsidRPr="002A6F8F" w14:paraId="67972C42" w14:textId="77777777" w:rsidTr="0050008E">
        <w:trPr>
          <w:cantSplit/>
        </w:trPr>
        <w:tc>
          <w:tcPr>
            <w:tcW w:w="10031" w:type="dxa"/>
            <w:gridSpan w:val="2"/>
          </w:tcPr>
          <w:p w14:paraId="053BF0F2" w14:textId="77777777" w:rsidR="00690C7B" w:rsidRPr="00BA680D" w:rsidRDefault="00690C7B" w:rsidP="00690C7B">
            <w:pPr>
              <w:pStyle w:val="Title2"/>
              <w:rPr>
                <w:lang w:val="fr-CH"/>
              </w:rPr>
            </w:pPr>
            <w:bookmarkStart w:id="5" w:name="dtitle2" w:colFirst="0" w:colLast="0"/>
            <w:bookmarkEnd w:id="4"/>
          </w:p>
        </w:tc>
      </w:tr>
      <w:tr w:rsidR="00690C7B" w14:paraId="1B143149" w14:textId="77777777" w:rsidTr="0050008E">
        <w:trPr>
          <w:cantSplit/>
        </w:trPr>
        <w:tc>
          <w:tcPr>
            <w:tcW w:w="10031" w:type="dxa"/>
            <w:gridSpan w:val="2"/>
          </w:tcPr>
          <w:p w14:paraId="2D89D098" w14:textId="77777777" w:rsidR="00690C7B" w:rsidRDefault="00690C7B" w:rsidP="00690C7B">
            <w:pPr>
              <w:pStyle w:val="Agendaitem"/>
            </w:pPr>
            <w:bookmarkStart w:id="6" w:name="dtitle3" w:colFirst="0" w:colLast="0"/>
            <w:bookmarkEnd w:id="5"/>
            <w:r w:rsidRPr="006D4724">
              <w:t>Point 7(E) de l'ordre du jour</w:t>
            </w:r>
          </w:p>
        </w:tc>
      </w:tr>
    </w:tbl>
    <w:bookmarkEnd w:id="6"/>
    <w:p w14:paraId="70B37DBB" w14:textId="77777777" w:rsidR="001C0E40" w:rsidRPr="00EC691D" w:rsidRDefault="008F32E3" w:rsidP="006A0A51">
      <w:pPr>
        <w:rPr>
          <w:lang w:val="fr-CA"/>
        </w:rPr>
      </w:pPr>
      <w:r w:rsidRPr="0003194D">
        <w:rPr>
          <w:lang w:val="fr-CA"/>
        </w:rPr>
        <w:t>7</w:t>
      </w:r>
      <w:r w:rsidRPr="0003194D">
        <w:rPr>
          <w:lang w:val="fr-CA"/>
        </w:rPr>
        <w:tab/>
        <w:t xml:space="preserve">examiner d'éventuels changements à apporter, et d'autres options à mettre en œuvre, en application de la Résolution 86 </w:t>
      </w:r>
      <w:r w:rsidRPr="003F081C">
        <w:rPr>
          <w:lang w:val="fr-CH"/>
        </w:rPr>
        <w:t>(Rév</w:t>
      </w:r>
      <w:r w:rsidRPr="0003194D">
        <w:rPr>
          <w:lang w:val="fr-CA"/>
        </w:rPr>
        <w:t>.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14:paraId="30EB6253" w14:textId="77777777" w:rsidR="001C0E40" w:rsidRPr="00FB568E" w:rsidRDefault="008F32E3">
      <w:pPr>
        <w:rPr>
          <w:lang w:val="fr-CA"/>
        </w:rPr>
      </w:pPr>
      <w:r>
        <w:rPr>
          <w:lang w:val="fr-CH"/>
        </w:rPr>
        <w:t>7(E)</w:t>
      </w:r>
      <w:r>
        <w:rPr>
          <w:lang w:val="fr-CH"/>
        </w:rPr>
        <w:tab/>
      </w:r>
      <w:r w:rsidRPr="00731224">
        <w:rPr>
          <w:lang w:val="fr-CH"/>
        </w:rPr>
        <w:t>Question E – Défaillance d'un satellite au cours de la période de 90</w:t>
      </w:r>
      <w:r>
        <w:rPr>
          <w:lang w:val="fr-CH"/>
        </w:rPr>
        <w:t> </w:t>
      </w:r>
      <w:r w:rsidRPr="00731224">
        <w:rPr>
          <w:lang w:val="fr-CH"/>
        </w:rPr>
        <w:t>jours prévue pour la mise en service</w:t>
      </w:r>
      <w:r>
        <w:rPr>
          <w:lang w:val="fr-CH"/>
        </w:rPr>
        <w:t>.</w:t>
      </w:r>
    </w:p>
    <w:p w14:paraId="5127D980" w14:textId="77777777" w:rsidR="003A583E" w:rsidRPr="00C7736F" w:rsidRDefault="008C5972" w:rsidP="00F85276">
      <w:pPr>
        <w:pStyle w:val="Headingb"/>
        <w:rPr>
          <w:lang w:val="fr-CH"/>
        </w:rPr>
      </w:pPr>
      <w:r>
        <w:t>Considérations générales</w:t>
      </w:r>
    </w:p>
    <w:p w14:paraId="1D6AE6DF" w14:textId="7047EF77" w:rsidR="00B30F16" w:rsidRPr="00026304" w:rsidRDefault="00F85276" w:rsidP="00635787">
      <w:r w:rsidRPr="00026304">
        <w:rPr>
          <w:lang w:val="fr-CH" w:eastAsia="zh-CN"/>
        </w:rPr>
        <w:t>La CMR-12 a ajouté de nouvelles dispositions dans le R</w:t>
      </w:r>
      <w:r w:rsidR="003D0BFF" w:rsidRPr="00026304">
        <w:rPr>
          <w:lang w:val="fr-CH" w:eastAsia="zh-CN"/>
        </w:rPr>
        <w:t>èglement des radiocommunications (</w:t>
      </w:r>
      <w:r w:rsidRPr="00026304">
        <w:rPr>
          <w:lang w:val="fr-CH" w:eastAsia="zh-CN"/>
        </w:rPr>
        <w:t>R</w:t>
      </w:r>
      <w:r w:rsidR="003D0BFF" w:rsidRPr="00026304">
        <w:rPr>
          <w:lang w:val="fr-CH" w:eastAsia="zh-CN"/>
        </w:rPr>
        <w:t>R)</w:t>
      </w:r>
      <w:r w:rsidRPr="00026304">
        <w:rPr>
          <w:lang w:val="fr-CH" w:eastAsia="zh-CN"/>
        </w:rPr>
        <w:t xml:space="preserve">, à savoir le numéro </w:t>
      </w:r>
      <w:r w:rsidRPr="00026304">
        <w:t>11.44.2</w:t>
      </w:r>
      <w:r w:rsidRPr="00026304">
        <w:rPr>
          <w:lang w:val="fr-CH" w:eastAsia="zh-CN"/>
        </w:rPr>
        <w:t xml:space="preserve"> et le numéro </w:t>
      </w:r>
      <w:r w:rsidRPr="00026304">
        <w:t>11.44B</w:t>
      </w:r>
      <w:r w:rsidRPr="00026304">
        <w:rPr>
          <w:lang w:val="fr-CH" w:eastAsia="zh-CN"/>
        </w:rPr>
        <w:t>, afin de mieux définir la mise en service d'une assignation de fréquence à une station spatiale sur l'orbite des satellites géostationnaires. Conformément au numéro </w:t>
      </w:r>
      <w:r w:rsidRPr="00026304">
        <w:t>11.44B</w:t>
      </w:r>
      <w:r w:rsidRPr="00026304">
        <w:rPr>
          <w:lang w:val="fr-CH" w:eastAsia="zh-CN"/>
        </w:rPr>
        <w:t xml:space="preserve"> du RR, «</w:t>
      </w:r>
      <w:r w:rsidRPr="00026304">
        <w:rPr>
          <w:lang w:val="fr-CH"/>
        </w:rPr>
        <w:t>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w:t>
      </w:r>
      <w:r w:rsidR="00635787">
        <w:rPr>
          <w:lang w:val="fr-CH"/>
        </w:rPr>
        <w:t xml:space="preserve"> </w:t>
      </w:r>
      <w:r w:rsidR="005A746B" w:rsidRPr="00026304">
        <w:rPr>
          <w:lang w:val="fr-CH" w:eastAsia="zh-CN"/>
        </w:rPr>
        <w:t>Toutefois, les dispositions actuelles relatives à la mise en service ne traitent pas du possible scénario d'une défaillance d'un satellite au cours</w:t>
      </w:r>
      <w:r w:rsidR="006C11DB" w:rsidRPr="00026304">
        <w:rPr>
          <w:lang w:val="fr-CH" w:eastAsia="zh-CN"/>
        </w:rPr>
        <w:t xml:space="preserve"> </w:t>
      </w:r>
      <w:r w:rsidR="006C11DB" w:rsidRPr="00026304">
        <w:rPr>
          <w:lang w:val="fr-CH"/>
        </w:rPr>
        <w:t>de la période de 90 jours mentionnée ci-dessus.</w:t>
      </w:r>
      <w:r w:rsidR="002D61BD" w:rsidRPr="00026304">
        <w:rPr>
          <w:lang w:val="fr-CH"/>
        </w:rPr>
        <w:t xml:space="preserve"> </w:t>
      </w:r>
      <w:r w:rsidR="00D54BED" w:rsidRPr="00026304">
        <w:rPr>
          <w:color w:val="000000"/>
        </w:rPr>
        <w:t xml:space="preserve">La CMR-12 a examiné la question de la défaillance d'un satellite, </w:t>
      </w:r>
      <w:r w:rsidR="00D54BED" w:rsidRPr="00026304">
        <w:rPr>
          <w:rFonts w:eastAsia="SimSun"/>
          <w:iCs/>
          <w:szCs w:val="24"/>
          <w:lang w:eastAsia="zh-CN"/>
        </w:rPr>
        <w:t>en particulier un satellite qui vient d'être lancé,</w:t>
      </w:r>
      <w:r w:rsidR="00D54BED" w:rsidRPr="00026304">
        <w:rPr>
          <w:color w:val="000000"/>
        </w:rPr>
        <w:t xml:space="preserve"> </w:t>
      </w:r>
      <w:r w:rsidR="00D54BED" w:rsidRPr="00026304">
        <w:rPr>
          <w:rFonts w:eastAsia="SimSun"/>
          <w:iCs/>
          <w:szCs w:val="24"/>
          <w:lang w:eastAsia="zh-CN"/>
        </w:rPr>
        <w:t>au cours de la période de 90 jours prévue pour la mise en service</w:t>
      </w:r>
      <w:r w:rsidR="00D54BED" w:rsidRPr="00026304">
        <w:rPr>
          <w:color w:val="000000"/>
        </w:rPr>
        <w:t xml:space="preserve">, </w:t>
      </w:r>
      <w:r w:rsidR="00026304">
        <w:rPr>
          <w:color w:val="000000"/>
        </w:rPr>
        <w:t>qui entraîne</w:t>
      </w:r>
      <w:r w:rsidR="00D54BED" w:rsidRPr="00026304">
        <w:rPr>
          <w:color w:val="000000"/>
        </w:rPr>
        <w:t xml:space="preserve"> pour ledit satellite l'incapacité technique de fonctionner dans une bande de fréquences donnée.</w:t>
      </w:r>
      <w:r w:rsidR="00D54BED" w:rsidRPr="00026304">
        <w:rPr>
          <w:rFonts w:eastAsia="SimSun"/>
          <w:iCs/>
          <w:szCs w:val="24"/>
          <w:lang w:eastAsia="zh-CN"/>
        </w:rPr>
        <w:t xml:space="preserve"> </w:t>
      </w:r>
      <w:r w:rsidR="00B30F16" w:rsidRPr="00026304">
        <w:t xml:space="preserve">La CMR-12 a invité l'UIT-R à procéder d'urgence à des études, afin de déterminer les éventuelles modifications réglementaires à apporter au RR au titre du point 7 de l'ordre du jour de la CMR-15, en vue de traiter cette question. La CMR-12 a par ailleurs décidé qu'en cas de défaillance de ce type, l'administration notificatrice pourrait </w:t>
      </w:r>
      <w:r w:rsidR="00B30F16" w:rsidRPr="00026304">
        <w:lastRenderedPageBreak/>
        <w:t xml:space="preserve">soumettre le cas au </w:t>
      </w:r>
      <w:r w:rsidR="00EC5586" w:rsidRPr="00026304">
        <w:rPr>
          <w:color w:val="000000"/>
        </w:rPr>
        <w:t xml:space="preserve">Comité du </w:t>
      </w:r>
      <w:r w:rsidR="00E4554A" w:rsidRPr="00026304">
        <w:rPr>
          <w:color w:val="000000"/>
        </w:rPr>
        <w:t>Règlement des radiocommunications</w:t>
      </w:r>
      <w:r w:rsidR="00E4554A" w:rsidRPr="00026304">
        <w:t xml:space="preserve"> (</w:t>
      </w:r>
      <w:r w:rsidR="00B30F16" w:rsidRPr="00026304">
        <w:t>RRB</w:t>
      </w:r>
      <w:r w:rsidR="003F081C" w:rsidRPr="00026304">
        <w:t>),</w:t>
      </w:r>
      <w:r w:rsidR="00B30F16" w:rsidRPr="00026304">
        <w:t xml:space="preserve"> pour que celui-ci l'examine et prenne une décision au cas par cas.</w:t>
      </w:r>
    </w:p>
    <w:p w14:paraId="2927C477" w14:textId="59DCC2AD" w:rsidR="00B30F16" w:rsidRPr="00026304" w:rsidRDefault="00D26628" w:rsidP="00026304">
      <w:pPr>
        <w:rPr>
          <w:lang w:val="fr-CH"/>
        </w:rPr>
      </w:pPr>
      <w:r w:rsidRPr="00026304">
        <w:rPr>
          <w:szCs w:val="24"/>
          <w:lang w:val="fr-CH"/>
        </w:rPr>
        <w:t xml:space="preserve">Les méthodes E1 et E2 indiquées dans le Rapport de la </w:t>
      </w:r>
      <w:r w:rsidR="00C944DD" w:rsidRPr="00026304">
        <w:rPr>
          <w:color w:val="000000"/>
        </w:rPr>
        <w:t>Réunion de préparation à la Conférence</w:t>
      </w:r>
      <w:r w:rsidR="00C944DD" w:rsidRPr="00026304">
        <w:rPr>
          <w:szCs w:val="24"/>
          <w:lang w:val="fr-CH"/>
        </w:rPr>
        <w:t xml:space="preserve"> (</w:t>
      </w:r>
      <w:r w:rsidRPr="00026304">
        <w:rPr>
          <w:szCs w:val="24"/>
          <w:lang w:val="fr-CH"/>
        </w:rPr>
        <w:t>RPC</w:t>
      </w:r>
      <w:r w:rsidR="00C944DD" w:rsidRPr="00026304">
        <w:rPr>
          <w:szCs w:val="24"/>
          <w:lang w:val="fr-CH"/>
        </w:rPr>
        <w:t>)</w:t>
      </w:r>
      <w:r w:rsidRPr="00026304">
        <w:rPr>
          <w:szCs w:val="24"/>
          <w:lang w:val="fr-CH"/>
        </w:rPr>
        <w:t xml:space="preserve"> proposent d’autoriser qu'une assignation de fréquence soit considérée comme ayant été mise en service </w:t>
      </w:r>
      <w:r w:rsidR="001865EE" w:rsidRPr="00026304">
        <w:rPr>
          <w:szCs w:val="24"/>
          <w:lang w:val="fr-CH"/>
        </w:rPr>
        <w:t xml:space="preserve">en application du numéro 11.44B </w:t>
      </w:r>
      <w:r w:rsidR="00A91E56" w:rsidRPr="00026304">
        <w:rPr>
          <w:szCs w:val="24"/>
          <w:lang w:val="fr-CH"/>
        </w:rPr>
        <w:t xml:space="preserve">du RR </w:t>
      </w:r>
      <w:r w:rsidRPr="00026304">
        <w:rPr>
          <w:szCs w:val="24"/>
          <w:lang w:val="fr-CH"/>
        </w:rPr>
        <w:t>dans les cas où elle n'a pas pu être mise en service en raison d'une défaillance d'un satellite au cours de la période de 90 jours prévue pour la mise en service.</w:t>
      </w:r>
      <w:r w:rsidR="002D61BD" w:rsidRPr="00026304">
        <w:rPr>
          <w:szCs w:val="24"/>
          <w:lang w:val="fr-CH"/>
        </w:rPr>
        <w:t xml:space="preserve"> </w:t>
      </w:r>
      <w:r w:rsidR="003201D5" w:rsidRPr="00026304">
        <w:rPr>
          <w:lang w:val="fr-CH"/>
        </w:rPr>
        <w:t xml:space="preserve">La méthode </w:t>
      </w:r>
      <w:r w:rsidR="002D61BD" w:rsidRPr="00026304">
        <w:rPr>
          <w:lang w:val="fr-CH"/>
        </w:rPr>
        <w:t>E</w:t>
      </w:r>
      <w:r w:rsidR="003201D5" w:rsidRPr="00026304">
        <w:rPr>
          <w:lang w:val="fr-CH"/>
        </w:rPr>
        <w:t>2 propose, en outre, d’autoriser</w:t>
      </w:r>
      <w:r w:rsidR="003201D5" w:rsidRPr="00026304">
        <w:rPr>
          <w:szCs w:val="24"/>
          <w:lang w:val="fr-CH"/>
        </w:rPr>
        <w:t xml:space="preserve"> qu'une assignation de fréquence soit considérée comme ayant été remise en service en application du numéro 11.49.1 du RR dans les cas où </w:t>
      </w:r>
      <w:r w:rsidR="00F60E45" w:rsidRPr="00026304">
        <w:rPr>
          <w:szCs w:val="24"/>
          <w:lang w:val="fr-CH"/>
        </w:rPr>
        <w:t>une assignation de fréquences</w:t>
      </w:r>
      <w:r w:rsidR="00026304">
        <w:rPr>
          <w:szCs w:val="24"/>
          <w:lang w:val="fr-CH"/>
        </w:rPr>
        <w:t xml:space="preserve"> dont l'utilisation a été</w:t>
      </w:r>
      <w:r w:rsidR="00F60E45" w:rsidRPr="00026304">
        <w:rPr>
          <w:szCs w:val="24"/>
          <w:lang w:val="fr-CH"/>
        </w:rPr>
        <w:t xml:space="preserve"> suspendue</w:t>
      </w:r>
      <w:r w:rsidR="003201D5" w:rsidRPr="00026304">
        <w:rPr>
          <w:szCs w:val="24"/>
          <w:lang w:val="fr-CH"/>
        </w:rPr>
        <w:t xml:space="preserve"> n'a pas pu être remise en service en raison d'une défaillance d'un satellite au cours de la période de 90 jours prévue pour la remise en service au titre du numéro 11.49.1.</w:t>
      </w:r>
      <w:r w:rsidR="00F27649" w:rsidRPr="00026304">
        <w:rPr>
          <w:szCs w:val="24"/>
          <w:lang w:val="fr-CH"/>
        </w:rPr>
        <w:t xml:space="preserve"> </w:t>
      </w:r>
      <w:r w:rsidR="00265E12" w:rsidRPr="00026304">
        <w:t xml:space="preserve">Toutefois, après examen des discussions ayant eu lieu au sein de l’UIT-R à ce sujet, il serait préférable de </w:t>
      </w:r>
      <w:r w:rsidR="00E03B13" w:rsidRPr="00026304">
        <w:rPr>
          <w:szCs w:val="24"/>
          <w:lang w:val="fr-CH"/>
        </w:rPr>
        <w:t>continuer d'appliquer les procédures actuelles prévues par le RR, compte tenu du fait que la défaillance d'un satellite au cours de la période de 90 jours prévue pour la mise en service ou la remise en service est extrêmement rare. En cas de défaillance d'un satellite récemment lancé ou en orbite au cours de la période de 90 jours prévue pour la mise en service ou la remise en service, les administrations ont déjà la possibilité de demander l'assistance du RRB conformément aux procédures actuelles et, si les résultats ne sont pas concluants, de porter le cas devant une CMR. Il n'existe aucune différence d'ordre réglementaire entre un satellite récemment lancé et un satellite en orbite, et</w:t>
      </w:r>
      <w:r w:rsidR="00265E12" w:rsidRPr="00026304">
        <w:rPr>
          <w:szCs w:val="24"/>
          <w:lang w:val="fr-CH"/>
        </w:rPr>
        <w:t xml:space="preserve"> toute disposition du RR relative à la mise en service doit s’appliquer de la même manière dans les deux cas.</w:t>
      </w:r>
    </w:p>
    <w:p w14:paraId="75A8DFB2" w14:textId="19D986F4" w:rsidR="00E03B13" w:rsidRPr="00026304" w:rsidRDefault="00265E12" w:rsidP="00026304">
      <w:pPr>
        <w:rPr>
          <w:szCs w:val="24"/>
          <w:lang w:val="fr-CH"/>
        </w:rPr>
      </w:pPr>
      <w:r w:rsidRPr="00026304">
        <w:t>Par ailleurs, les méthodes E1 et E2 indiquées dans le Rapport de la RPC pourraient</w:t>
      </w:r>
      <w:r w:rsidR="000C788D" w:rsidRPr="00026304">
        <w:t>,</w:t>
      </w:r>
      <w:r w:rsidRPr="00026304">
        <w:t xml:space="preserve"> si elles sont adoptées,</w:t>
      </w:r>
      <w:r w:rsidR="000C788D" w:rsidRPr="00026304">
        <w:t xml:space="preserve"> </w:t>
      </w:r>
      <w:r w:rsidR="005C3338" w:rsidRPr="00026304">
        <w:rPr>
          <w:szCs w:val="24"/>
          <w:lang w:val="fr-CH"/>
        </w:rPr>
        <w:t>encourager une utilisation abusive des règles de mise en service, du fait que cela reviendrait à autoriser</w:t>
      </w:r>
      <w:r w:rsidR="00D71FF7" w:rsidRPr="00026304">
        <w:rPr>
          <w:szCs w:val="24"/>
          <w:lang w:val="fr-CH"/>
        </w:rPr>
        <w:t>, de manière non intentionnelle,</w:t>
      </w:r>
      <w:r w:rsidR="005C3338" w:rsidRPr="00026304">
        <w:rPr>
          <w:szCs w:val="24"/>
          <w:lang w:val="fr-CH"/>
        </w:rPr>
        <w:t xml:space="preserve"> le déplacement de satellites vieillissants ou anciens d'une position orbitale à une autre</w:t>
      </w:r>
      <w:r w:rsidR="00D71FF7" w:rsidRPr="00026304">
        <w:rPr>
          <w:szCs w:val="24"/>
          <w:lang w:val="fr-CH"/>
        </w:rPr>
        <w:t xml:space="preserve"> dans le but de mettre en service des créneaux orbitaux</w:t>
      </w:r>
      <w:r w:rsidR="005C3338" w:rsidRPr="00026304">
        <w:rPr>
          <w:szCs w:val="24"/>
          <w:lang w:val="fr-CH"/>
        </w:rPr>
        <w:t>, sans se soucier des possibilités de défaillance du satellite.</w:t>
      </w:r>
    </w:p>
    <w:p w14:paraId="6A9AA107" w14:textId="23E30A3B" w:rsidR="00686697" w:rsidRDefault="00686697" w:rsidP="00026304">
      <w:pPr>
        <w:rPr>
          <w:lang w:val="fr-CH"/>
        </w:rPr>
      </w:pPr>
      <w:r w:rsidRPr="00026304">
        <w:rPr>
          <w:lang w:val="fr-CH"/>
        </w:rPr>
        <w:t xml:space="preserve">Dans la mesure où un cas avéré de défaillance d'un satellite pendant la période de mise en service ne s'est pas présenté, </w:t>
      </w:r>
      <w:r w:rsidR="00E56E13" w:rsidRPr="00026304">
        <w:rPr>
          <w:lang w:val="fr-CH"/>
        </w:rPr>
        <w:t xml:space="preserve">il est prématuré et il n’est pas nécessaire </w:t>
      </w:r>
      <w:r w:rsidRPr="00026304">
        <w:rPr>
          <w:lang w:val="fr-CH"/>
        </w:rPr>
        <w:t xml:space="preserve">de modifier les procédures réglementaires actuelles. </w:t>
      </w:r>
      <w:r w:rsidR="00D71FF7" w:rsidRPr="00026304">
        <w:rPr>
          <w:lang w:val="fr-CH"/>
        </w:rPr>
        <w:t>Par conséquent et conformément à la méthode E3 proposée dans le Rapport de la RPC, la CITEL propose de n’</w:t>
      </w:r>
      <w:r w:rsidR="00E832AE" w:rsidRPr="00026304">
        <w:rPr>
          <w:lang w:val="fr-CH"/>
        </w:rPr>
        <w:t>apporter</w:t>
      </w:r>
      <w:r w:rsidR="00D71FF7" w:rsidRPr="00026304">
        <w:rPr>
          <w:lang w:val="fr-CH"/>
        </w:rPr>
        <w:t xml:space="preserve"> aucune modification à l’Art</w:t>
      </w:r>
      <w:r w:rsidR="00E832AE" w:rsidRPr="00026304">
        <w:rPr>
          <w:lang w:val="fr-CH"/>
        </w:rPr>
        <w:t>icle 11 du RR concernant cette q</w:t>
      </w:r>
      <w:r w:rsidR="00D71FF7" w:rsidRPr="00026304">
        <w:rPr>
          <w:lang w:val="fr-CH"/>
        </w:rPr>
        <w:t xml:space="preserve">uestion au titre du </w:t>
      </w:r>
      <w:r w:rsidR="00E832AE" w:rsidRPr="00026304">
        <w:rPr>
          <w:lang w:val="fr-CH"/>
        </w:rPr>
        <w:t>point</w:t>
      </w:r>
      <w:r w:rsidR="00D71FF7" w:rsidRPr="00026304">
        <w:rPr>
          <w:lang w:val="fr-CH"/>
        </w:rPr>
        <w:t xml:space="preserve"> 7 de l’ordre du jour de la CMR-15.</w:t>
      </w:r>
      <w:r w:rsidR="00D71FF7">
        <w:rPr>
          <w:lang w:val="fr-CH"/>
        </w:rPr>
        <w:t xml:space="preserve"> </w:t>
      </w:r>
    </w:p>
    <w:p w14:paraId="4A1FFE5E" w14:textId="486E305E" w:rsidR="00061F13" w:rsidRPr="00061F13" w:rsidRDefault="00061F13" w:rsidP="00026304">
      <w:pPr>
        <w:pStyle w:val="Headingb"/>
        <w:rPr>
          <w:iCs/>
          <w:lang w:val="fr-CH"/>
        </w:rPr>
      </w:pPr>
      <w:r w:rsidRPr="00061F13">
        <w:rPr>
          <w:lang w:val="fr-CH"/>
        </w:rPr>
        <w:t>Proposition</w:t>
      </w:r>
    </w:p>
    <w:p w14:paraId="49208300" w14:textId="77777777" w:rsidR="00A9669D" w:rsidRDefault="008F32E3">
      <w:pPr>
        <w:pStyle w:val="Proposal"/>
      </w:pPr>
      <w:r>
        <w:rPr>
          <w:u w:val="single"/>
        </w:rPr>
        <w:t>NOC</w:t>
      </w:r>
      <w:r>
        <w:tab/>
        <w:t>IAP/7A21A5/1</w:t>
      </w:r>
    </w:p>
    <w:p w14:paraId="7F4E81B2" w14:textId="77777777" w:rsidR="004A6A8C" w:rsidRPr="001F58CF" w:rsidRDefault="008F32E3" w:rsidP="00501CC0">
      <w:pPr>
        <w:pStyle w:val="ArtNo"/>
      </w:pPr>
      <w:r w:rsidRPr="00501CC0">
        <w:t>ARTICLE</w:t>
      </w:r>
      <w:r w:rsidRPr="001F58CF">
        <w:t xml:space="preserve"> </w:t>
      </w:r>
      <w:r w:rsidRPr="001F58CF">
        <w:rPr>
          <w:rStyle w:val="href"/>
        </w:rPr>
        <w:t>11</w:t>
      </w:r>
    </w:p>
    <w:p w14:paraId="01D27CAF" w14:textId="4E037815" w:rsidR="004A6A8C" w:rsidRPr="000C4F5E" w:rsidRDefault="008F32E3" w:rsidP="00DC7B57">
      <w:pPr>
        <w:pStyle w:val="Arttitle"/>
      </w:pPr>
      <w:r w:rsidRPr="00E82312">
        <w:t>Notification et inscription des assignations</w:t>
      </w:r>
      <w:r w:rsidRPr="00E82312">
        <w:br/>
        <w:t xml:space="preserve">de </w:t>
      </w:r>
      <w:r w:rsidRPr="00463598">
        <w:t>fréquence</w:t>
      </w:r>
      <w:r w:rsidRPr="00653F06">
        <w:rPr>
          <w:rStyle w:val="FootnoteReference"/>
        </w:rPr>
        <w:t>1, 2, 3, 4, 5, 6, 7, 7bis</w:t>
      </w:r>
      <w:r w:rsidR="003F081C">
        <w:rPr>
          <w:rStyle w:val="FootnoteReference"/>
        </w:rPr>
        <w:t xml:space="preserve"> </w:t>
      </w:r>
      <w:r w:rsidRPr="00466ED8">
        <w:rPr>
          <w:b w:val="0"/>
          <w:bCs/>
          <w:sz w:val="16"/>
          <w:szCs w:val="16"/>
        </w:rPr>
        <w:t> (CMR-12)</w:t>
      </w:r>
    </w:p>
    <w:p w14:paraId="0305F229" w14:textId="56F856B3" w:rsidR="00A9669D" w:rsidRPr="00026304" w:rsidRDefault="008F32E3" w:rsidP="001F7CB7">
      <w:pPr>
        <w:pStyle w:val="Reasons"/>
        <w:rPr>
          <w:lang w:val="fr-CH"/>
        </w:rPr>
      </w:pPr>
      <w:r w:rsidRPr="00E56E13">
        <w:rPr>
          <w:b/>
        </w:rPr>
        <w:t>Motifs:</w:t>
      </w:r>
      <w:r w:rsidRPr="00E56E13">
        <w:tab/>
      </w:r>
      <w:r w:rsidR="00E56E13">
        <w:rPr>
          <w:lang w:val="fr-CH"/>
        </w:rPr>
        <w:t>Aucun</w:t>
      </w:r>
      <w:r w:rsidR="00E56E13" w:rsidRPr="008023B0">
        <w:rPr>
          <w:lang w:val="fr-CH"/>
        </w:rPr>
        <w:t xml:space="preserve"> cas avéré de défaillance d</w:t>
      </w:r>
      <w:r w:rsidR="00E56E13">
        <w:rPr>
          <w:lang w:val="fr-CH"/>
        </w:rPr>
        <w:t>'</w:t>
      </w:r>
      <w:r w:rsidR="00E56E13" w:rsidRPr="008023B0">
        <w:rPr>
          <w:lang w:val="fr-CH"/>
        </w:rPr>
        <w:t>un satellite pendant la période de mise en service ne s</w:t>
      </w:r>
      <w:r w:rsidR="00E56E13">
        <w:rPr>
          <w:lang w:val="fr-CH"/>
        </w:rPr>
        <w:t>'étant</w:t>
      </w:r>
      <w:r w:rsidR="00E56E13" w:rsidRPr="008023B0">
        <w:rPr>
          <w:lang w:val="fr-CH"/>
        </w:rPr>
        <w:t xml:space="preserve"> présenté</w:t>
      </w:r>
      <w:r w:rsidR="00E56E13">
        <w:rPr>
          <w:lang w:val="fr-CH"/>
        </w:rPr>
        <w:t xml:space="preserve">, il est prématuré et il n’est pas nécessaire </w:t>
      </w:r>
      <w:r w:rsidR="00E56E13" w:rsidRPr="008023B0">
        <w:rPr>
          <w:lang w:val="fr-CH"/>
        </w:rPr>
        <w:t>de modifier les procédures réglementaires actuelles</w:t>
      </w:r>
      <w:r w:rsidR="00E56E13">
        <w:rPr>
          <w:lang w:val="fr-CH"/>
        </w:rPr>
        <w:t>.</w:t>
      </w:r>
      <w:r w:rsidR="00E56E13" w:rsidRPr="00E56E13">
        <w:t xml:space="preserve"> </w:t>
      </w:r>
    </w:p>
    <w:p w14:paraId="1627C54C" w14:textId="77777777" w:rsidR="00686697" w:rsidRPr="00026304" w:rsidRDefault="00686697" w:rsidP="00686697">
      <w:pPr>
        <w:pStyle w:val="Reasons"/>
        <w:rPr>
          <w:lang w:val="fr-CH"/>
        </w:rPr>
      </w:pPr>
    </w:p>
    <w:p w14:paraId="0EC8BA24" w14:textId="77777777" w:rsidR="00686697" w:rsidRDefault="00686697">
      <w:pPr>
        <w:jc w:val="center"/>
      </w:pPr>
      <w:r>
        <w:t>______________</w:t>
      </w:r>
    </w:p>
    <w:p w14:paraId="4599B882" w14:textId="77777777" w:rsidR="00686697" w:rsidRPr="00686697" w:rsidRDefault="00686697" w:rsidP="00686697">
      <w:pPr>
        <w:pStyle w:val="Reasons"/>
        <w:spacing w:line="480" w:lineRule="auto"/>
        <w:rPr>
          <w:lang w:val="en-US"/>
        </w:rPr>
      </w:pPr>
    </w:p>
    <w:sectPr w:rsidR="00686697" w:rsidRPr="00686697">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C1A24" w14:textId="77777777" w:rsidR="001F17E8" w:rsidRDefault="001F17E8">
      <w:r>
        <w:separator/>
      </w:r>
    </w:p>
  </w:endnote>
  <w:endnote w:type="continuationSeparator" w:id="0">
    <w:p w14:paraId="12BA7AA8"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633B" w14:textId="77777777" w:rsidR="00936D25" w:rsidRDefault="00936D25">
    <w:pPr>
      <w:rPr>
        <w:lang w:val="en-US"/>
      </w:rPr>
    </w:pPr>
    <w:r>
      <w:fldChar w:fldCharType="begin"/>
    </w:r>
    <w:r>
      <w:rPr>
        <w:lang w:val="en-US"/>
      </w:rPr>
      <w:instrText xml:space="preserve"> FILENAME \p  \* MERGEFORMAT </w:instrText>
    </w:r>
    <w:r>
      <w:fldChar w:fldCharType="separate"/>
    </w:r>
    <w:r w:rsidR="002145C4">
      <w:rPr>
        <w:noProof/>
        <w:lang w:val="en-US"/>
      </w:rPr>
      <w:t>P:\FRA\ITU-R\CONF-R\CMR15\000\007ADD21ADD05F.docx</w:t>
    </w:r>
    <w:r>
      <w:fldChar w:fldCharType="end"/>
    </w:r>
    <w:r>
      <w:rPr>
        <w:lang w:val="en-US"/>
      </w:rPr>
      <w:tab/>
    </w:r>
    <w:r>
      <w:fldChar w:fldCharType="begin"/>
    </w:r>
    <w:r>
      <w:instrText xml:space="preserve"> SAVEDATE \@ DD.MM.YY </w:instrText>
    </w:r>
    <w:r>
      <w:fldChar w:fldCharType="separate"/>
    </w:r>
    <w:r w:rsidR="002145C4">
      <w:rPr>
        <w:noProof/>
      </w:rPr>
      <w:t>20.10.15</w:t>
    </w:r>
    <w:r>
      <w:fldChar w:fldCharType="end"/>
    </w:r>
    <w:r>
      <w:rPr>
        <w:lang w:val="en-US"/>
      </w:rPr>
      <w:tab/>
    </w:r>
    <w:r>
      <w:fldChar w:fldCharType="begin"/>
    </w:r>
    <w:r>
      <w:instrText xml:space="preserve"> PRINTDATE \@ DD.MM.YY </w:instrText>
    </w:r>
    <w:r>
      <w:fldChar w:fldCharType="separate"/>
    </w:r>
    <w:r w:rsidR="002145C4">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A2DA"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2145C4">
      <w:rPr>
        <w:lang w:val="en-US"/>
      </w:rPr>
      <w:t>P:\FRA\ITU-R\CONF-R\CMR15\000\007ADD21ADD05F.docx</w:t>
    </w:r>
    <w:r>
      <w:fldChar w:fldCharType="end"/>
    </w:r>
    <w:r w:rsidR="00347DB7" w:rsidRPr="00C16037">
      <w:rPr>
        <w:lang w:val="en-US"/>
      </w:rPr>
      <w:t xml:space="preserve"> (387393)</w:t>
    </w:r>
    <w:r>
      <w:rPr>
        <w:lang w:val="en-US"/>
      </w:rPr>
      <w:tab/>
    </w:r>
    <w:r>
      <w:fldChar w:fldCharType="begin"/>
    </w:r>
    <w:r>
      <w:instrText xml:space="preserve"> SAVEDATE \@ DD.MM.YY </w:instrText>
    </w:r>
    <w:r>
      <w:fldChar w:fldCharType="separate"/>
    </w:r>
    <w:r w:rsidR="002145C4">
      <w:t>20.10.15</w:t>
    </w:r>
    <w:r>
      <w:fldChar w:fldCharType="end"/>
    </w:r>
    <w:r>
      <w:rPr>
        <w:lang w:val="en-US"/>
      </w:rPr>
      <w:tab/>
    </w:r>
    <w:r>
      <w:fldChar w:fldCharType="begin"/>
    </w:r>
    <w:r>
      <w:instrText xml:space="preserve"> PRINTDATE \@ DD.MM.YY </w:instrText>
    </w:r>
    <w:r>
      <w:fldChar w:fldCharType="separate"/>
    </w:r>
    <w:r w:rsidR="002145C4">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B86B3"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2145C4">
      <w:rPr>
        <w:lang w:val="en-US"/>
      </w:rPr>
      <w:t>P:\FRA\ITU-R\CONF-R\CMR15\000\007ADD21ADD05F.docx</w:t>
    </w:r>
    <w:r>
      <w:fldChar w:fldCharType="end"/>
    </w:r>
    <w:r w:rsidR="00347DB7" w:rsidRPr="00C16037">
      <w:rPr>
        <w:lang w:val="en-US"/>
      </w:rPr>
      <w:t xml:space="preserve"> (387393)</w:t>
    </w:r>
    <w:r>
      <w:rPr>
        <w:lang w:val="en-US"/>
      </w:rPr>
      <w:tab/>
    </w:r>
    <w:r>
      <w:fldChar w:fldCharType="begin"/>
    </w:r>
    <w:r>
      <w:instrText xml:space="preserve"> SAVEDATE \@ DD.MM.YY </w:instrText>
    </w:r>
    <w:r>
      <w:fldChar w:fldCharType="separate"/>
    </w:r>
    <w:r w:rsidR="002145C4">
      <w:t>20.10.15</w:t>
    </w:r>
    <w:r>
      <w:fldChar w:fldCharType="end"/>
    </w:r>
    <w:r>
      <w:rPr>
        <w:lang w:val="en-US"/>
      </w:rPr>
      <w:tab/>
    </w:r>
    <w:r>
      <w:fldChar w:fldCharType="begin"/>
    </w:r>
    <w:r>
      <w:instrText xml:space="preserve"> PRINTDATE \@ DD.MM.YY </w:instrText>
    </w:r>
    <w:r>
      <w:fldChar w:fldCharType="separate"/>
    </w:r>
    <w:r w:rsidR="002145C4">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6EC78" w14:textId="77777777" w:rsidR="001F17E8" w:rsidRDefault="001F17E8">
      <w:r>
        <w:rPr>
          <w:b/>
        </w:rPr>
        <w:t>_______________</w:t>
      </w:r>
    </w:p>
  </w:footnote>
  <w:footnote w:type="continuationSeparator" w:id="0">
    <w:p w14:paraId="00EE6B9B" w14:textId="77777777"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5E7D6" w14:textId="77777777" w:rsidR="004F1F8E" w:rsidRDefault="004F1F8E" w:rsidP="004F1F8E">
    <w:pPr>
      <w:pStyle w:val="Header"/>
    </w:pPr>
    <w:r>
      <w:fldChar w:fldCharType="begin"/>
    </w:r>
    <w:r>
      <w:instrText xml:space="preserve"> PAGE </w:instrText>
    </w:r>
    <w:r>
      <w:fldChar w:fldCharType="separate"/>
    </w:r>
    <w:r w:rsidR="002145C4">
      <w:rPr>
        <w:noProof/>
      </w:rPr>
      <w:t>2</w:t>
    </w:r>
    <w:r>
      <w:fldChar w:fldCharType="end"/>
    </w:r>
  </w:p>
  <w:p w14:paraId="553BFF44" w14:textId="77777777" w:rsidR="004F1F8E" w:rsidRDefault="004F1F8E" w:rsidP="002C28A4">
    <w:pPr>
      <w:pStyle w:val="Header"/>
    </w:pPr>
    <w:r>
      <w:t>CMR1</w:t>
    </w:r>
    <w:r w:rsidR="002C28A4">
      <w:t>5</w:t>
    </w:r>
    <w:r>
      <w:t>/</w:t>
    </w:r>
    <w:r w:rsidR="006A4B45">
      <w:t>7(Add.21)(Add.5)-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6304"/>
    <w:rsid w:val="0003522F"/>
    <w:rsid w:val="00061F13"/>
    <w:rsid w:val="00080E2C"/>
    <w:rsid w:val="00086816"/>
    <w:rsid w:val="00093490"/>
    <w:rsid w:val="000A4755"/>
    <w:rsid w:val="000B2E0C"/>
    <w:rsid w:val="000B3D0C"/>
    <w:rsid w:val="000C5216"/>
    <w:rsid w:val="000C788D"/>
    <w:rsid w:val="001167B9"/>
    <w:rsid w:val="001267A0"/>
    <w:rsid w:val="0015203F"/>
    <w:rsid w:val="001539AC"/>
    <w:rsid w:val="00160C64"/>
    <w:rsid w:val="00177911"/>
    <w:rsid w:val="0018169B"/>
    <w:rsid w:val="001865EE"/>
    <w:rsid w:val="0019352B"/>
    <w:rsid w:val="001960D0"/>
    <w:rsid w:val="001F17E8"/>
    <w:rsid w:val="001F7CB7"/>
    <w:rsid w:val="00204306"/>
    <w:rsid w:val="002145C4"/>
    <w:rsid w:val="00216D17"/>
    <w:rsid w:val="00232FD2"/>
    <w:rsid w:val="0026554E"/>
    <w:rsid w:val="00265E12"/>
    <w:rsid w:val="002A4622"/>
    <w:rsid w:val="002A6F8F"/>
    <w:rsid w:val="002B17E5"/>
    <w:rsid w:val="002C0EBF"/>
    <w:rsid w:val="002C28A4"/>
    <w:rsid w:val="002D0D99"/>
    <w:rsid w:val="002D37A4"/>
    <w:rsid w:val="002D61BD"/>
    <w:rsid w:val="002D68AD"/>
    <w:rsid w:val="002F1DB7"/>
    <w:rsid w:val="00315AFE"/>
    <w:rsid w:val="003201D5"/>
    <w:rsid w:val="00347DB7"/>
    <w:rsid w:val="003606A6"/>
    <w:rsid w:val="0036650C"/>
    <w:rsid w:val="00393ACD"/>
    <w:rsid w:val="003A059B"/>
    <w:rsid w:val="003A583E"/>
    <w:rsid w:val="003D0BFF"/>
    <w:rsid w:val="003E112B"/>
    <w:rsid w:val="003E1D1C"/>
    <w:rsid w:val="003E7B05"/>
    <w:rsid w:val="003F081C"/>
    <w:rsid w:val="00466211"/>
    <w:rsid w:val="004834A9"/>
    <w:rsid w:val="004D01FC"/>
    <w:rsid w:val="004E28C3"/>
    <w:rsid w:val="004F1F8E"/>
    <w:rsid w:val="00512A32"/>
    <w:rsid w:val="00586CF2"/>
    <w:rsid w:val="005A746B"/>
    <w:rsid w:val="005C3338"/>
    <w:rsid w:val="005C3768"/>
    <w:rsid w:val="005C6C3F"/>
    <w:rsid w:val="00613635"/>
    <w:rsid w:val="0062093D"/>
    <w:rsid w:val="00635787"/>
    <w:rsid w:val="00637ECF"/>
    <w:rsid w:val="00647B59"/>
    <w:rsid w:val="00665418"/>
    <w:rsid w:val="00686697"/>
    <w:rsid w:val="00690C7B"/>
    <w:rsid w:val="006A4B45"/>
    <w:rsid w:val="006C11DB"/>
    <w:rsid w:val="006D4724"/>
    <w:rsid w:val="00701BAE"/>
    <w:rsid w:val="00721F04"/>
    <w:rsid w:val="00730E95"/>
    <w:rsid w:val="007426B9"/>
    <w:rsid w:val="00764342"/>
    <w:rsid w:val="00774362"/>
    <w:rsid w:val="00786598"/>
    <w:rsid w:val="007A04E8"/>
    <w:rsid w:val="00812D82"/>
    <w:rsid w:val="00831257"/>
    <w:rsid w:val="00851625"/>
    <w:rsid w:val="00863C0A"/>
    <w:rsid w:val="008A3120"/>
    <w:rsid w:val="008C5972"/>
    <w:rsid w:val="008D41BE"/>
    <w:rsid w:val="008D58D3"/>
    <w:rsid w:val="008F32E3"/>
    <w:rsid w:val="00901AE3"/>
    <w:rsid w:val="00923064"/>
    <w:rsid w:val="00930FFD"/>
    <w:rsid w:val="00936D25"/>
    <w:rsid w:val="00941EA5"/>
    <w:rsid w:val="00964700"/>
    <w:rsid w:val="00966C16"/>
    <w:rsid w:val="00973FA0"/>
    <w:rsid w:val="0098732F"/>
    <w:rsid w:val="00994A03"/>
    <w:rsid w:val="009A045F"/>
    <w:rsid w:val="009C7E7C"/>
    <w:rsid w:val="00A00473"/>
    <w:rsid w:val="00A03C9B"/>
    <w:rsid w:val="00A37105"/>
    <w:rsid w:val="00A606C3"/>
    <w:rsid w:val="00A7744F"/>
    <w:rsid w:val="00A83B09"/>
    <w:rsid w:val="00A84541"/>
    <w:rsid w:val="00A91E56"/>
    <w:rsid w:val="00A9669D"/>
    <w:rsid w:val="00AA76B3"/>
    <w:rsid w:val="00AC1F07"/>
    <w:rsid w:val="00AE36A0"/>
    <w:rsid w:val="00B00294"/>
    <w:rsid w:val="00B30F16"/>
    <w:rsid w:val="00B45213"/>
    <w:rsid w:val="00B64FD0"/>
    <w:rsid w:val="00BA5BD0"/>
    <w:rsid w:val="00BA680D"/>
    <w:rsid w:val="00BB1D82"/>
    <w:rsid w:val="00BE0B86"/>
    <w:rsid w:val="00BE0D25"/>
    <w:rsid w:val="00BF26E7"/>
    <w:rsid w:val="00C16037"/>
    <w:rsid w:val="00C53FCA"/>
    <w:rsid w:val="00C76BAF"/>
    <w:rsid w:val="00C7736F"/>
    <w:rsid w:val="00C814B9"/>
    <w:rsid w:val="00C944DD"/>
    <w:rsid w:val="00CD516F"/>
    <w:rsid w:val="00D119A7"/>
    <w:rsid w:val="00D2423E"/>
    <w:rsid w:val="00D25FBA"/>
    <w:rsid w:val="00D26628"/>
    <w:rsid w:val="00D32B28"/>
    <w:rsid w:val="00D42954"/>
    <w:rsid w:val="00D54BED"/>
    <w:rsid w:val="00D602CB"/>
    <w:rsid w:val="00D66EAC"/>
    <w:rsid w:val="00D71FF7"/>
    <w:rsid w:val="00D730DF"/>
    <w:rsid w:val="00D772F0"/>
    <w:rsid w:val="00D77BDC"/>
    <w:rsid w:val="00DC402B"/>
    <w:rsid w:val="00DE0932"/>
    <w:rsid w:val="00E03A27"/>
    <w:rsid w:val="00E03B13"/>
    <w:rsid w:val="00E049F1"/>
    <w:rsid w:val="00E3084D"/>
    <w:rsid w:val="00E37A25"/>
    <w:rsid w:val="00E4554A"/>
    <w:rsid w:val="00E537FF"/>
    <w:rsid w:val="00E56E13"/>
    <w:rsid w:val="00E6539B"/>
    <w:rsid w:val="00E70A31"/>
    <w:rsid w:val="00E832AE"/>
    <w:rsid w:val="00EA3F38"/>
    <w:rsid w:val="00EA5AB6"/>
    <w:rsid w:val="00EC225D"/>
    <w:rsid w:val="00EC5586"/>
    <w:rsid w:val="00EC7615"/>
    <w:rsid w:val="00ED16AA"/>
    <w:rsid w:val="00EF662E"/>
    <w:rsid w:val="00F148F1"/>
    <w:rsid w:val="00F27649"/>
    <w:rsid w:val="00F60E45"/>
    <w:rsid w:val="00F76E34"/>
    <w:rsid w:val="00F85276"/>
    <w:rsid w:val="00F9105E"/>
    <w:rsid w:val="00FA3BBF"/>
    <w:rsid w:val="00FB7370"/>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10AB33"/>
  <w15:docId w15:val="{8133361F-3F47-47A7-9AC1-E0A542AA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CommentReference">
    <w:name w:val="annotation reference"/>
    <w:basedOn w:val="DefaultParagraphFont"/>
    <w:semiHidden/>
    <w:unhideWhenUsed/>
    <w:rsid w:val="00812D82"/>
    <w:rPr>
      <w:sz w:val="16"/>
      <w:szCs w:val="16"/>
    </w:rPr>
  </w:style>
  <w:style w:type="paragraph" w:styleId="CommentText">
    <w:name w:val="annotation text"/>
    <w:basedOn w:val="Normal"/>
    <w:link w:val="CommentTextChar"/>
    <w:semiHidden/>
    <w:unhideWhenUsed/>
    <w:rsid w:val="00812D82"/>
    <w:rPr>
      <w:sz w:val="20"/>
    </w:rPr>
  </w:style>
  <w:style w:type="character" w:customStyle="1" w:styleId="CommentTextChar">
    <w:name w:val="Comment Text Char"/>
    <w:basedOn w:val="DefaultParagraphFont"/>
    <w:link w:val="CommentText"/>
    <w:semiHidden/>
    <w:rsid w:val="00812D82"/>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12D82"/>
    <w:rPr>
      <w:b/>
      <w:bCs/>
    </w:rPr>
  </w:style>
  <w:style w:type="character" w:customStyle="1" w:styleId="CommentSubjectChar">
    <w:name w:val="Comment Subject Char"/>
    <w:basedOn w:val="CommentTextChar"/>
    <w:link w:val="CommentSubject"/>
    <w:semiHidden/>
    <w:rsid w:val="00812D82"/>
    <w:rPr>
      <w:rFonts w:ascii="Times New Roman" w:hAnsi="Times New Roman"/>
      <w:b/>
      <w:bCs/>
      <w:lang w:val="fr-FR" w:eastAsia="en-US"/>
    </w:rPr>
  </w:style>
  <w:style w:type="paragraph" w:styleId="BalloonText">
    <w:name w:val="Balloon Text"/>
    <w:basedOn w:val="Normal"/>
    <w:link w:val="BalloonTextChar"/>
    <w:semiHidden/>
    <w:unhideWhenUsed/>
    <w:rsid w:val="00812D8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12D8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R15-WRC15-C-0007!A21-A5!MSW-F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65B1E81-5A3C-4EDB-9AC2-1091A4300E11}">
  <ds:schemaRefs>
    <ds:schemaRef ds:uri="http://www.w3.org/XML/1998/namespace"/>
    <ds:schemaRef ds:uri="http://purl.org/dc/dcmitype/"/>
    <ds:schemaRef ds:uri="http://purl.org/dc/elements/1.1/"/>
    <ds:schemaRef ds:uri="http://schemas.microsoft.com/office/2006/metadata/properties"/>
    <ds:schemaRef ds:uri="996b2e75-67fd-4955-a3b0-5ab9934cb50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911</Words>
  <Characters>4886</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R15-WRC15-C-0007!A21-A5!MSW-F</vt:lpstr>
    </vt:vector>
  </TitlesOfParts>
  <Manager>Secrétariat général - Pool</Manager>
  <Company>Union internationale des télécommunications (UIT)</Company>
  <LinksUpToDate>false</LinksUpToDate>
  <CharactersWithSpaces>5779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R15-WRC15-C-0007!A21-A5!MSW-F</dc:title>
  <dc:subject>Conférence mondiale des radiocommunications - 2015</dc:subject>
  <dc:creator>Documents Proposals Manager (DPM)</dc:creator>
  <cp:keywords>DPM_v5.2015.9.16_prod</cp:keywords>
  <dc:description/>
  <cp:lastModifiedBy>Jones, Jacqueline</cp:lastModifiedBy>
  <cp:revision>6</cp:revision>
  <cp:lastPrinted>2015-10-20T14:32:00Z</cp:lastPrinted>
  <dcterms:created xsi:type="dcterms:W3CDTF">2015-10-12T16:57:00Z</dcterms:created>
  <dcterms:modified xsi:type="dcterms:W3CDTF">2015-10-20T14:32:00Z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