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6 to</w:t>
            </w:r>
            <w:r>
              <w:rPr>
                <w:rFonts w:ascii="Verdana" w:eastAsia="SimSun" w:hAnsi="Verdana" w:cs="Traditional Arabic"/>
                <w:b/>
                <w:sz w:val="20"/>
              </w:rPr>
              <w:br/>
              <w:t>Document 7(Add.21)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7(F)</w:t>
            </w:r>
          </w:p>
        </w:tc>
      </w:tr>
    </w:tbl>
    <w:bookmarkEnd w:id="6"/>
    <w:bookmarkEnd w:id="7"/>
    <w:p w:rsidR="00B02325" w:rsidRPr="000002F2" w:rsidRDefault="00A0267F"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A0267F" w:rsidP="008D3FF6">
      <w:r>
        <w:t>7(F)</w:t>
      </w:r>
      <w:r>
        <w:tab/>
      </w:r>
      <w:r w:rsidRPr="00D5594B">
        <w:t>Issue F</w:t>
      </w:r>
      <w:r w:rsidRPr="004D0936">
        <w:t xml:space="preserve"> – </w:t>
      </w:r>
      <w:r w:rsidRPr="00D5594B">
        <w:t xml:space="preserve">Modifications to RR Appendix </w:t>
      </w:r>
      <w:r w:rsidRPr="00F52B34">
        <w:rPr>
          <w:b/>
          <w:bCs/>
        </w:rPr>
        <w:t>30B</w:t>
      </w:r>
      <w:r w:rsidRPr="00D5594B">
        <w:t xml:space="preserve"> in relation to the suspension of use of a frequency assignment recorded in the MIFR</w:t>
      </w:r>
    </w:p>
    <w:p w:rsidR="0050402C" w:rsidRDefault="0050402C" w:rsidP="0050402C">
      <w:pPr>
        <w:rPr>
          <w:rFonts w:eastAsia="Batang"/>
        </w:rPr>
      </w:pPr>
    </w:p>
    <w:p w:rsidR="008304DF" w:rsidRPr="0057797D" w:rsidRDefault="008304DF" w:rsidP="00C54EC9">
      <w:pPr>
        <w:pStyle w:val="Headingb"/>
        <w:rPr>
          <w:rFonts w:eastAsia="Batang"/>
          <w:lang w:val="en-GB"/>
        </w:rPr>
      </w:pPr>
      <w:r w:rsidRPr="0057797D">
        <w:rPr>
          <w:rFonts w:eastAsia="Batang"/>
          <w:lang w:val="en-GB"/>
        </w:rPr>
        <w:t xml:space="preserve">Background </w:t>
      </w:r>
    </w:p>
    <w:p w:rsidR="008304DF" w:rsidRPr="00EF48B1" w:rsidRDefault="008304DF" w:rsidP="008304DF">
      <w:r w:rsidRPr="00EF48B1">
        <w:t>The unplanned FSS frequency bands are highly utilized worldwide.</w:t>
      </w:r>
      <w:r w:rsidR="00C54EC9">
        <w:t xml:space="preserve"> </w:t>
      </w:r>
      <w:r w:rsidRPr="00EF48B1">
        <w:t xml:space="preserve">In fact, it is becoming more and more difficult for a new operator to have </w:t>
      </w:r>
      <w:bookmarkStart w:id="8" w:name="_GoBack"/>
      <w:bookmarkEnd w:id="8"/>
      <w:r w:rsidRPr="00EF48B1">
        <w:t>access to satellite communications resources in the conventional unplanned FSS frequency bands.</w:t>
      </w:r>
      <w:r w:rsidR="00C54EC9">
        <w:t xml:space="preserve"> </w:t>
      </w:r>
      <w:r w:rsidRPr="00EF48B1">
        <w:t xml:space="preserve">As a result, use of the Appendix </w:t>
      </w:r>
      <w:r w:rsidRPr="0057797D">
        <w:t>30B</w:t>
      </w:r>
      <w:r w:rsidRPr="00EF48B1">
        <w:t xml:space="preserve"> FSS bands has become more attractive, especially for developing countries and new satellite operators. As of November 2013, there are 247 satellite networks submitted to the ITU under Article 6 of Appendix </w:t>
      </w:r>
      <w:r w:rsidRPr="0057797D">
        <w:t>30B</w:t>
      </w:r>
      <w:r w:rsidRPr="00EF48B1">
        <w:t xml:space="preserve"> of the Radio Regulations (RR) and 60 satellite networks in Notification stage under Article 8 of the same Appendix (</w:t>
      </w:r>
      <w:r w:rsidRPr="00EF48B1">
        <w:rPr>
          <w:i/>
          <w:iCs/>
        </w:rPr>
        <w:t>Source: ITU’s website – Space Plans Query System</w:t>
      </w:r>
      <w:r w:rsidRPr="00EF48B1">
        <w:t>).</w:t>
      </w:r>
    </w:p>
    <w:p w:rsidR="008304DF" w:rsidRPr="00EF48B1" w:rsidRDefault="008304DF" w:rsidP="008304DF">
      <w:r w:rsidRPr="00EF48B1">
        <w:rPr>
          <w:rFonts w:eastAsia="Batang"/>
        </w:rPr>
        <w:t>The</w:t>
      </w:r>
      <w:r w:rsidRPr="00EF48B1">
        <w:t xml:space="preserve"> World Radiocommunication Conference (Geneva, 2012) (WRC-12) modified RR No. </w:t>
      </w:r>
      <w:r w:rsidRPr="0057797D">
        <w:rPr>
          <w:rFonts w:eastAsia="Batang"/>
        </w:rPr>
        <w:t>11.49</w:t>
      </w:r>
      <w:r w:rsidRPr="00EF48B1">
        <w:rPr>
          <w:b/>
          <w:bCs/>
        </w:rPr>
        <w:t xml:space="preserve"> </w:t>
      </w:r>
      <w:r w:rsidRPr="00EF48B1">
        <w:rPr>
          <w:rFonts w:eastAsia="Batang"/>
        </w:rPr>
        <w:t>and</w:t>
      </w:r>
      <w:r w:rsidRPr="00EF48B1">
        <w:t xml:space="preserve"> added RR No. </w:t>
      </w:r>
      <w:r w:rsidRPr="0057797D">
        <w:rPr>
          <w:rFonts w:eastAsia="Batang"/>
        </w:rPr>
        <w:t>11.49.1</w:t>
      </w:r>
      <w:r w:rsidRPr="00EF48B1">
        <w:rPr>
          <w:b/>
          <w:bCs/>
        </w:rPr>
        <w:t xml:space="preserve"> </w:t>
      </w:r>
      <w:r w:rsidRPr="00EF48B1">
        <w:rPr>
          <w:rFonts w:eastAsia="Batang"/>
        </w:rPr>
        <w:t>so</w:t>
      </w:r>
      <w:r w:rsidRPr="00EF48B1">
        <w:t xml:space="preserve"> as to extend the period allowed for suspension of the use of a frequency assignment to </w:t>
      </w:r>
      <w:r w:rsidRPr="00EF48B1">
        <w:rPr>
          <w:rFonts w:eastAsia="Batang"/>
        </w:rPr>
        <w:t>a</w:t>
      </w:r>
      <w:r w:rsidRPr="00EF48B1">
        <w:t xml:space="preserve"> </w:t>
      </w:r>
      <w:r w:rsidRPr="00EF48B1">
        <w:rPr>
          <w:rFonts w:eastAsia="Batang"/>
        </w:rPr>
        <w:t>space</w:t>
      </w:r>
      <w:r w:rsidRPr="00EF48B1">
        <w:t xml:space="preserve"> station to three (3) years, and at the same time to specify the conditions for bringing a recorded frequ</w:t>
      </w:r>
      <w:r>
        <w:t xml:space="preserve">ency assignment back into use. </w:t>
      </w:r>
    </w:p>
    <w:p w:rsidR="008304DF" w:rsidRPr="0057797D" w:rsidRDefault="008304DF" w:rsidP="008304DF">
      <w:pPr>
        <w:rPr>
          <w:rFonts w:eastAsia="Batang"/>
        </w:rPr>
      </w:pPr>
      <w:r w:rsidRPr="0057797D">
        <w:rPr>
          <w:rFonts w:eastAsia="Batang"/>
        </w:rPr>
        <w:t>Similarly,</w:t>
      </w:r>
      <w:r w:rsidRPr="0057797D">
        <w:t xml:space="preserve"> § 5.2.10, § 5.2.11 and footnote 20</w:t>
      </w:r>
      <w:r w:rsidRPr="00C54EC9">
        <w:rPr>
          <w:i/>
          <w:iCs/>
        </w:rPr>
        <w:t>bis</w:t>
      </w:r>
      <w:r w:rsidRPr="0057797D">
        <w:t xml:space="preserve"> were added in RR Appendix </w:t>
      </w:r>
      <w:r w:rsidRPr="0057797D">
        <w:rPr>
          <w:rFonts w:eastAsia="Batang"/>
        </w:rPr>
        <w:t>30</w:t>
      </w:r>
      <w:r w:rsidRPr="0057797D">
        <w:t xml:space="preserve"> </w:t>
      </w:r>
      <w:r w:rsidRPr="0057797D">
        <w:rPr>
          <w:rFonts w:eastAsia="Batang"/>
        </w:rPr>
        <w:t>and</w:t>
      </w:r>
      <w:r w:rsidRPr="0057797D">
        <w:t xml:space="preserve"> § 5.2.10, § 5.2.11 and footnote 24</w:t>
      </w:r>
      <w:r w:rsidRPr="00C54EC9">
        <w:rPr>
          <w:i/>
          <w:iCs/>
        </w:rPr>
        <w:t>bis</w:t>
      </w:r>
      <w:r w:rsidRPr="0057797D">
        <w:t xml:space="preserve"> in RR Appendix </w:t>
      </w:r>
      <w:r w:rsidRPr="0057797D">
        <w:rPr>
          <w:rFonts w:eastAsia="Batang"/>
        </w:rPr>
        <w:t>30A</w:t>
      </w:r>
      <w:r w:rsidRPr="0057797D">
        <w:t xml:space="preserve"> </w:t>
      </w:r>
      <w:r w:rsidRPr="0057797D">
        <w:rPr>
          <w:rFonts w:eastAsia="Batang"/>
        </w:rPr>
        <w:t>in</w:t>
      </w:r>
      <w:r w:rsidRPr="0057797D">
        <w:t xml:space="preserve"> relation to the suspension of use of a frequency assignment in the Regions 1 and 3 List, where all are in line with the practices described in RR Nos. 11.49 and 11.49.1</w:t>
      </w:r>
      <w:r w:rsidRPr="0057797D">
        <w:rPr>
          <w:rFonts w:eastAsia="Batang"/>
        </w:rPr>
        <w:t>.</w:t>
      </w:r>
    </w:p>
    <w:p w:rsidR="008304DF" w:rsidRPr="00EF48B1" w:rsidRDefault="008304DF" w:rsidP="008304DF">
      <w:pPr>
        <w:keepNext/>
        <w:keepLines/>
      </w:pPr>
      <w:r w:rsidRPr="00EF48B1">
        <w:lastRenderedPageBreak/>
        <w:t xml:space="preserve">Furthermore, WRC-12 approved the application of the extension of the suspension period from two years to three years in regard to </w:t>
      </w:r>
      <w:r w:rsidRPr="00EF48B1">
        <w:rPr>
          <w:rFonts w:eastAsia="Batang"/>
        </w:rPr>
        <w:t>RR</w:t>
      </w:r>
      <w:r w:rsidRPr="00EF48B1">
        <w:t xml:space="preserve"> Appendix </w:t>
      </w:r>
      <w:r w:rsidRPr="0057797D">
        <w:t>30B</w:t>
      </w:r>
      <w:r w:rsidRPr="00EF48B1">
        <w:t xml:space="preserve"> via a decision contained in its Plenary Minutes (see paragraph 9 of WRC</w:t>
      </w:r>
      <w:r w:rsidRPr="00EF48B1">
        <w:noBreakHyphen/>
        <w:t xml:space="preserve">12 </w:t>
      </w:r>
      <w:hyperlink r:id="rId13" w:history="1">
        <w:r w:rsidRPr="00EF48B1">
          <w:rPr>
            <w:rStyle w:val="Hyperlink"/>
            <w:szCs w:val="24"/>
          </w:rPr>
          <w:t>Document 553</w:t>
        </w:r>
      </w:hyperlink>
      <w:r w:rsidRPr="00EF48B1">
        <w:t xml:space="preserve">), thus harmonizing the practices in </w:t>
      </w:r>
      <w:r w:rsidRPr="00EF48B1">
        <w:rPr>
          <w:rFonts w:eastAsia="Batang"/>
        </w:rPr>
        <w:t>RR</w:t>
      </w:r>
      <w:r w:rsidRPr="00EF48B1">
        <w:t xml:space="preserve"> Appendix </w:t>
      </w:r>
      <w:r w:rsidRPr="0057797D">
        <w:t>30B</w:t>
      </w:r>
      <w:r w:rsidRPr="00EF48B1">
        <w:t xml:space="preserve"> with the ones in RR Article </w:t>
      </w:r>
      <w:r w:rsidRPr="0057797D">
        <w:t xml:space="preserve">11 and </w:t>
      </w:r>
      <w:r w:rsidRPr="0057797D">
        <w:rPr>
          <w:rFonts w:eastAsia="Batang"/>
        </w:rPr>
        <w:t>RR</w:t>
      </w:r>
      <w:r w:rsidRPr="0057797D">
        <w:t xml:space="preserve"> Appendices 30 and 30A</w:t>
      </w:r>
      <w:r w:rsidRPr="00EF48B1">
        <w:t xml:space="preserve"> (Rev.WRC-12). The</w:t>
      </w:r>
      <w:r>
        <w:t> </w:t>
      </w:r>
      <w:r w:rsidRPr="00EF48B1">
        <w:t>Bureau implemented this WRC-12 decision by proposing a Rule of Procedure which was approved at the 60</w:t>
      </w:r>
      <w:r w:rsidRPr="00EF48B1">
        <w:rPr>
          <w:vertAlign w:val="superscript"/>
        </w:rPr>
        <w:t>th</w:t>
      </w:r>
      <w:r w:rsidRPr="00EF48B1">
        <w:t xml:space="preserve"> meeting of the Radio Regulations Board (see Annex to </w:t>
      </w:r>
      <w:hyperlink r:id="rId14" w:history="1">
        <w:r w:rsidRPr="00EF48B1">
          <w:rPr>
            <w:rStyle w:val="Hyperlink"/>
            <w:szCs w:val="24"/>
          </w:rPr>
          <w:t>Document RRB12-2/6</w:t>
        </w:r>
      </w:hyperlink>
      <w:r w:rsidRPr="00EF48B1">
        <w:t xml:space="preserve">). </w:t>
      </w:r>
      <w:r w:rsidRPr="00EF48B1">
        <w:rPr>
          <w:rFonts w:eastAsia="Batang"/>
        </w:rPr>
        <w:t>However,</w:t>
      </w:r>
      <w:r w:rsidRPr="00EF48B1">
        <w:t xml:space="preserve"> corresponding amendments to the </w:t>
      </w:r>
      <w:r w:rsidRPr="00EF48B1">
        <w:rPr>
          <w:rFonts w:eastAsia="Batang"/>
        </w:rPr>
        <w:t>RR</w:t>
      </w:r>
      <w:r w:rsidRPr="00EF48B1">
        <w:t xml:space="preserve"> still need to be prepared for approval by WRC-15.</w:t>
      </w:r>
    </w:p>
    <w:p w:rsidR="008304DF" w:rsidRDefault="008304DF" w:rsidP="008304DF">
      <w:r w:rsidRPr="0057797D">
        <w:rPr>
          <w:rFonts w:eastAsia="Batang"/>
        </w:rPr>
        <w:t>In</w:t>
      </w:r>
      <w:r w:rsidRPr="0057797D">
        <w:t xml:space="preserve"> view of the above, an alignment of RR Appendix </w:t>
      </w:r>
      <w:r w:rsidRPr="0057797D">
        <w:rPr>
          <w:rFonts w:eastAsia="Batang"/>
        </w:rPr>
        <w:t>30B</w:t>
      </w:r>
      <w:r w:rsidRPr="0057797D">
        <w:t xml:space="preserve"> with RR Article </w:t>
      </w:r>
      <w:r w:rsidRPr="0057797D">
        <w:rPr>
          <w:rFonts w:eastAsia="Batang"/>
        </w:rPr>
        <w:t>11</w:t>
      </w:r>
      <w:r w:rsidRPr="0057797D">
        <w:t xml:space="preserve"> and RR Appendices </w:t>
      </w:r>
      <w:r w:rsidRPr="0057797D">
        <w:rPr>
          <w:rFonts w:eastAsia="Batang"/>
        </w:rPr>
        <w:t>30</w:t>
      </w:r>
      <w:r w:rsidRPr="0057797D">
        <w:t xml:space="preserve"> and 30A </w:t>
      </w:r>
      <w:r w:rsidRPr="0057797D">
        <w:rPr>
          <w:rFonts w:eastAsia="Batang"/>
        </w:rPr>
        <w:t>in</w:t>
      </w:r>
      <w:r w:rsidRPr="0057797D">
        <w:t xml:space="preserve"> relation to the suspension of use of a frequency assignment is proposed.</w:t>
      </w:r>
    </w:p>
    <w:p w:rsidR="008304DF" w:rsidRPr="0057797D" w:rsidRDefault="008304DF" w:rsidP="008304DF">
      <w:pPr>
        <w:pStyle w:val="Headingb"/>
        <w:spacing w:after="240"/>
        <w:rPr>
          <w:lang w:val="en-US"/>
        </w:rPr>
      </w:pPr>
      <w:r w:rsidRPr="008304DF">
        <w:rPr>
          <w:lang w:val="en-GB"/>
          <w:rPrChange w:id="9" w:author="Arnould, Carine" w:date="2015-10-01T12:08:00Z">
            <w:rPr/>
          </w:rPrChange>
        </w:rPr>
        <w:t>Proposals</w:t>
      </w:r>
    </w:p>
    <w:p w:rsidR="00D54825" w:rsidRPr="00B819B9" w:rsidRDefault="00A0267F" w:rsidP="006445F2">
      <w:pPr>
        <w:pStyle w:val="AppendixNo"/>
        <w:spacing w:before="0"/>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12</w:t>
      </w:r>
      <w:r w:rsidRPr="00B819B9">
        <w:rPr>
          <w:lang w:val="en-US"/>
        </w:rPr>
        <w:t>)</w:t>
      </w:r>
    </w:p>
    <w:p w:rsidR="00D54825" w:rsidRPr="00C01EDF" w:rsidRDefault="00A0267F" w:rsidP="00CC016E">
      <w:pPr>
        <w:pStyle w:val="Appendixtitle"/>
        <w:rPr>
          <w:lang w:val="en-US"/>
        </w:rPr>
      </w:pPr>
      <w:bookmarkStart w:id="10"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10"/>
    </w:p>
    <w:p w:rsidR="00DD6B87" w:rsidRDefault="00A0267F">
      <w:pPr>
        <w:pStyle w:val="Proposal"/>
      </w:pPr>
      <w:r>
        <w:t>MOD</w:t>
      </w:r>
      <w:r>
        <w:tab/>
        <w:t>IAP/7A21A6/1</w:t>
      </w:r>
    </w:p>
    <w:p w:rsidR="008304DF" w:rsidRPr="0057797D" w:rsidRDefault="008304DF" w:rsidP="008304DF">
      <w:pPr>
        <w:pStyle w:val="AppArtNo"/>
      </w:pPr>
      <w:r w:rsidRPr="0057797D">
        <w:t>ARTICLE 6</w:t>
      </w:r>
      <w:r w:rsidRPr="0057797D">
        <w:rPr>
          <w:caps w:val="0"/>
          <w:sz w:val="16"/>
          <w:szCs w:val="16"/>
        </w:rPr>
        <w:t>     (REV.WRC</w:t>
      </w:r>
      <w:r w:rsidRPr="0057797D">
        <w:rPr>
          <w:caps w:val="0"/>
          <w:sz w:val="16"/>
          <w:szCs w:val="16"/>
        </w:rPr>
        <w:noBreakHyphen/>
      </w:r>
      <w:del w:id="11" w:author="Arnould, Carine" w:date="2015-10-01T11:44:00Z">
        <w:r w:rsidRPr="0057797D" w:rsidDel="0057797D">
          <w:rPr>
            <w:caps w:val="0"/>
            <w:sz w:val="16"/>
            <w:szCs w:val="16"/>
          </w:rPr>
          <w:delText>12</w:delText>
        </w:r>
      </w:del>
      <w:ins w:id="12" w:author="Arnould, Carine" w:date="2015-10-01T11:44:00Z">
        <w:r>
          <w:rPr>
            <w:caps w:val="0"/>
            <w:sz w:val="16"/>
            <w:szCs w:val="16"/>
          </w:rPr>
          <w:t>15</w:t>
        </w:r>
      </w:ins>
      <w:r w:rsidRPr="0057797D">
        <w:rPr>
          <w:caps w:val="0"/>
          <w:sz w:val="16"/>
          <w:szCs w:val="16"/>
        </w:rPr>
        <w:t>)</w:t>
      </w:r>
    </w:p>
    <w:p w:rsidR="00D54825" w:rsidRPr="00C01EDF" w:rsidRDefault="008304DF" w:rsidP="008304DF">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57797D">
        <w:rPr>
          <w:rStyle w:val="FootnoteReference"/>
          <w:b w:val="0"/>
          <w:bCs/>
        </w:rPr>
        <w:t>1,2</w:t>
      </w:r>
      <w:r w:rsidRPr="00672737">
        <w:rPr>
          <w:sz w:val="16"/>
          <w:szCs w:val="16"/>
          <w:lang w:val="en-US"/>
        </w:rPr>
        <w:t>     (</w:t>
      </w:r>
      <w:r>
        <w:rPr>
          <w:sz w:val="16"/>
          <w:szCs w:val="16"/>
          <w:lang w:val="en-US"/>
        </w:rPr>
        <w:t>WRC</w:t>
      </w:r>
      <w:r>
        <w:rPr>
          <w:sz w:val="16"/>
          <w:szCs w:val="16"/>
          <w:lang w:val="en-US"/>
        </w:rPr>
        <w:noBreakHyphen/>
      </w:r>
      <w:r w:rsidRPr="006A7CDB">
        <w:rPr>
          <w:sz w:val="16"/>
          <w:szCs w:val="16"/>
          <w:lang w:val="en-US"/>
        </w:rPr>
        <w:t>07)</w:t>
      </w:r>
    </w:p>
    <w:p w:rsidR="00D54825" w:rsidRPr="00D41CE2" w:rsidRDefault="00A0267F" w:rsidP="00CC016E">
      <w:pPr>
        <w:keepNext/>
      </w:pPr>
      <w:r w:rsidRPr="00D41CE2">
        <w:t>6.33</w:t>
      </w:r>
    </w:p>
    <w:p w:rsidR="00D54825" w:rsidRPr="00D41CE2" w:rsidRDefault="00A0267F" w:rsidP="00CC016E">
      <w:pPr>
        <w:keepNext/>
      </w:pPr>
      <w:r w:rsidRPr="00D41CE2">
        <w:t>When:</w:t>
      </w:r>
    </w:p>
    <w:p w:rsidR="00D54825" w:rsidRPr="00D41CE2" w:rsidRDefault="00A0267F" w:rsidP="00CC016E">
      <w:pPr>
        <w:pStyle w:val="enumlev1"/>
      </w:pPr>
      <w:r w:rsidRPr="00D41CE2">
        <w:t>i)</w:t>
      </w:r>
      <w:r w:rsidRPr="00D41CE2">
        <w:tab/>
        <w:t>an assignment is no longer required;</w:t>
      </w:r>
      <w:r w:rsidRPr="00D41CE2">
        <w:rPr>
          <w:lang w:eastAsia="zh-CN"/>
        </w:rPr>
        <w:t xml:space="preserve"> </w:t>
      </w:r>
      <w:r w:rsidRPr="00D41CE2">
        <w:rPr>
          <w:i/>
          <w:iCs/>
        </w:rPr>
        <w:t>or</w:t>
      </w:r>
    </w:p>
    <w:p w:rsidR="00D54825" w:rsidRPr="00D41CE2" w:rsidRDefault="00A0267F" w:rsidP="008304DF">
      <w:pPr>
        <w:pStyle w:val="enumlev1"/>
        <w:rPr>
          <w:lang w:eastAsia="zh-CN"/>
        </w:rPr>
      </w:pPr>
      <w:r w:rsidRPr="00D41CE2">
        <w:t>ii)</w:t>
      </w:r>
      <w:r w:rsidRPr="00D41CE2">
        <w:tab/>
        <w:t xml:space="preserve">an assignment recorded in the List and brought into use has been suspended for a period exceeding </w:t>
      </w:r>
      <w:del w:id="13" w:author="Lafkas, Chris: DGEPS-DGGPN" w:date="2015-08-04T14:15:00Z">
        <w:r w:rsidR="008304DF" w:rsidRPr="00D41CE2" w:rsidDel="009D5611">
          <w:delText xml:space="preserve">two </w:delText>
        </w:r>
      </w:del>
      <w:ins w:id="14" w:author="Lafkas, Chris: DGEPS-DGGPN" w:date="2015-08-04T14:15:00Z">
        <w:r w:rsidR="008304DF">
          <w:t xml:space="preserve">three </w:t>
        </w:r>
      </w:ins>
      <w:r w:rsidRPr="00D41CE2">
        <w:t xml:space="preserve">years and ending after the expiry date specified in </w:t>
      </w:r>
      <w:r>
        <w:t>§ </w:t>
      </w:r>
      <w:r w:rsidRPr="00D41CE2">
        <w:t>6.31;</w:t>
      </w:r>
      <w:r w:rsidRPr="00D41CE2">
        <w:rPr>
          <w:lang w:eastAsia="zh-CN"/>
        </w:rPr>
        <w:t xml:space="preserve"> </w:t>
      </w:r>
      <w:r w:rsidRPr="00D41CE2">
        <w:rPr>
          <w:i/>
          <w:iCs/>
        </w:rPr>
        <w:t>or</w:t>
      </w:r>
      <w:r w:rsidRPr="00D41CE2">
        <w:t xml:space="preserve"> </w:t>
      </w:r>
    </w:p>
    <w:p w:rsidR="00D54825" w:rsidRPr="00D41CE2" w:rsidRDefault="00A0267F" w:rsidP="00CC016E">
      <w:pPr>
        <w:pStyle w:val="enumlev1"/>
      </w:pPr>
      <w:r w:rsidRPr="00D41CE2">
        <w:t>iii)</w:t>
      </w:r>
      <w:r w:rsidRPr="00D41CE2">
        <w:tab/>
        <w:t xml:space="preserve">an assignment recorded in the List has not been brought into use within the eight-year period following the receipt by the Bureau of the relevant complete information under </w:t>
      </w:r>
      <w:r>
        <w:t>§ </w:t>
      </w:r>
      <w:r w:rsidRPr="00D41CE2">
        <w:t xml:space="preserve">6.1 (or within the extended period in the event of an extension under </w:t>
      </w:r>
      <w:r>
        <w:t>§ </w:t>
      </w:r>
      <w:r w:rsidRPr="00D41CE2">
        <w:t>6.31</w:t>
      </w:r>
      <w:r w:rsidRPr="00D41CE2">
        <w:rPr>
          <w:i/>
          <w:iCs/>
        </w:rPr>
        <w:t>bis</w:t>
      </w:r>
      <w:r w:rsidRPr="00D41CE2">
        <w:t xml:space="preserve">), with the exception of assignments submitted by new Member States where </w:t>
      </w:r>
      <w:r>
        <w:t>§ </w:t>
      </w:r>
      <w:r w:rsidRPr="00D41CE2">
        <w:t>6.35 and 7.7 apply,</w:t>
      </w:r>
    </w:p>
    <w:p w:rsidR="00D54825" w:rsidRPr="00D41CE2" w:rsidRDefault="00A0267F" w:rsidP="00CC016E">
      <w:r w:rsidRPr="00D41CE2">
        <w:t>the Bureau shall:</w:t>
      </w:r>
    </w:p>
    <w:p w:rsidR="00D54825" w:rsidRPr="00D41CE2" w:rsidRDefault="00A0267F" w:rsidP="00CC016E">
      <w:pPr>
        <w:pStyle w:val="enumlev1"/>
      </w:pPr>
      <w:r w:rsidRPr="00D41CE2">
        <w:rPr>
          <w:i/>
          <w:iCs/>
        </w:rPr>
        <w:t>a)</w:t>
      </w:r>
      <w:r w:rsidRPr="00D41CE2">
        <w:tab/>
        <w:t xml:space="preserve">publish in a Special Section of its BR IFIC the cancellation of the related Special Sections and the assignments recorded in the </w:t>
      </w:r>
      <w:r>
        <w:t>Appendix </w:t>
      </w:r>
      <w:r w:rsidRPr="00D41CE2">
        <w:rPr>
          <w:b/>
          <w:bCs/>
        </w:rPr>
        <w:t>30B</w:t>
      </w:r>
      <w:r w:rsidRPr="00D41CE2">
        <w:t xml:space="preserve"> List;</w:t>
      </w:r>
    </w:p>
    <w:p w:rsidR="00D54825" w:rsidRDefault="00A0267F" w:rsidP="00763E66">
      <w:pPr>
        <w:pStyle w:val="enumlev1"/>
        <w:rPr>
          <w:i/>
          <w:iCs/>
        </w:rPr>
      </w:pPr>
      <w:r w:rsidRPr="00D41CE2">
        <w:rPr>
          <w:i/>
          <w:iCs/>
        </w:rPr>
        <w:t>b)</w:t>
      </w:r>
      <w:r w:rsidRPr="00D41CE2">
        <w:tab/>
        <w:t xml:space="preserve">if the cancelled assignment is the result of a conversion of an allotment without modification, reinstate the allotment in the </w:t>
      </w:r>
      <w:r>
        <w:t>Appendix </w:t>
      </w:r>
      <w:r w:rsidRPr="00D41CE2">
        <w:rPr>
          <w:b/>
          <w:bCs/>
        </w:rPr>
        <w:t>30B</w:t>
      </w:r>
      <w:r w:rsidRPr="00D41CE2">
        <w:t xml:space="preserve"> Plan;</w:t>
      </w:r>
    </w:p>
    <w:p w:rsidR="00D54825" w:rsidRPr="00D41CE2" w:rsidRDefault="00A0267F" w:rsidP="00CC016E">
      <w:pPr>
        <w:pStyle w:val="enumlev1"/>
      </w:pPr>
      <w:r w:rsidRPr="00D41CE2">
        <w:rPr>
          <w:i/>
          <w:iCs/>
        </w:rPr>
        <w:t>c)</w:t>
      </w:r>
      <w:r w:rsidRPr="00D41CE2">
        <w:tab/>
        <w:t xml:space="preserve">if the cancelled assignment is the result of the conversion of an allotment with modifications, reinstate the allotment with the same orbital location and technical parameters of the cancelled assignment except for its service area, which shall be the national territory of the administration whose allotment is being reinstated; </w:t>
      </w:r>
      <w:r w:rsidRPr="00D41CE2">
        <w:rPr>
          <w:i/>
          <w:iCs/>
        </w:rPr>
        <w:t>and</w:t>
      </w:r>
    </w:p>
    <w:p w:rsidR="00D54825" w:rsidRPr="00D41CE2" w:rsidRDefault="00A0267F" w:rsidP="00CC016E">
      <w:pPr>
        <w:pStyle w:val="enumlev1"/>
      </w:pPr>
      <w:r w:rsidRPr="00D41CE2">
        <w:rPr>
          <w:i/>
          <w:iCs/>
        </w:rPr>
        <w:t>d)</w:t>
      </w:r>
      <w:r w:rsidRPr="00D41CE2">
        <w:tab/>
        <w:t>update the reference situation for the allotments of the Plan and the assignments of the List.</w:t>
      </w:r>
      <w:r>
        <w:rPr>
          <w:color w:val="000000"/>
          <w:sz w:val="16"/>
        </w:rPr>
        <w:t>     (WRC</w:t>
      </w:r>
      <w:r>
        <w:rPr>
          <w:color w:val="000000"/>
          <w:sz w:val="16"/>
        </w:rPr>
        <w:noBreakHyphen/>
      </w:r>
      <w:r w:rsidRPr="00D41CE2">
        <w:rPr>
          <w:color w:val="000000"/>
          <w:sz w:val="16"/>
        </w:rPr>
        <w:t>12)</w:t>
      </w:r>
    </w:p>
    <w:p w:rsidR="00DD6B87" w:rsidRDefault="00A0267F">
      <w:pPr>
        <w:pStyle w:val="Reasons"/>
      </w:pPr>
      <w:r>
        <w:rPr>
          <w:b/>
        </w:rPr>
        <w:t>Reasons:</w:t>
      </w:r>
      <w:r>
        <w:tab/>
      </w:r>
      <w:r w:rsidR="008304DF" w:rsidRPr="009D5611">
        <w:t>To align the suspension provisions in Appendix 30B with those in Article 11 and Appendices 30 and 30A, consistent with the decision captured in the Plenary minutes of WRC-12.</w:t>
      </w:r>
    </w:p>
    <w:p w:rsidR="00DD6B87" w:rsidRDefault="00A0267F">
      <w:pPr>
        <w:pStyle w:val="Proposal"/>
      </w:pPr>
      <w:r>
        <w:t>MOD</w:t>
      </w:r>
      <w:r>
        <w:tab/>
        <w:t>IAP/7A21A6/2</w:t>
      </w:r>
    </w:p>
    <w:p w:rsidR="008304DF" w:rsidRPr="00B819B9" w:rsidRDefault="008304DF" w:rsidP="008304DF">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t>12</w:t>
      </w:r>
      <w:r w:rsidRPr="00E7622F">
        <w:rPr>
          <w:caps w:val="0"/>
          <w:sz w:val="16"/>
          <w:szCs w:val="16"/>
          <w:lang w:val="en-US"/>
        </w:rPr>
        <w:t>)</w:t>
      </w:r>
    </w:p>
    <w:p w:rsidR="00D54825" w:rsidRPr="00C01EDF" w:rsidRDefault="008304DF" w:rsidP="008304DF">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Pr="000F5D8A">
        <w:rPr>
          <w:rStyle w:val="FootnoteReference"/>
          <w:b w:val="0"/>
          <w:bCs/>
        </w:rPr>
        <w:t>11, 12</w:t>
      </w:r>
      <w:r w:rsidRPr="00672737">
        <w:rPr>
          <w:b w:val="0"/>
          <w:bCs/>
          <w:sz w:val="16"/>
          <w:szCs w:val="16"/>
          <w:lang w:val="en-US"/>
        </w:rPr>
        <w:t>     (</w:t>
      </w:r>
      <w:r>
        <w:rPr>
          <w:b w:val="0"/>
          <w:bCs/>
          <w:sz w:val="16"/>
          <w:szCs w:val="16"/>
          <w:lang w:val="en-US"/>
        </w:rPr>
        <w:t>WRC</w:t>
      </w:r>
      <w:r>
        <w:rPr>
          <w:b w:val="0"/>
          <w:bCs/>
          <w:sz w:val="16"/>
          <w:szCs w:val="16"/>
          <w:lang w:val="en-US"/>
        </w:rPr>
        <w:noBreakHyphen/>
      </w:r>
      <w:r w:rsidRPr="00462546">
        <w:rPr>
          <w:b w:val="0"/>
          <w:bCs/>
          <w:sz w:val="16"/>
          <w:szCs w:val="16"/>
          <w:lang w:val="en-US"/>
        </w:rPr>
        <w:t>07)</w:t>
      </w:r>
    </w:p>
    <w:p w:rsidR="00D54825" w:rsidRPr="00C01EDF" w:rsidRDefault="00A0267F">
      <w:pPr>
        <w:rPr>
          <w:lang w:val="en-US"/>
        </w:rPr>
      </w:pPr>
      <w:r w:rsidRPr="00B819B9">
        <w:rPr>
          <w:lang w:val="en-US"/>
        </w:rPr>
        <w:t>8.17</w:t>
      </w:r>
      <w:r w:rsidRPr="00B819B9">
        <w:rPr>
          <w:lang w:val="en-US"/>
        </w:rPr>
        <w:tab/>
      </w:r>
      <w:r w:rsidR="008304DF" w:rsidRPr="00265F5F">
        <w:rPr>
          <w:color w:val="000000"/>
          <w:szCs w:val="24"/>
        </w:rPr>
        <w:t>Where</w:t>
      </w:r>
      <w:ins w:id="15" w:author="Author">
        <w:r w:rsidR="008304DF" w:rsidRPr="00265F5F">
          <w:rPr>
            <w:color w:val="000000"/>
            <w:szCs w:val="24"/>
          </w:rPr>
          <w:t>ver</w:t>
        </w:r>
      </w:ins>
      <w:r w:rsidR="008304DF" w:rsidRPr="00265F5F">
        <w:rPr>
          <w:color w:val="000000"/>
          <w:szCs w:val="24"/>
        </w:rPr>
        <w:t xml:space="preserve"> the use of a </w:t>
      </w:r>
      <w:del w:id="16" w:author="Author">
        <w:r w:rsidR="008304DF" w:rsidRPr="00265F5F">
          <w:rPr>
            <w:color w:val="000000"/>
            <w:szCs w:val="24"/>
          </w:rPr>
          <w:delText>recorded</w:delText>
        </w:r>
      </w:del>
      <w:ins w:id="17" w:author="Author">
        <w:r w:rsidR="008304DF" w:rsidRPr="00265F5F">
          <w:rPr>
            <w:color w:val="000000"/>
            <w:szCs w:val="24"/>
          </w:rPr>
          <w:t>frequency</w:t>
        </w:r>
      </w:ins>
      <w:r w:rsidR="008304DF" w:rsidRPr="00265F5F">
        <w:rPr>
          <w:color w:val="000000"/>
          <w:szCs w:val="24"/>
        </w:rPr>
        <w:t xml:space="preserve"> assignment to a space station</w:t>
      </w:r>
      <w:ins w:id="18" w:author="Author">
        <w:r w:rsidR="008304DF" w:rsidRPr="00265F5F">
          <w:rPr>
            <w:color w:val="000000"/>
            <w:szCs w:val="24"/>
          </w:rPr>
          <w:t xml:space="preserve"> recorded in the Master Register</w:t>
        </w:r>
      </w:ins>
      <w:r w:rsidR="008304DF" w:rsidRPr="00265F5F">
        <w:rPr>
          <w:color w:val="000000"/>
          <w:szCs w:val="24"/>
        </w:rPr>
        <w:t xml:space="preserve"> is suspended for a period </w:t>
      </w:r>
      <w:del w:id="19" w:author="Author">
        <w:r w:rsidR="008304DF" w:rsidRPr="00265F5F">
          <w:rPr>
            <w:color w:val="000000"/>
            <w:szCs w:val="24"/>
          </w:rPr>
          <w:delText>not</w:delText>
        </w:r>
        <w:r w:rsidR="008304DF" w:rsidRPr="00265F5F">
          <w:rPr>
            <w:strike/>
            <w:color w:val="000000"/>
            <w:szCs w:val="24"/>
          </w:rPr>
          <w:delText xml:space="preserve"> </w:delText>
        </w:r>
      </w:del>
      <w:r w:rsidR="008304DF" w:rsidRPr="00265F5F">
        <w:rPr>
          <w:color w:val="000000"/>
          <w:szCs w:val="24"/>
        </w:rPr>
        <w:t xml:space="preserve">exceeding </w:t>
      </w:r>
      <w:ins w:id="20" w:author="Author">
        <w:r w:rsidR="008304DF" w:rsidRPr="00265F5F">
          <w:rPr>
            <w:color w:val="000000"/>
            <w:szCs w:val="24"/>
          </w:rPr>
          <w:t xml:space="preserve">six </w:t>
        </w:r>
      </w:ins>
      <w:del w:id="21" w:author="Author">
        <w:r w:rsidR="008304DF" w:rsidRPr="00265F5F">
          <w:rPr>
            <w:color w:val="000000"/>
            <w:szCs w:val="24"/>
          </w:rPr>
          <w:delText xml:space="preserve">eighteen </w:delText>
        </w:r>
      </w:del>
      <w:r w:rsidR="008304DF" w:rsidRPr="00265F5F">
        <w:rPr>
          <w:color w:val="000000"/>
          <w:szCs w:val="24"/>
        </w:rPr>
        <w:t>months, the notifying administration shall, as soon as possible</w:t>
      </w:r>
      <w:ins w:id="22" w:author="Author">
        <w:r w:rsidR="008304DF" w:rsidRPr="00265F5F">
          <w:rPr>
            <w:szCs w:val="24"/>
          </w:rPr>
          <w:t>, but no later than six months from the date on which the use was suspended,</w:t>
        </w:r>
      </w:ins>
      <w:r w:rsidR="008304DF" w:rsidRPr="00265F5F">
        <w:rPr>
          <w:color w:val="000000"/>
          <w:szCs w:val="24"/>
        </w:rPr>
        <w:t xml:space="preserve"> inform the Bureau of the date on which such use was suspended</w:t>
      </w:r>
      <w:ins w:id="23" w:author="Author">
        <w:r w:rsidR="008304DF" w:rsidRPr="00265F5F">
          <w:rPr>
            <w:szCs w:val="24"/>
          </w:rPr>
          <w:t xml:space="preserve">. When the recorded assignment is brought back into use, the notifying administration shall so inform the Bureau, as soon as possible. </w:t>
        </w:r>
      </w:ins>
      <w:del w:id="24" w:author="Author">
        <w:r w:rsidR="008304DF" w:rsidRPr="00265F5F">
          <w:rPr>
            <w:szCs w:val="24"/>
          </w:rPr>
          <w:delText xml:space="preserve">and the date on which the assignment is to be brought back into regular use. </w:delText>
        </w:r>
      </w:del>
      <w:r w:rsidR="008304DF" w:rsidRPr="00265F5F">
        <w:rPr>
          <w:color w:val="000000"/>
          <w:szCs w:val="24"/>
        </w:rPr>
        <w:t>Th</w:t>
      </w:r>
      <w:ins w:id="25" w:author="Author">
        <w:r w:rsidR="008304DF" w:rsidRPr="00265F5F">
          <w:rPr>
            <w:szCs w:val="24"/>
          </w:rPr>
          <w:t>e</w:t>
        </w:r>
      </w:ins>
      <w:del w:id="26" w:author="Author">
        <w:r w:rsidR="008304DF" w:rsidRPr="00265F5F">
          <w:rPr>
            <w:szCs w:val="24"/>
          </w:rPr>
          <w:delText>is</w:delText>
        </w:r>
        <w:r w:rsidR="008304DF" w:rsidRPr="00265F5F">
          <w:rPr>
            <w:color w:val="000000"/>
            <w:szCs w:val="24"/>
          </w:rPr>
          <w:delText xml:space="preserve"> </w:delText>
        </w:r>
        <w:r w:rsidR="008304DF" w:rsidRPr="00265F5F">
          <w:rPr>
            <w:szCs w:val="24"/>
          </w:rPr>
          <w:delText>latter</w:delText>
        </w:r>
      </w:del>
      <w:r w:rsidR="008304DF" w:rsidRPr="00265F5F">
        <w:rPr>
          <w:szCs w:val="24"/>
        </w:rPr>
        <w:t xml:space="preserve"> </w:t>
      </w:r>
      <w:r w:rsidR="008304DF" w:rsidRPr="00265F5F">
        <w:rPr>
          <w:color w:val="000000"/>
          <w:szCs w:val="24"/>
        </w:rPr>
        <w:t xml:space="preserve">date </w:t>
      </w:r>
      <w:ins w:id="27" w:author="Author">
        <w:r w:rsidR="008304DF" w:rsidRPr="00265F5F">
          <w:rPr>
            <w:color w:val="000000"/>
            <w:szCs w:val="24"/>
          </w:rPr>
          <w:t xml:space="preserve">on which the recorded assignment is brought back into use </w:t>
        </w:r>
        <w:r w:rsidR="008304DF" w:rsidRPr="00265F5F">
          <w:rPr>
            <w:szCs w:val="24"/>
            <w:vertAlign w:val="superscript"/>
          </w:rPr>
          <w:t>ADD 14</w:t>
        </w:r>
        <w:r w:rsidR="008304DF" w:rsidRPr="008304DF">
          <w:rPr>
            <w:i/>
            <w:iCs/>
            <w:szCs w:val="24"/>
            <w:vertAlign w:val="superscript"/>
          </w:rPr>
          <w:t>bis</w:t>
        </w:r>
        <w:r w:rsidR="008304DF" w:rsidRPr="00265F5F">
          <w:rPr>
            <w:color w:val="000000"/>
            <w:szCs w:val="24"/>
          </w:rPr>
          <w:t xml:space="preserve"> </w:t>
        </w:r>
      </w:ins>
      <w:r w:rsidR="008304DF" w:rsidRPr="00265F5F">
        <w:rPr>
          <w:color w:val="000000"/>
          <w:szCs w:val="24"/>
        </w:rPr>
        <w:t xml:space="preserve">shall </w:t>
      </w:r>
      <w:del w:id="28" w:author="Author">
        <w:r w:rsidR="008304DF" w:rsidRPr="00265F5F">
          <w:rPr>
            <w:color w:val="000000"/>
            <w:szCs w:val="24"/>
          </w:rPr>
          <w:delText xml:space="preserve">not exceed </w:delText>
        </w:r>
      </w:del>
      <w:ins w:id="29" w:author="Author">
        <w:r w:rsidR="008304DF" w:rsidRPr="00265F5F">
          <w:rPr>
            <w:szCs w:val="24"/>
          </w:rPr>
          <w:t>be no</w:t>
        </w:r>
      </w:ins>
      <w:ins w:id="30" w:author="Kim Baum" w:date="2014-06-09T18:34:00Z">
        <w:r w:rsidR="008304DF" w:rsidRPr="00265F5F">
          <w:rPr>
            <w:szCs w:val="24"/>
          </w:rPr>
          <w:t>t</w:t>
        </w:r>
      </w:ins>
      <w:ins w:id="31" w:author="Author">
        <w:r w:rsidR="008304DF" w:rsidRPr="00265F5F">
          <w:rPr>
            <w:szCs w:val="24"/>
          </w:rPr>
          <w:t xml:space="preserve"> later than three </w:t>
        </w:r>
      </w:ins>
      <w:del w:id="32" w:author="Author">
        <w:r w:rsidR="008304DF" w:rsidRPr="00265F5F">
          <w:rPr>
            <w:szCs w:val="24"/>
          </w:rPr>
          <w:delText>two</w:delText>
        </w:r>
        <w:r w:rsidR="008304DF" w:rsidRPr="00265F5F">
          <w:rPr>
            <w:strike/>
            <w:szCs w:val="24"/>
          </w:rPr>
          <w:delText xml:space="preserve"> </w:delText>
        </w:r>
      </w:del>
      <w:r w:rsidR="008304DF" w:rsidRPr="00265F5F">
        <w:rPr>
          <w:color w:val="000000"/>
          <w:szCs w:val="24"/>
        </w:rPr>
        <w:t>years from the date of suspension.</w:t>
      </w:r>
      <w:r w:rsidR="008304DF" w:rsidRPr="00265F5F">
        <w:rPr>
          <w:szCs w:val="24"/>
        </w:rPr>
        <w:t xml:space="preserve"> If </w:t>
      </w:r>
      <w:del w:id="33" w:author="Author">
        <w:r w:rsidR="008304DF" w:rsidRPr="00265F5F">
          <w:rPr>
            <w:szCs w:val="24"/>
          </w:rPr>
          <w:delText>the</w:delText>
        </w:r>
      </w:del>
      <w:ins w:id="34" w:author="Author">
        <w:r w:rsidR="008304DF" w:rsidRPr="00265F5F">
          <w:rPr>
            <w:szCs w:val="24"/>
          </w:rPr>
          <w:t>a recorded frequency</w:t>
        </w:r>
      </w:ins>
      <w:r w:rsidR="008304DF" w:rsidRPr="00265F5F">
        <w:rPr>
          <w:szCs w:val="24"/>
        </w:rPr>
        <w:t xml:space="preserve"> assignment is not brought back into use within </w:t>
      </w:r>
      <w:del w:id="35" w:author="Author">
        <w:r w:rsidR="008304DF" w:rsidRPr="00265F5F">
          <w:rPr>
            <w:szCs w:val="24"/>
          </w:rPr>
          <w:delText>two</w:delText>
        </w:r>
      </w:del>
      <w:ins w:id="36" w:author="Author">
        <w:r w:rsidR="008304DF" w:rsidRPr="00265F5F">
          <w:rPr>
            <w:szCs w:val="24"/>
          </w:rPr>
          <w:t>three</w:t>
        </w:r>
      </w:ins>
      <w:r w:rsidR="008304DF" w:rsidRPr="00265F5F">
        <w:rPr>
          <w:szCs w:val="24"/>
        </w:rPr>
        <w:t xml:space="preserve"> years from the date of suspension, the Bureau shall cancel the assignment</w:t>
      </w:r>
      <w:del w:id="37" w:author="Bude" w:date="2015-04-08T23:57:00Z">
        <w:r w:rsidR="008304DF" w:rsidRPr="00265F5F" w:rsidDel="005C4802">
          <w:rPr>
            <w:szCs w:val="24"/>
          </w:rPr>
          <w:delText xml:space="preserve"> from the Master Register and apply the provisions of §</w:delText>
        </w:r>
      </w:del>
      <w:del w:id="38" w:author="Arnould, Carine" w:date="2015-10-01T12:08:00Z">
        <w:r w:rsidR="008304DF" w:rsidDel="008304DF">
          <w:rPr>
            <w:szCs w:val="24"/>
          </w:rPr>
          <w:delText> </w:delText>
        </w:r>
      </w:del>
      <w:del w:id="39" w:author="Bude" w:date="2015-04-08T23:57:00Z">
        <w:r w:rsidR="008304DF" w:rsidRPr="00265F5F" w:rsidDel="005C4802">
          <w:rPr>
            <w:szCs w:val="24"/>
          </w:rPr>
          <w:delText>6.33</w:delText>
        </w:r>
      </w:del>
      <w:r w:rsidR="008304DF" w:rsidRPr="00265F5F">
        <w:rPr>
          <w:szCs w:val="24"/>
        </w:rPr>
        <w:t>.</w:t>
      </w:r>
      <w:r w:rsidR="008304DF" w:rsidRPr="00672737">
        <w:rPr>
          <w:sz w:val="16"/>
          <w:lang w:val="en-US"/>
        </w:rPr>
        <w:t>     (</w:t>
      </w:r>
      <w:r w:rsidR="008304DF">
        <w:rPr>
          <w:sz w:val="16"/>
          <w:szCs w:val="16"/>
          <w:lang w:val="en-US"/>
        </w:rPr>
        <w:t>WRC</w:t>
      </w:r>
      <w:r w:rsidR="008304DF">
        <w:rPr>
          <w:sz w:val="16"/>
          <w:szCs w:val="16"/>
          <w:lang w:val="en-US"/>
        </w:rPr>
        <w:noBreakHyphen/>
      </w:r>
      <w:del w:id="40" w:author="Lafkas, Chris: DGEPS-DGGPN" w:date="2015-08-04T14:17:00Z">
        <w:r w:rsidR="008304DF" w:rsidRPr="00B819B9" w:rsidDel="00265F5F">
          <w:rPr>
            <w:sz w:val="16"/>
            <w:szCs w:val="16"/>
            <w:lang w:val="en-US"/>
          </w:rPr>
          <w:delText>07</w:delText>
        </w:r>
      </w:del>
      <w:ins w:id="41" w:author="Lafkas, Chris: DGEPS-DGGPN" w:date="2015-08-04T14:17:00Z">
        <w:r w:rsidR="008304DF">
          <w:rPr>
            <w:sz w:val="16"/>
            <w:szCs w:val="16"/>
            <w:lang w:val="en-US"/>
          </w:rPr>
          <w:t>15</w:t>
        </w:r>
      </w:ins>
      <w:r w:rsidR="008304DF" w:rsidRPr="00B819B9">
        <w:rPr>
          <w:sz w:val="16"/>
          <w:szCs w:val="16"/>
          <w:lang w:val="en-US"/>
        </w:rPr>
        <w:t>)</w:t>
      </w:r>
    </w:p>
    <w:p w:rsidR="00DD6B87" w:rsidRDefault="00DD6B87">
      <w:pPr>
        <w:pStyle w:val="Reasons"/>
      </w:pPr>
    </w:p>
    <w:p w:rsidR="00DD6B87" w:rsidRDefault="00A0267F">
      <w:pPr>
        <w:pStyle w:val="Proposal"/>
      </w:pPr>
      <w:r>
        <w:t>ADD</w:t>
      </w:r>
      <w:r>
        <w:tab/>
        <w:t>IAP/7A21A6/3</w:t>
      </w:r>
    </w:p>
    <w:p w:rsidR="00D83A1A" w:rsidRDefault="00D83A1A">
      <w:r>
        <w:t>_______________</w:t>
      </w:r>
    </w:p>
    <w:p w:rsidR="00DD6B87" w:rsidRDefault="00A0267F" w:rsidP="00C54EC9">
      <w:pPr>
        <w:pStyle w:val="FootnoteText"/>
      </w:pPr>
      <w:r>
        <w:rPr>
          <w:rStyle w:val="Artdef"/>
        </w:rPr>
        <w:t>14</w:t>
      </w:r>
      <w:r w:rsidRPr="008304DF">
        <w:rPr>
          <w:rStyle w:val="Artdef"/>
          <w:i/>
          <w:iCs/>
        </w:rPr>
        <w:t>bis</w:t>
      </w:r>
      <w:r>
        <w:tab/>
      </w:r>
      <w:r w:rsidR="00D83A1A" w:rsidRPr="00265F5F">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inform the Bureau within thirty days from the end of the ninety-day period.</w:t>
      </w:r>
    </w:p>
    <w:p w:rsidR="00DD6B87" w:rsidRDefault="00A0267F">
      <w:pPr>
        <w:pStyle w:val="Reasons"/>
      </w:pPr>
      <w:r>
        <w:rPr>
          <w:b/>
        </w:rPr>
        <w:t>Reasons:</w:t>
      </w:r>
      <w:r>
        <w:tab/>
      </w:r>
      <w:r w:rsidR="00D83A1A" w:rsidRPr="00A93C12">
        <w:t xml:space="preserve">To </w:t>
      </w:r>
      <w:r w:rsidR="00D83A1A" w:rsidRPr="000F5D8A">
        <w:t>align the suspension provisions in Appendix 30B with those in Article 11 and Appendices 30 and 30A, consistent with the decision captured in the Plenary minutes of WRC-12.</w:t>
      </w:r>
      <w:r w:rsidR="00C54EC9">
        <w:t xml:space="preserve"> </w:t>
      </w:r>
      <w:r w:rsidR="00D83A1A" w:rsidRPr="000F5D8A">
        <w:t>Footnote 14bis aligns with the text of RR No. 11.49.1.</w:t>
      </w:r>
    </w:p>
    <w:p w:rsidR="00D83A1A" w:rsidRDefault="00D83A1A" w:rsidP="00D83A1A">
      <w:pPr>
        <w:pStyle w:val="Note"/>
        <w:rPr>
          <w:i/>
          <w:iCs/>
          <w:lang w:val="en-US"/>
        </w:rPr>
      </w:pPr>
      <w:r w:rsidRPr="00D83A1A">
        <w:rPr>
          <w:i/>
          <w:iCs/>
          <w:lang w:val="en-US"/>
        </w:rPr>
        <w:t xml:space="preserve">Editorial Note: It should be noted that this proposal would be made consistent with any other proposed modification to No. </w:t>
      </w:r>
      <w:r w:rsidRPr="00D83A1A">
        <w:rPr>
          <w:b/>
          <w:i/>
          <w:iCs/>
          <w:lang w:val="en-US"/>
        </w:rPr>
        <w:t>11.49</w:t>
      </w:r>
      <w:r w:rsidRPr="00D83A1A">
        <w:rPr>
          <w:i/>
          <w:iCs/>
          <w:lang w:val="en-US"/>
        </w:rPr>
        <w:t>.</w:t>
      </w:r>
    </w:p>
    <w:p w:rsidR="00D83A1A" w:rsidRDefault="00D83A1A" w:rsidP="00D83A1A">
      <w:pPr>
        <w:rPr>
          <w:lang w:val="en-US"/>
        </w:rPr>
      </w:pPr>
    </w:p>
    <w:p w:rsidR="00D83A1A" w:rsidRDefault="00D83A1A" w:rsidP="0032202E">
      <w:pPr>
        <w:pStyle w:val="Reasons"/>
      </w:pPr>
    </w:p>
    <w:p w:rsidR="00C54EC9" w:rsidRDefault="00C54EC9" w:rsidP="0032202E">
      <w:pPr>
        <w:pStyle w:val="Reasons"/>
      </w:pPr>
    </w:p>
    <w:p w:rsidR="00C54EC9" w:rsidRDefault="00C54EC9">
      <w:pPr>
        <w:jc w:val="center"/>
      </w:pPr>
      <w:r>
        <w:t>______________</w:t>
      </w:r>
    </w:p>
    <w:p w:rsidR="00D83A1A" w:rsidRPr="00D83A1A" w:rsidRDefault="00D83A1A" w:rsidP="00D83A1A">
      <w:pPr>
        <w:rPr>
          <w:lang w:val="en-US"/>
        </w:rPr>
      </w:pPr>
    </w:p>
    <w:sectPr w:rsidR="00D83A1A" w:rsidRPr="00D83A1A">
      <w:headerReference w:type="default" r:id="rId15"/>
      <w:footerReference w:type="even" r:id="rId16"/>
      <w:footerReference w:type="default" r:id="rId17"/>
      <w:footerReference w:type="first" r:id="rId18"/>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0402C">
      <w:rPr>
        <w:noProof/>
        <w:lang w:val="en-US"/>
      </w:rPr>
      <w:t>P:\ENG\ITU-R\CONF-R\CMR15\000\007ADD21ADD06E.docx</w:t>
    </w:r>
    <w:r>
      <w:fldChar w:fldCharType="end"/>
    </w:r>
    <w:r w:rsidRPr="0041348E">
      <w:rPr>
        <w:lang w:val="en-US"/>
      </w:rPr>
      <w:tab/>
    </w:r>
    <w:r>
      <w:fldChar w:fldCharType="begin"/>
    </w:r>
    <w:r>
      <w:instrText xml:space="preserve"> SAVEDATE \@ DD.MM.YY </w:instrText>
    </w:r>
    <w:r>
      <w:fldChar w:fldCharType="separate"/>
    </w:r>
    <w:r w:rsidR="0050402C">
      <w:rPr>
        <w:noProof/>
      </w:rPr>
      <w:t>15.10.15</w:t>
    </w:r>
    <w:r>
      <w:fldChar w:fldCharType="end"/>
    </w:r>
    <w:r w:rsidRPr="0041348E">
      <w:rPr>
        <w:lang w:val="en-US"/>
      </w:rPr>
      <w:tab/>
    </w:r>
    <w:r>
      <w:fldChar w:fldCharType="begin"/>
    </w:r>
    <w:r>
      <w:instrText xml:space="preserve"> PRINTDATE \@ DD.MM.YY </w:instrText>
    </w:r>
    <w:r>
      <w:fldChar w:fldCharType="separate"/>
    </w:r>
    <w:r w:rsidR="0050402C">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C9" w:rsidRDefault="00C54EC9" w:rsidP="00C54EC9">
    <w:pPr>
      <w:pStyle w:val="Footer"/>
    </w:pPr>
    <w:fldSimple w:instr=" FILENAME \p  \* MERGEFORMAT ">
      <w:r w:rsidR="0050402C">
        <w:t>P:\ENG\ITU-R\CONF-R\CMR15\000\007ADD21ADD06E.docx</w:t>
      </w:r>
    </w:fldSimple>
    <w:r>
      <w:t xml:space="preserve"> (387396)</w:t>
    </w:r>
    <w:r>
      <w:tab/>
    </w:r>
    <w:r>
      <w:fldChar w:fldCharType="begin"/>
    </w:r>
    <w:r>
      <w:instrText xml:space="preserve"> SAVEDATE \@ DD.MM.YY </w:instrText>
    </w:r>
    <w:r>
      <w:fldChar w:fldCharType="separate"/>
    </w:r>
    <w:r w:rsidR="0050402C">
      <w:t>15.10.15</w:t>
    </w:r>
    <w:r>
      <w:fldChar w:fldCharType="end"/>
    </w:r>
    <w:r>
      <w:tab/>
    </w:r>
    <w:r>
      <w:fldChar w:fldCharType="begin"/>
    </w:r>
    <w:r>
      <w:instrText xml:space="preserve"> PRINTDATE \@ DD.MM.YY </w:instrText>
    </w:r>
    <w:r>
      <w:fldChar w:fldCharType="separate"/>
    </w:r>
    <w:r w:rsidR="0050402C">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EC9" w:rsidRDefault="0050402C">
    <w:pPr>
      <w:pStyle w:val="Footer"/>
    </w:pPr>
    <w:r>
      <w:fldChar w:fldCharType="begin"/>
    </w:r>
    <w:r>
      <w:instrText xml:space="preserve"> FILENAME \p  \* MERGEFORMAT </w:instrText>
    </w:r>
    <w:r>
      <w:fldChar w:fldCharType="separate"/>
    </w:r>
    <w:r>
      <w:t>P:\ENG\ITU-R\CONF-R\CMR15\000\007ADD21ADD06E.docx</w:t>
    </w:r>
    <w:r>
      <w:fldChar w:fldCharType="end"/>
    </w:r>
    <w:r w:rsidR="00C54EC9">
      <w:t xml:space="preserve"> (387396)</w:t>
    </w:r>
    <w:r w:rsidR="00C54EC9">
      <w:tab/>
    </w:r>
    <w:r w:rsidR="00C54EC9">
      <w:fldChar w:fldCharType="begin"/>
    </w:r>
    <w:r w:rsidR="00C54EC9">
      <w:instrText xml:space="preserve"> SAVEDATE \@ DD.MM.YY </w:instrText>
    </w:r>
    <w:r w:rsidR="00C54EC9">
      <w:fldChar w:fldCharType="separate"/>
    </w:r>
    <w:r>
      <w:t>15.10.15</w:t>
    </w:r>
    <w:r w:rsidR="00C54EC9">
      <w:fldChar w:fldCharType="end"/>
    </w:r>
    <w:r w:rsidR="00C54EC9">
      <w:tab/>
    </w:r>
    <w:r w:rsidR="00C54EC9">
      <w:fldChar w:fldCharType="begin"/>
    </w:r>
    <w:r w:rsidR="00C54EC9">
      <w:instrText xml:space="preserve"> PRINTDATE \@ DD.MM.YY </w:instrText>
    </w:r>
    <w:r w:rsidR="00C54EC9">
      <w:fldChar w:fldCharType="separate"/>
    </w:r>
    <w:r>
      <w:t>18.10.15</w:t>
    </w:r>
    <w:r w:rsidR="00C54EC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0402C">
      <w:rPr>
        <w:noProof/>
      </w:rPr>
      <w:t>2</w:t>
    </w:r>
    <w:r>
      <w:fldChar w:fldCharType="end"/>
    </w:r>
  </w:p>
  <w:p w:rsidR="00A066F1" w:rsidRPr="00A066F1" w:rsidRDefault="00187BD9" w:rsidP="00241FA2">
    <w:pPr>
      <w:pStyle w:val="Header"/>
    </w:pPr>
    <w:r>
      <w:t>CMR1</w:t>
    </w:r>
    <w:r w:rsidR="00241FA2">
      <w:t>5</w:t>
    </w:r>
    <w:r w:rsidR="00A066F1">
      <w:t>/</w:t>
    </w:r>
    <w:bookmarkStart w:id="42" w:name="OLE_LINK1"/>
    <w:bookmarkStart w:id="43" w:name="OLE_LINK2"/>
    <w:bookmarkStart w:id="44" w:name="OLE_LINK3"/>
    <w:r w:rsidR="00EB55C6">
      <w:t>7(Add.21)(Add.6)</w:t>
    </w:r>
    <w:bookmarkEnd w:id="42"/>
    <w:bookmarkEnd w:id="43"/>
    <w:bookmarkEnd w:id="4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0402C"/>
    <w:rsid w:val="0055140B"/>
    <w:rsid w:val="005964AB"/>
    <w:rsid w:val="005C099A"/>
    <w:rsid w:val="005C31A5"/>
    <w:rsid w:val="005E10C9"/>
    <w:rsid w:val="005E290B"/>
    <w:rsid w:val="005E61DD"/>
    <w:rsid w:val="006023DF"/>
    <w:rsid w:val="00616219"/>
    <w:rsid w:val="00657DE0"/>
    <w:rsid w:val="00685313"/>
    <w:rsid w:val="00687096"/>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304DF"/>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267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54EC9"/>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3A1A"/>
    <w:rsid w:val="00D936BC"/>
    <w:rsid w:val="00D96530"/>
    <w:rsid w:val="00DD44AF"/>
    <w:rsid w:val="00DD6B87"/>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19CEBEB-21EB-48C9-AEF1-23D255EF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ArtrefBold">
    <w:name w:val="Art_ref + Bold"/>
    <w:basedOn w:val="Artref"/>
    <w:rsid w:val="00F9677B"/>
    <w:rPr>
      <w:b/>
      <w:bCs/>
      <w:color w:val="auto"/>
    </w:rPr>
  </w:style>
  <w:style w:type="character" w:styleId="Hyperlink">
    <w:name w:val="Hyperlink"/>
    <w:rsid w:val="00830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WRC12-C-0553/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RRB.12.2-C-000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640FA-2FC3-4E40-96CD-41710AD021A6}">
  <ds:schemaRefs>
    <ds:schemaRef ds:uri="http://schemas.microsoft.com/office/2006/metadata/properties"/>
    <ds:schemaRef ds:uri="996b2e75-67fd-4955-a3b0-5ab9934cb50b"/>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AA510E2-3682-48D4-A861-9CD54B53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1</Pages>
  <Words>1132</Words>
  <Characters>5944</Characters>
  <Application>Microsoft Office Word</Application>
  <DocSecurity>0</DocSecurity>
  <Lines>117</Lines>
  <Paragraphs>44</Paragraphs>
  <ScaleCrop>false</ScaleCrop>
  <HeadingPairs>
    <vt:vector size="2" baseType="variant">
      <vt:variant>
        <vt:lpstr>Title</vt:lpstr>
      </vt:variant>
      <vt:variant>
        <vt:i4>1</vt:i4>
      </vt:variant>
    </vt:vector>
  </HeadingPairs>
  <TitlesOfParts>
    <vt:vector size="1" baseType="lpstr">
      <vt:lpstr>R15-WRC15-C-0007!A21-A6!MSW-E</vt:lpstr>
    </vt:vector>
  </TitlesOfParts>
  <Manager>General Secretariat - Pool</Manager>
  <Company>International Telecommunication Union (ITU)</Company>
  <LinksUpToDate>false</LinksUpToDate>
  <CharactersWithSpaces>7060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R15-WRC15-C-0007!A21-A6!MSW-E</dc:title>
  <dc:subject>World Radiocommunication Conference - 2015</dc:subject>
  <dc:creator>Documents Proposals Manager (DPM)</dc:creator>
  <cp:keywords>DPM_v5.2015.9.16_prod</cp:keywords>
  <dc:description>Uploaded on 2015.07.06</dc:description>
  <cp:lastModifiedBy>Currie, Jane</cp:lastModifiedBy>
  <cp:revision>4</cp:revision>
  <cp:lastPrinted>2015-10-18T09:37:00Z</cp:lastPrinted>
  <dcterms:created xsi:type="dcterms:W3CDTF">2015-10-15T07:01:00Z</dcterms:created>
  <dcterms:modified xsi:type="dcterms:W3CDTF">2015-10-18T09:38:00Z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