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5648E6" w:rsidRDefault="006D4724" w:rsidP="00BA5BD0">
            <w:pPr>
              <w:spacing w:before="0"/>
              <w:rPr>
                <w:rFonts w:ascii="Verdana" w:hAnsi="Verdana"/>
                <w:sz w:val="20"/>
                <w:lang w:val="fr-CH"/>
              </w:rPr>
            </w:pPr>
            <w:r w:rsidRPr="005648E6">
              <w:rPr>
                <w:rFonts w:ascii="Verdana" w:eastAsia="SimSun" w:hAnsi="Verdana" w:cs="Traditional Arabic"/>
                <w:b/>
                <w:sz w:val="20"/>
                <w:lang w:val="fr-CH"/>
              </w:rPr>
              <w:t>Addendum 7 au</w:t>
            </w:r>
            <w:r w:rsidRPr="005648E6">
              <w:rPr>
                <w:rFonts w:ascii="Verdana" w:eastAsia="SimSun" w:hAnsi="Verdana" w:cs="Traditional Arabic"/>
                <w:b/>
                <w:sz w:val="20"/>
                <w:lang w:val="fr-CH"/>
              </w:rPr>
              <w:br/>
              <w:t>Document 7(Add.21)</w:t>
            </w:r>
            <w:r w:rsidR="00BB1D82" w:rsidRPr="005648E6">
              <w:rPr>
                <w:rFonts w:ascii="Verdana" w:hAnsi="Verdana"/>
                <w:b/>
                <w:sz w:val="20"/>
                <w:lang w:val="fr-CH"/>
              </w:rPr>
              <w:t>-</w:t>
            </w:r>
            <w:r w:rsidRPr="005648E6">
              <w:rPr>
                <w:rFonts w:ascii="Verdana" w:hAnsi="Verdana"/>
                <w:b/>
                <w:sz w:val="20"/>
                <w:lang w:val="fr-CH"/>
              </w:rPr>
              <w:t>F</w:t>
            </w:r>
          </w:p>
        </w:tc>
      </w:tr>
      <w:bookmarkEnd w:id="2"/>
      <w:tr w:rsidR="00690C7B" w:rsidRPr="002A6F8F" w:rsidTr="00BB1D82">
        <w:trPr>
          <w:cantSplit/>
        </w:trPr>
        <w:tc>
          <w:tcPr>
            <w:tcW w:w="6911" w:type="dxa"/>
            <w:shd w:val="clear" w:color="auto" w:fill="auto"/>
          </w:tcPr>
          <w:p w:rsidR="00690C7B" w:rsidRPr="005648E6"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5648E6" w:rsidRDefault="00690C7B" w:rsidP="00690C7B">
            <w:pPr>
              <w:pStyle w:val="Source"/>
              <w:rPr>
                <w:lang w:val="fr-CH"/>
              </w:rPr>
            </w:pPr>
            <w:bookmarkStart w:id="3" w:name="dsource" w:colFirst="0" w:colLast="0"/>
            <w:r w:rsidRPr="005648E6">
              <w:rPr>
                <w:lang w:val="fr-CH"/>
              </w:rPr>
              <w:t>Etats Membres de la Commission interaméricaine des télécommunications (CITEL)</w:t>
            </w:r>
          </w:p>
        </w:tc>
      </w:tr>
      <w:tr w:rsidR="00690C7B" w:rsidRPr="002A6F8F" w:rsidTr="0050008E">
        <w:trPr>
          <w:cantSplit/>
        </w:trPr>
        <w:tc>
          <w:tcPr>
            <w:tcW w:w="10031" w:type="dxa"/>
            <w:gridSpan w:val="2"/>
          </w:tcPr>
          <w:p w:rsidR="00690C7B" w:rsidRPr="005648E6" w:rsidRDefault="005648E6" w:rsidP="00690C7B">
            <w:pPr>
              <w:pStyle w:val="Title1"/>
              <w:rPr>
                <w:lang w:val="fr-CH"/>
              </w:rPr>
            </w:pPr>
            <w:bookmarkStart w:id="4" w:name="dtitle1" w:colFirst="0" w:colLast="0"/>
            <w:bookmarkEnd w:id="3"/>
            <w:r w:rsidRPr="005648E6">
              <w:rPr>
                <w:lang w:val="fr-CH"/>
              </w:rPr>
              <w:t>propositions pour les travaux de la conférence</w:t>
            </w:r>
          </w:p>
        </w:tc>
      </w:tr>
      <w:tr w:rsidR="00690C7B" w:rsidRPr="002A6F8F" w:rsidTr="0050008E">
        <w:trPr>
          <w:cantSplit/>
        </w:trPr>
        <w:tc>
          <w:tcPr>
            <w:tcW w:w="10031" w:type="dxa"/>
            <w:gridSpan w:val="2"/>
          </w:tcPr>
          <w:p w:rsidR="00690C7B" w:rsidRPr="005648E6"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7(G) de l'ordre du jour</w:t>
            </w:r>
          </w:p>
        </w:tc>
      </w:tr>
    </w:tbl>
    <w:bookmarkEnd w:id="6"/>
    <w:p w:rsidR="001C0E40" w:rsidRPr="0079624F" w:rsidRDefault="00FA63D4" w:rsidP="00BE354C">
      <w:pPr>
        <w:rPr>
          <w:lang w:val="fr-CA"/>
        </w:rPr>
      </w:pPr>
      <w:r w:rsidRPr="0003194D">
        <w:rPr>
          <w:lang w:val="fr-CA"/>
        </w:rPr>
        <w:t>7</w:t>
      </w:r>
      <w:r w:rsidRPr="0003194D">
        <w:rPr>
          <w:lang w:val="fr-CA"/>
        </w:rPr>
        <w:tab/>
      </w:r>
      <w:r w:rsidRPr="0079624F">
        <w:rPr>
          <w:lang w:val="fr-CA"/>
        </w:rPr>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79624F">
        <w:rPr>
          <w:b/>
          <w:bCs/>
          <w:lang w:val="fr-CA"/>
        </w:rPr>
        <w:t>86 (Rév.CMR-07)</w:t>
      </w:r>
      <w:r w:rsidRPr="0079624F">
        <w:rPr>
          <w:lang w:val="fr-CA"/>
        </w:rPr>
        <w:t>, afin de faciliter l'utilisation rationnelle, efficace et économique des fréquences radioélectriques et des orbites associées, y compris de l'orbite des satellites géostationnaires;</w:t>
      </w:r>
    </w:p>
    <w:p w:rsidR="001C0E40" w:rsidRPr="0079624F" w:rsidRDefault="00FA63D4" w:rsidP="00BE354C">
      <w:pPr>
        <w:rPr>
          <w:lang w:val="fr-CA"/>
        </w:rPr>
      </w:pPr>
      <w:r w:rsidRPr="0079624F">
        <w:rPr>
          <w:lang w:val="fr-CA"/>
        </w:rPr>
        <w:t xml:space="preserve">7(G) </w:t>
      </w:r>
      <w:r w:rsidRPr="0079624F">
        <w:rPr>
          <w:lang w:val="fr-CA"/>
        </w:rPr>
        <w:tab/>
        <w:t>Question G</w:t>
      </w:r>
      <w:r w:rsidRPr="0079624F">
        <w:rPr>
          <w:lang w:val="fr-CH"/>
        </w:rPr>
        <w:t xml:space="preserve"> – </w:t>
      </w:r>
      <w:r w:rsidRPr="0079624F">
        <w:rPr>
          <w:lang w:val="fr-CA"/>
        </w:rPr>
        <w:t xml:space="preserve">Clarification concernant les renseignements relatifs à la mise en service fournis au titre des numéros </w:t>
      </w:r>
      <w:r w:rsidRPr="0079624F">
        <w:rPr>
          <w:b/>
          <w:bCs/>
          <w:lang w:val="fr-CA"/>
        </w:rPr>
        <w:t>11.44</w:t>
      </w:r>
      <w:r w:rsidRPr="0079624F">
        <w:rPr>
          <w:lang w:val="fr-CA"/>
        </w:rPr>
        <w:t>/</w:t>
      </w:r>
      <w:r w:rsidRPr="0079624F">
        <w:rPr>
          <w:b/>
          <w:bCs/>
          <w:lang w:val="fr-CA"/>
        </w:rPr>
        <w:t>11.44B</w:t>
      </w:r>
      <w:r w:rsidRPr="0079624F">
        <w:rPr>
          <w:lang w:val="fr-CA"/>
        </w:rPr>
        <w:t xml:space="preserve"> du RR.</w:t>
      </w:r>
    </w:p>
    <w:p w:rsidR="00D951FB" w:rsidRPr="0079624F" w:rsidRDefault="00171FDC" w:rsidP="00BE354C">
      <w:pPr>
        <w:pStyle w:val="Headingb"/>
        <w:rPr>
          <w:lang w:val="fr-CH"/>
        </w:rPr>
      </w:pPr>
      <w:r w:rsidRPr="0079624F">
        <w:rPr>
          <w:lang w:val="fr-CH"/>
        </w:rPr>
        <w:t xml:space="preserve">Considérations générales </w:t>
      </w:r>
    </w:p>
    <w:p w:rsidR="008C64F7" w:rsidRPr="0079624F" w:rsidRDefault="00171FDC" w:rsidP="00BE354C">
      <w:pPr>
        <w:rPr>
          <w:lang w:val="fr-CH"/>
        </w:rPr>
      </w:pPr>
      <w:r w:rsidRPr="0079624F">
        <w:rPr>
          <w:lang w:val="fr-CH"/>
        </w:rPr>
        <w:t>En adoptant le numéro</w:t>
      </w:r>
      <w:r w:rsidR="008C64F7" w:rsidRPr="0079624F">
        <w:rPr>
          <w:lang w:val="fr-CH"/>
        </w:rPr>
        <w:t xml:space="preserve"> 11.44B, l</w:t>
      </w:r>
      <w:r w:rsidR="00D951FB" w:rsidRPr="0079624F">
        <w:rPr>
          <w:lang w:val="fr-CH"/>
        </w:rPr>
        <w:t>a CMR-12 a élaboré une nouvelle disposition afin de définir la mise en service d'assignations de fréquence</w:t>
      </w:r>
      <w:r w:rsidRPr="0079624F">
        <w:rPr>
          <w:lang w:val="fr-CH"/>
        </w:rPr>
        <w:t>s aux stations spatiales en orbite géostationnaire</w:t>
      </w:r>
      <w:r w:rsidR="00D951FB" w:rsidRPr="0079624F">
        <w:rPr>
          <w:lang w:val="fr-CH"/>
        </w:rPr>
        <w:t xml:space="preserve"> </w:t>
      </w:r>
      <w:r w:rsidR="00E97F60">
        <w:rPr>
          <w:lang w:val="fr-CH"/>
        </w:rPr>
        <w:t xml:space="preserve">en termes de </w:t>
      </w:r>
      <w:r w:rsidR="00D951FB" w:rsidRPr="0079624F">
        <w:rPr>
          <w:lang w:val="fr-CH"/>
        </w:rPr>
        <w:t>capacité d'une station spatiale d'émettre et de recevoir à une position orbitale nominale pendant une période continue</w:t>
      </w:r>
      <w:r w:rsidRPr="0079624F">
        <w:rPr>
          <w:lang w:val="fr-CH"/>
        </w:rPr>
        <w:t xml:space="preserve"> de 90 jours</w:t>
      </w:r>
      <w:r w:rsidR="00D951FB" w:rsidRPr="0079624F">
        <w:rPr>
          <w:lang w:val="fr-CH"/>
        </w:rPr>
        <w:t>.</w:t>
      </w:r>
      <w:r w:rsidRPr="0079624F">
        <w:rPr>
          <w:lang w:val="fr-CH"/>
        </w:rPr>
        <w:t xml:space="preserve"> Le numéro</w:t>
      </w:r>
      <w:r w:rsidR="008C64F7" w:rsidRPr="0079624F">
        <w:rPr>
          <w:lang w:val="fr-CH"/>
        </w:rPr>
        <w:t xml:space="preserve"> 13.6 </w:t>
      </w:r>
      <w:r w:rsidRPr="0079624F">
        <w:rPr>
          <w:lang w:val="fr-CH"/>
        </w:rPr>
        <w:t xml:space="preserve">du Règlement des radiocommunications fournit un mécanisme qui permet </w:t>
      </w:r>
      <w:r w:rsidR="00C11C28" w:rsidRPr="0079624F">
        <w:rPr>
          <w:lang w:val="fr-CH"/>
        </w:rPr>
        <w:t xml:space="preserve">au Bureau </w:t>
      </w:r>
      <w:r w:rsidR="000458B6" w:rsidRPr="0079624F">
        <w:rPr>
          <w:lang w:val="fr-CH"/>
        </w:rPr>
        <w:t>d’effectuer une enquête</w:t>
      </w:r>
      <w:r w:rsidR="00C11C28" w:rsidRPr="0079624F">
        <w:rPr>
          <w:lang w:val="fr-CH"/>
        </w:rPr>
        <w:t xml:space="preserve"> auprès des</w:t>
      </w:r>
      <w:r w:rsidRPr="0079624F">
        <w:rPr>
          <w:lang w:val="fr-CH"/>
        </w:rPr>
        <w:t xml:space="preserve"> administrations lorsqu’il apparaît, d’après </w:t>
      </w:r>
      <w:r w:rsidR="00AB1119" w:rsidRPr="0079624F">
        <w:rPr>
          <w:lang w:val="fr-CH"/>
        </w:rPr>
        <w:t>des renseignements</w:t>
      </w:r>
      <w:r w:rsidRPr="0079624F">
        <w:rPr>
          <w:lang w:val="fr-CH"/>
        </w:rPr>
        <w:t xml:space="preserve"> fiable</w:t>
      </w:r>
      <w:r w:rsidR="00AB1119" w:rsidRPr="0079624F">
        <w:rPr>
          <w:lang w:val="fr-CH"/>
        </w:rPr>
        <w:t xml:space="preserve">s, qu’une assignation inscrite n’a pas été mise en service, mais il n’existe pas actuellement de mécanisme permettant au Bureau d’agir lorsqu’il apparaît, d’après des renseignements fiables, qu’une assignation </w:t>
      </w:r>
      <w:r w:rsidR="00C11C28" w:rsidRPr="0079624F">
        <w:rPr>
          <w:lang w:val="fr-CH"/>
        </w:rPr>
        <w:t>notifiée</w:t>
      </w:r>
      <w:r w:rsidR="00AB1119" w:rsidRPr="0079624F">
        <w:rPr>
          <w:lang w:val="fr-CH"/>
        </w:rPr>
        <w:t xml:space="preserve"> mais pas encore inscrit</w:t>
      </w:r>
      <w:r w:rsidR="00C11C28" w:rsidRPr="0079624F">
        <w:rPr>
          <w:lang w:val="fr-CH"/>
        </w:rPr>
        <w:t>e</w:t>
      </w:r>
      <w:r w:rsidR="00AB1119" w:rsidRPr="0079624F">
        <w:rPr>
          <w:lang w:val="fr-CH"/>
        </w:rPr>
        <w:t xml:space="preserve"> n’a pas été mise en service.</w:t>
      </w:r>
      <w:r w:rsidR="00B82BD4" w:rsidRPr="0079624F">
        <w:rPr>
          <w:lang w:val="fr-CH"/>
        </w:rPr>
        <w:t xml:space="preserve"> </w:t>
      </w:r>
      <w:r w:rsidR="00AB1119" w:rsidRPr="0079624F">
        <w:rPr>
          <w:lang w:val="fr-CH"/>
        </w:rPr>
        <w:t>En d’autres termes</w:t>
      </w:r>
      <w:r w:rsidR="00B82BD4" w:rsidRPr="0079624F">
        <w:rPr>
          <w:lang w:val="fr-CH"/>
        </w:rPr>
        <w:t xml:space="preserve">, </w:t>
      </w:r>
      <w:r w:rsidR="00E710DD" w:rsidRPr="0079624F">
        <w:rPr>
          <w:lang w:val="fr-CH"/>
        </w:rPr>
        <w:t>a</w:t>
      </w:r>
      <w:r w:rsidR="00B82BD4" w:rsidRPr="0079624F">
        <w:rPr>
          <w:lang w:val="fr-CH"/>
        </w:rPr>
        <w:t>ucune disposition de l'Article 11 du Règ</w:t>
      </w:r>
      <w:r w:rsidR="00C11C28" w:rsidRPr="0079624F">
        <w:rPr>
          <w:lang w:val="fr-CH"/>
        </w:rPr>
        <w:t>lement des radiocommunications</w:t>
      </w:r>
      <w:r w:rsidR="00B82BD4" w:rsidRPr="0079624F">
        <w:rPr>
          <w:lang w:val="fr-CH"/>
        </w:rPr>
        <w:t xml:space="preserve"> n'autorise le Bureau à demander une clarification</w:t>
      </w:r>
      <w:r w:rsidR="00ED64D0" w:rsidRPr="0079624F">
        <w:rPr>
          <w:lang w:val="fr-CH"/>
        </w:rPr>
        <w:t xml:space="preserve"> concernant les renseignements </w:t>
      </w:r>
      <w:r w:rsidR="000458B6" w:rsidRPr="0079624F">
        <w:rPr>
          <w:lang w:val="fr-CH"/>
        </w:rPr>
        <w:t>fournis par les administrations notificatrices relatifs à</w:t>
      </w:r>
      <w:r w:rsidR="00B82BD4" w:rsidRPr="0079624F">
        <w:rPr>
          <w:lang w:val="fr-CH"/>
        </w:rPr>
        <w:t xml:space="preserve"> la mise en service des assignations de fréquence</w:t>
      </w:r>
      <w:r w:rsidR="00ED64D0" w:rsidRPr="0079624F">
        <w:rPr>
          <w:lang w:val="fr-CH"/>
        </w:rPr>
        <w:t>s</w:t>
      </w:r>
      <w:r w:rsidR="00B82BD4" w:rsidRPr="0079624F">
        <w:rPr>
          <w:lang w:val="fr-CH"/>
        </w:rPr>
        <w:t xml:space="preserve"> à un réseau à satellite</w:t>
      </w:r>
      <w:r w:rsidR="00AB2222" w:rsidRPr="0079624F">
        <w:rPr>
          <w:lang w:val="fr-CH"/>
        </w:rPr>
        <w:t>.</w:t>
      </w:r>
    </w:p>
    <w:p w:rsidR="008C64F7" w:rsidRPr="0079624F" w:rsidRDefault="00AB1119" w:rsidP="00BE354C">
      <w:pPr>
        <w:rPr>
          <w:lang w:val="fr-CH"/>
        </w:rPr>
      </w:pPr>
      <w:r w:rsidRPr="0079624F">
        <w:rPr>
          <w:color w:val="000000"/>
        </w:rPr>
        <w:t xml:space="preserve">Le Bureau et le Comité du Règlement des radiocommunications ont examiné la question, et un nouveau paragraphe </w:t>
      </w:r>
      <w:r w:rsidR="000458B6" w:rsidRPr="0079624F">
        <w:rPr>
          <w:color w:val="000000"/>
        </w:rPr>
        <w:t xml:space="preserve">a été ajouté dans </w:t>
      </w:r>
      <w:r w:rsidRPr="0079624F">
        <w:rPr>
          <w:color w:val="000000"/>
        </w:rPr>
        <w:t>la Règle de procéd</w:t>
      </w:r>
      <w:r w:rsidR="000458B6" w:rsidRPr="0079624F">
        <w:rPr>
          <w:color w:val="000000"/>
        </w:rPr>
        <w:t>ure relative au numéro 11.44,</w:t>
      </w:r>
      <w:r w:rsidRPr="0079624F">
        <w:rPr>
          <w:color w:val="000000"/>
        </w:rPr>
        <w:t xml:space="preserve"> </w:t>
      </w:r>
      <w:r w:rsidR="000458B6" w:rsidRPr="0079624F">
        <w:rPr>
          <w:color w:val="000000"/>
        </w:rPr>
        <w:t>disposant</w:t>
      </w:r>
      <w:r w:rsidRPr="0079624F">
        <w:rPr>
          <w:color w:val="000000"/>
        </w:rPr>
        <w:t xml:space="preserve"> que</w:t>
      </w:r>
      <w:r w:rsidRPr="0079624F">
        <w:rPr>
          <w:lang w:val="fr-CH"/>
        </w:rPr>
        <w:t xml:space="preserve"> </w:t>
      </w:r>
      <w:r w:rsidR="007869D3" w:rsidRPr="0079624F">
        <w:rPr>
          <w:lang w:val="fr-CH"/>
        </w:rPr>
        <w:t xml:space="preserve">chaque fois que des renseignements fiables donnent à penser qu'une assignation n'a pas été mise </w:t>
      </w:r>
      <w:r w:rsidR="007869D3" w:rsidRPr="0079624F">
        <w:rPr>
          <w:lang w:val="fr-CH"/>
        </w:rPr>
        <w:lastRenderedPageBreak/>
        <w:t>en service conformément aux numéros </w:t>
      </w:r>
      <w:r w:rsidR="007869D3" w:rsidRPr="0079624F">
        <w:rPr>
          <w:bCs/>
          <w:lang w:val="fr-CH"/>
        </w:rPr>
        <w:t>11.44/11.44B</w:t>
      </w:r>
      <w:r w:rsidR="000458B6" w:rsidRPr="0079624F">
        <w:rPr>
          <w:bCs/>
          <w:lang w:val="fr-CH"/>
        </w:rPr>
        <w:t xml:space="preserve"> du Règlement des radiocommunications</w:t>
      </w:r>
      <w:r w:rsidR="007869D3" w:rsidRPr="0079624F">
        <w:rPr>
          <w:bCs/>
          <w:lang w:val="fr-CH"/>
        </w:rPr>
        <w:t>,</w:t>
      </w:r>
      <w:r w:rsidR="007869D3" w:rsidRPr="0079624F">
        <w:rPr>
          <w:lang w:val="fr-CH"/>
        </w:rPr>
        <w:t xml:space="preserve"> les dispositions du numéro </w:t>
      </w:r>
      <w:r w:rsidR="007869D3" w:rsidRPr="0079624F">
        <w:rPr>
          <w:bCs/>
          <w:lang w:val="fr-CH"/>
        </w:rPr>
        <w:t>13.6</w:t>
      </w:r>
      <w:r w:rsidR="000458B6" w:rsidRPr="0079624F">
        <w:rPr>
          <w:bCs/>
          <w:lang w:val="fr-CH"/>
        </w:rPr>
        <w:t xml:space="preserve"> de ce règlement</w:t>
      </w:r>
      <w:r w:rsidR="007869D3" w:rsidRPr="0079624F">
        <w:rPr>
          <w:lang w:val="fr-CH"/>
        </w:rPr>
        <w:t xml:space="preserve"> s'appliquent.</w:t>
      </w:r>
    </w:p>
    <w:p w:rsidR="00380F1C" w:rsidRDefault="00307851" w:rsidP="00BE354C">
      <w:pPr>
        <w:rPr>
          <w:lang w:val="fr-CH"/>
        </w:rPr>
      </w:pPr>
      <w:r w:rsidRPr="0079624F">
        <w:rPr>
          <w:lang w:val="fr-CH"/>
        </w:rPr>
        <w:t xml:space="preserve">Il s’agit d’une précision importante qui devrait être </w:t>
      </w:r>
      <w:r w:rsidR="00C11C28" w:rsidRPr="0079624F">
        <w:rPr>
          <w:lang w:val="fr-CH"/>
        </w:rPr>
        <w:t>i</w:t>
      </w:r>
      <w:r w:rsidR="004149D8" w:rsidRPr="0079624F">
        <w:rPr>
          <w:lang w:val="fr-CH"/>
        </w:rPr>
        <w:t>nté</w:t>
      </w:r>
      <w:r w:rsidR="00C11C28" w:rsidRPr="0079624F">
        <w:rPr>
          <w:lang w:val="fr-CH"/>
        </w:rPr>
        <w:t>grée</w:t>
      </w:r>
      <w:r w:rsidRPr="0079624F">
        <w:rPr>
          <w:lang w:val="fr-CH"/>
        </w:rPr>
        <w:t xml:space="preserve"> dans le Règlement des radiocommunication</w:t>
      </w:r>
      <w:r w:rsidR="00C11C28" w:rsidRPr="0079624F">
        <w:rPr>
          <w:lang w:val="fr-CH"/>
        </w:rPr>
        <w:t>s</w:t>
      </w:r>
      <w:r w:rsidRPr="0079624F">
        <w:rPr>
          <w:lang w:val="fr-CH"/>
        </w:rPr>
        <w:t xml:space="preserve"> </w:t>
      </w:r>
      <w:r w:rsidR="00C11C28" w:rsidRPr="0079624F">
        <w:rPr>
          <w:lang w:val="fr-CH"/>
        </w:rPr>
        <w:t>lui-même</w:t>
      </w:r>
      <w:r w:rsidRPr="0079624F">
        <w:rPr>
          <w:lang w:val="fr-CH"/>
        </w:rPr>
        <w:t xml:space="preserve">, </w:t>
      </w:r>
      <w:r w:rsidR="00020582" w:rsidRPr="0079624F">
        <w:rPr>
          <w:lang w:val="fr-CH"/>
        </w:rPr>
        <w:t>et pas</w:t>
      </w:r>
      <w:r w:rsidR="00C11C28" w:rsidRPr="0079624F">
        <w:rPr>
          <w:lang w:val="fr-CH"/>
        </w:rPr>
        <w:t xml:space="preserve"> </w:t>
      </w:r>
      <w:r w:rsidR="004149D8" w:rsidRPr="0079624F">
        <w:rPr>
          <w:lang w:val="fr-CH"/>
        </w:rPr>
        <w:t xml:space="preserve">uniquement </w:t>
      </w:r>
      <w:r w:rsidR="00020582" w:rsidRPr="0079624F">
        <w:rPr>
          <w:lang w:val="fr-CH"/>
        </w:rPr>
        <w:t>dans une</w:t>
      </w:r>
      <w:r w:rsidRPr="0079624F">
        <w:rPr>
          <w:lang w:val="fr-CH"/>
        </w:rPr>
        <w:t xml:space="preserve"> Règle de procédure. La proposition </w:t>
      </w:r>
      <w:r w:rsidR="00020582" w:rsidRPr="0079624F">
        <w:rPr>
          <w:lang w:val="fr-CH"/>
        </w:rPr>
        <w:t xml:space="preserve">qui suit </w:t>
      </w:r>
      <w:r w:rsidR="004149D8" w:rsidRPr="0079624F">
        <w:rPr>
          <w:lang w:val="fr-CH"/>
        </w:rPr>
        <w:t>consiste à créer</w:t>
      </w:r>
      <w:r w:rsidRPr="0079624F">
        <w:rPr>
          <w:lang w:val="fr-CH"/>
        </w:rPr>
        <w:t xml:space="preserve"> une </w:t>
      </w:r>
      <w:r w:rsidR="00F92663" w:rsidRPr="0079624F">
        <w:rPr>
          <w:lang w:val="fr-CH"/>
        </w:rPr>
        <w:t xml:space="preserve">nouvelle disposition réglementaire qui permet au Bureau de demander une clarification à l'administration notificatrice au titre des numéros </w:t>
      </w:r>
      <w:r w:rsidR="00F92663" w:rsidRPr="0079624F">
        <w:rPr>
          <w:bCs/>
          <w:lang w:val="fr-CH"/>
        </w:rPr>
        <w:t>11.44</w:t>
      </w:r>
      <w:r w:rsidR="00F92663" w:rsidRPr="0079624F">
        <w:rPr>
          <w:b/>
          <w:lang w:val="fr-CH"/>
        </w:rPr>
        <w:t xml:space="preserve"> </w:t>
      </w:r>
      <w:r w:rsidR="00F92663" w:rsidRPr="0079624F">
        <w:rPr>
          <w:lang w:val="fr-CH"/>
        </w:rPr>
        <w:t xml:space="preserve">et </w:t>
      </w:r>
      <w:r w:rsidR="00F92663" w:rsidRPr="0079624F">
        <w:rPr>
          <w:bCs/>
          <w:lang w:val="fr-CH"/>
        </w:rPr>
        <w:t>11.44B</w:t>
      </w:r>
      <w:r w:rsidR="00F92663" w:rsidRPr="0079624F">
        <w:rPr>
          <w:lang w:val="fr-CH"/>
        </w:rPr>
        <w:t xml:space="preserve"> du RR. </w:t>
      </w:r>
      <w:r w:rsidR="00020582" w:rsidRPr="0079624F">
        <w:rPr>
          <w:lang w:val="fr-CH"/>
        </w:rPr>
        <w:t>D</w:t>
      </w:r>
      <w:r w:rsidR="00F92663" w:rsidRPr="0079624F">
        <w:rPr>
          <w:lang w:val="fr-CH"/>
        </w:rPr>
        <w:t xml:space="preserve">ans le cas de stations spatiales sur l'orbite des satellites géostationnaires, on aurait ainsi l'assurance que les renseignements fournis au titre du numéro </w:t>
      </w:r>
      <w:r w:rsidR="00F92663" w:rsidRPr="0079624F">
        <w:rPr>
          <w:bCs/>
          <w:lang w:val="fr-CH"/>
        </w:rPr>
        <w:t>11.44B</w:t>
      </w:r>
      <w:r w:rsidR="00F92663" w:rsidRPr="0079624F">
        <w:rPr>
          <w:lang w:val="fr-CH"/>
        </w:rPr>
        <w:t xml:space="preserve"> du RR correspondent à la station spatiale déployée ayant la capacité d'émettre et de recevoir sur les fréquences assignées.</w:t>
      </w:r>
    </w:p>
    <w:p w:rsidR="00E97F60" w:rsidRPr="00E97F60" w:rsidRDefault="00E97F60" w:rsidP="00BE354C">
      <w:pPr>
        <w:pStyle w:val="Headingb"/>
        <w:rPr>
          <w:lang w:val="fr-CH"/>
        </w:rPr>
      </w:pPr>
      <w:r w:rsidRPr="00E97F60">
        <w:rPr>
          <w:lang w:val="fr-CH"/>
        </w:rPr>
        <w:t>Propositions</w:t>
      </w:r>
    </w:p>
    <w:p w:rsidR="004A6A8C" w:rsidRPr="0079624F" w:rsidRDefault="00F72EB7" w:rsidP="00501CC0">
      <w:pPr>
        <w:pStyle w:val="ArtNo"/>
      </w:pPr>
      <w:r w:rsidRPr="0079624F">
        <w:t>a</w:t>
      </w:r>
      <w:r w:rsidR="00FA63D4" w:rsidRPr="0079624F">
        <w:t xml:space="preserve">RTICLE </w:t>
      </w:r>
      <w:r w:rsidR="00FA63D4" w:rsidRPr="0079624F">
        <w:rPr>
          <w:rStyle w:val="href"/>
        </w:rPr>
        <w:t>11</w:t>
      </w:r>
    </w:p>
    <w:p w:rsidR="004A6A8C" w:rsidRPr="0079624F" w:rsidRDefault="00FA63D4" w:rsidP="00DC7B57">
      <w:pPr>
        <w:pStyle w:val="Arttitle"/>
      </w:pPr>
      <w:r w:rsidRPr="0079624F">
        <w:t>Notification et inscription des assignations</w:t>
      </w:r>
      <w:r w:rsidRPr="0079624F">
        <w:br/>
        <w:t>de fréquence</w:t>
      </w:r>
      <w:r w:rsidRPr="0079624F">
        <w:rPr>
          <w:rStyle w:val="FootnoteReference"/>
        </w:rPr>
        <w:t>1, 2, 3, 4, 5, 6, 7, 7bis </w:t>
      </w:r>
      <w:r w:rsidRPr="0079624F">
        <w:rPr>
          <w:b w:val="0"/>
          <w:bCs/>
          <w:sz w:val="16"/>
          <w:szCs w:val="16"/>
        </w:rPr>
        <w:t>  (CMR-12)</w:t>
      </w:r>
    </w:p>
    <w:p w:rsidR="004A6A8C" w:rsidRPr="0079624F" w:rsidRDefault="00FA63D4" w:rsidP="00D94B99">
      <w:pPr>
        <w:pStyle w:val="Section1"/>
      </w:pPr>
      <w:r w:rsidRPr="0079624F">
        <w:t>Section II – Examen des fiches de notification et inscription des</w:t>
      </w:r>
      <w:r w:rsidRPr="0079624F">
        <w:br/>
        <w:t>assignations de fréquence dans le Fichier de référence</w:t>
      </w:r>
    </w:p>
    <w:p w:rsidR="00FC21E1" w:rsidRPr="0079624F" w:rsidRDefault="00FA63D4">
      <w:pPr>
        <w:pStyle w:val="Proposal"/>
      </w:pPr>
      <w:r w:rsidRPr="0079624F">
        <w:t>MOD</w:t>
      </w:r>
      <w:r w:rsidRPr="0079624F">
        <w:tab/>
        <w:t>IAP/7A21A7/1</w:t>
      </w:r>
    </w:p>
    <w:p w:rsidR="004A6A8C" w:rsidRPr="0079624F" w:rsidRDefault="00FA63D4" w:rsidP="00BE354C">
      <w:pPr>
        <w:rPr>
          <w:lang w:val="fr-CH"/>
        </w:rPr>
      </w:pPr>
      <w:r w:rsidRPr="0079624F">
        <w:rPr>
          <w:rStyle w:val="Artdef"/>
        </w:rPr>
        <w:t>11.44</w:t>
      </w:r>
      <w:r w:rsidRPr="0079624F">
        <w:tab/>
      </w:r>
      <w:r w:rsidRPr="0079624F">
        <w:tab/>
        <w:t>La date notifiée</w:t>
      </w:r>
      <w:r w:rsidRPr="0079624F">
        <w:rPr>
          <w:rStyle w:val="FootnoteReference"/>
        </w:rPr>
        <w:t>20, 21</w:t>
      </w:r>
      <w:ins w:id="7" w:author="Jones, Jacqueline" w:date="2015-10-08T09:07:00Z">
        <w:r w:rsidR="004513E5" w:rsidRPr="0079624F">
          <w:rPr>
            <w:rStyle w:val="FootnoteReference"/>
          </w:rPr>
          <w:t xml:space="preserve">, </w:t>
        </w:r>
      </w:ins>
      <w:ins w:id="8" w:author="Jones, Jacqueline" w:date="2015-10-08T09:06:00Z">
        <w:r w:rsidR="004513E5" w:rsidRPr="0079624F">
          <w:rPr>
            <w:rStyle w:val="FootnoteReference"/>
          </w:rPr>
          <w:t>ADD 21</w:t>
        </w:r>
        <w:r w:rsidR="004513E5" w:rsidRPr="00E97F60">
          <w:rPr>
            <w:rStyle w:val="FootnoteReference"/>
            <w:i/>
            <w:iCs/>
          </w:rPr>
          <w:t>bis</w:t>
        </w:r>
      </w:ins>
      <w:r w:rsidRPr="0079624F">
        <w:t xml:space="preserve"> de mise en service d'une assignation de fréquence à une station spatiale d'un réseau à satellite ne doit pas dépasser de plus de sept ans la date de réception par le Bureau des renseignements complets pertinents visés au numéro </w:t>
      </w:r>
      <w:r w:rsidRPr="0079624F">
        <w:rPr>
          <w:b/>
          <w:bCs/>
        </w:rPr>
        <w:t>9.1</w:t>
      </w:r>
      <w:r w:rsidRPr="0079624F">
        <w:t xml:space="preserve"> ou </w:t>
      </w:r>
      <w:r w:rsidRPr="0079624F">
        <w:rPr>
          <w:b/>
          <w:bCs/>
        </w:rPr>
        <w:t xml:space="preserve">9.2, </w:t>
      </w:r>
      <w:r w:rsidRPr="0079624F">
        <w:t>selon le cas. Toute assignation de fréquence qui n'est pas mise en service dans le délai requis est annulée par le Bureau, qui en informe l'administration au moins trois mois avant l'expiration de ce délai.</w:t>
      </w:r>
      <w:r w:rsidRPr="0079624F">
        <w:rPr>
          <w:sz w:val="16"/>
          <w:szCs w:val="16"/>
        </w:rPr>
        <w:t>     </w:t>
      </w:r>
      <w:r w:rsidRPr="0079624F">
        <w:rPr>
          <w:sz w:val="16"/>
          <w:szCs w:val="16"/>
          <w:lang w:val="fr-CH"/>
        </w:rPr>
        <w:t>(CMR</w:t>
      </w:r>
      <w:r w:rsidRPr="0079624F">
        <w:rPr>
          <w:sz w:val="16"/>
          <w:szCs w:val="16"/>
          <w:lang w:val="fr-CH"/>
        </w:rPr>
        <w:noBreakHyphen/>
      </w:r>
      <w:del w:id="9" w:author="Jones, Jacqueline" w:date="2015-10-08T09:12:00Z">
        <w:r w:rsidRPr="0079624F" w:rsidDel="004513E5">
          <w:rPr>
            <w:sz w:val="16"/>
            <w:szCs w:val="16"/>
            <w:lang w:val="fr-CH"/>
          </w:rPr>
          <w:delText>12</w:delText>
        </w:r>
      </w:del>
      <w:ins w:id="10" w:author="Jones, Jacqueline" w:date="2015-10-08T09:12:00Z">
        <w:r w:rsidR="004513E5" w:rsidRPr="0079624F">
          <w:rPr>
            <w:sz w:val="16"/>
            <w:szCs w:val="16"/>
            <w:lang w:val="fr-CH"/>
          </w:rPr>
          <w:t>15</w:t>
        </w:r>
      </w:ins>
      <w:r w:rsidRPr="0079624F">
        <w:rPr>
          <w:sz w:val="16"/>
          <w:szCs w:val="16"/>
          <w:lang w:val="fr-CH"/>
        </w:rPr>
        <w:t>)</w:t>
      </w:r>
    </w:p>
    <w:p w:rsidR="00FC21E1" w:rsidRPr="0079624F" w:rsidRDefault="00FA63D4" w:rsidP="00BE354C">
      <w:pPr>
        <w:pStyle w:val="Reasons"/>
        <w:rPr>
          <w:lang w:val="fr-CH"/>
        </w:rPr>
      </w:pPr>
      <w:r w:rsidRPr="0079624F">
        <w:rPr>
          <w:b/>
          <w:lang w:val="fr-CH"/>
        </w:rPr>
        <w:t>Motifs:</w:t>
      </w:r>
      <w:r w:rsidRPr="0079624F">
        <w:rPr>
          <w:lang w:val="fr-CH"/>
        </w:rPr>
        <w:tab/>
      </w:r>
      <w:r w:rsidR="00020582" w:rsidRPr="0079624F">
        <w:rPr>
          <w:lang w:val="fr-CH"/>
        </w:rPr>
        <w:t xml:space="preserve">Ajouter </w:t>
      </w:r>
      <w:r w:rsidR="00E97F60">
        <w:rPr>
          <w:lang w:val="fr-CH"/>
        </w:rPr>
        <w:t>une note de bas de page</w:t>
      </w:r>
      <w:r w:rsidR="00020582" w:rsidRPr="0079624F">
        <w:rPr>
          <w:lang w:val="fr-CH"/>
        </w:rPr>
        <w:t xml:space="preserve"> qui </w:t>
      </w:r>
      <w:r w:rsidR="004149D8" w:rsidRPr="0079624F">
        <w:rPr>
          <w:lang w:val="fr-CH"/>
        </w:rPr>
        <w:t>rende</w:t>
      </w:r>
      <w:r w:rsidR="00307851" w:rsidRPr="0079624F">
        <w:rPr>
          <w:lang w:val="fr-CH"/>
        </w:rPr>
        <w:t xml:space="preserve"> les processus du numéro 13.6 </w:t>
      </w:r>
      <w:r w:rsidR="004149D8" w:rsidRPr="0079624F">
        <w:rPr>
          <w:lang w:val="fr-CH"/>
        </w:rPr>
        <w:t xml:space="preserve">applicables </w:t>
      </w:r>
      <w:r w:rsidR="00307851" w:rsidRPr="0079624F">
        <w:rPr>
          <w:lang w:val="fr-CH"/>
        </w:rPr>
        <w:t xml:space="preserve">aux assignations de fréquences </w:t>
      </w:r>
      <w:r w:rsidR="004149D8" w:rsidRPr="0079624F">
        <w:rPr>
          <w:lang w:val="fr-CH"/>
        </w:rPr>
        <w:t>notifiées</w:t>
      </w:r>
      <w:r w:rsidR="00307851" w:rsidRPr="0079624F">
        <w:rPr>
          <w:lang w:val="fr-CH"/>
        </w:rPr>
        <w:t xml:space="preserve">, mais pas encore inscrites, dans les cas où le Bureau </w:t>
      </w:r>
      <w:r w:rsidR="00E97F60">
        <w:rPr>
          <w:lang w:val="fr-CH"/>
        </w:rPr>
        <w:t>dispose de</w:t>
      </w:r>
      <w:r w:rsidR="00307851" w:rsidRPr="0079624F">
        <w:rPr>
          <w:lang w:val="fr-CH"/>
        </w:rPr>
        <w:t xml:space="preserve"> renseignements selon lesquels les assignations </w:t>
      </w:r>
      <w:r w:rsidR="00E97F60">
        <w:rPr>
          <w:lang w:val="fr-CH"/>
        </w:rPr>
        <w:t>ne s</w:t>
      </w:r>
      <w:r w:rsidR="00307851" w:rsidRPr="0079624F">
        <w:rPr>
          <w:lang w:val="fr-CH"/>
        </w:rPr>
        <w:t xml:space="preserve">ont pas encore mises en service. </w:t>
      </w:r>
    </w:p>
    <w:p w:rsidR="00FC21E1" w:rsidRPr="0079624F" w:rsidRDefault="00FA63D4">
      <w:pPr>
        <w:pStyle w:val="Proposal"/>
      </w:pPr>
      <w:r w:rsidRPr="0079624F">
        <w:t>MOD</w:t>
      </w:r>
      <w:r w:rsidRPr="0079624F">
        <w:tab/>
        <w:t>IAP/7A21A7/2</w:t>
      </w:r>
    </w:p>
    <w:p w:rsidR="004A6A8C" w:rsidRPr="0079624F" w:rsidRDefault="00FA63D4" w:rsidP="00C813A8">
      <w:pPr>
        <w:rPr>
          <w:lang w:val="fr-CH"/>
        </w:rPr>
      </w:pPr>
      <w:r w:rsidRPr="0079624F">
        <w:rPr>
          <w:rStyle w:val="Artdef"/>
        </w:rPr>
        <w:t>11.44B</w:t>
      </w:r>
      <w:r w:rsidRPr="0079624F">
        <w:tab/>
      </w:r>
      <w:r w:rsidRPr="0079624F">
        <w:tab/>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w:t>
      </w:r>
      <w:r w:rsidR="00ED7BBA" w:rsidRPr="0079624F">
        <w:t xml:space="preserve"> </w:t>
      </w:r>
      <w:ins w:id="11" w:author="Thivoyon, Marie-Ambrym" w:date="2015-10-12T16:43:00Z">
        <w:r w:rsidR="00307851" w:rsidRPr="0079624F">
          <w:rPr>
            <w:vertAlign w:val="superscript"/>
          </w:rPr>
          <w:t>ADD 21</w:t>
        </w:r>
        <w:r w:rsidR="00307851" w:rsidRPr="00E97F60">
          <w:rPr>
            <w:i/>
            <w:iCs/>
            <w:vertAlign w:val="superscript"/>
          </w:rPr>
          <w:t>bis</w:t>
        </w:r>
      </w:ins>
      <w:r w:rsidRPr="0079624F">
        <w:t>.</w:t>
      </w:r>
      <w:r w:rsidR="00C813A8">
        <w:t xml:space="preserve">  </w:t>
      </w:r>
      <w:r w:rsidRPr="0079624F">
        <w:rPr>
          <w:sz w:val="16"/>
          <w:szCs w:val="16"/>
          <w:lang w:val="fr-CH"/>
        </w:rPr>
        <w:t>(CMR</w:t>
      </w:r>
      <w:r w:rsidRPr="0079624F">
        <w:rPr>
          <w:sz w:val="16"/>
          <w:szCs w:val="16"/>
          <w:lang w:val="fr-CH"/>
        </w:rPr>
        <w:noBreakHyphen/>
      </w:r>
      <w:ins w:id="12" w:author="Thivoyon, Marie-Ambrym" w:date="2015-10-12T16:43:00Z">
        <w:r w:rsidR="00307851" w:rsidRPr="0079624F">
          <w:rPr>
            <w:sz w:val="16"/>
            <w:szCs w:val="16"/>
            <w:lang w:val="fr-CH"/>
          </w:rPr>
          <w:t>15</w:t>
        </w:r>
      </w:ins>
      <w:del w:id="13" w:author="Thivoyon, Marie-Ambrym" w:date="2015-10-12T16:43:00Z">
        <w:r w:rsidRPr="0079624F" w:rsidDel="00307851">
          <w:rPr>
            <w:sz w:val="16"/>
            <w:szCs w:val="16"/>
            <w:lang w:val="fr-CH"/>
          </w:rPr>
          <w:delText>12</w:delText>
        </w:r>
      </w:del>
      <w:r w:rsidRPr="0079624F">
        <w:rPr>
          <w:sz w:val="16"/>
          <w:szCs w:val="16"/>
          <w:lang w:val="fr-CH"/>
        </w:rPr>
        <w:t>)</w:t>
      </w:r>
    </w:p>
    <w:p w:rsidR="00FC21E1" w:rsidRPr="0079624F" w:rsidRDefault="00FA63D4" w:rsidP="00BE354C">
      <w:pPr>
        <w:pStyle w:val="Reasons"/>
        <w:rPr>
          <w:lang w:val="fr-CH"/>
        </w:rPr>
      </w:pPr>
      <w:r w:rsidRPr="0079624F">
        <w:rPr>
          <w:b/>
          <w:lang w:val="fr-CH"/>
        </w:rPr>
        <w:t>Motifs:</w:t>
      </w:r>
      <w:r w:rsidRPr="0079624F">
        <w:rPr>
          <w:lang w:val="fr-CH"/>
        </w:rPr>
        <w:tab/>
      </w:r>
      <w:r w:rsidR="00020582" w:rsidRPr="0079624F">
        <w:rPr>
          <w:lang w:val="fr-CH"/>
        </w:rPr>
        <w:t>Ajouter un</w:t>
      </w:r>
      <w:r w:rsidR="00E97F60">
        <w:rPr>
          <w:lang w:val="fr-CH"/>
        </w:rPr>
        <w:t>e note de bas de page</w:t>
      </w:r>
      <w:r w:rsidR="00020582" w:rsidRPr="0079624F">
        <w:rPr>
          <w:lang w:val="fr-CH"/>
        </w:rPr>
        <w:t xml:space="preserve"> qui rende les processus du numéro 13.6 applicables aux assignations de fréquences notifiées, mais pas encore inscrites, dans les cas où le Bureau </w:t>
      </w:r>
      <w:r w:rsidR="00E97F60">
        <w:rPr>
          <w:lang w:val="fr-CH"/>
        </w:rPr>
        <w:t>dispose de</w:t>
      </w:r>
      <w:r w:rsidR="00020582" w:rsidRPr="0079624F">
        <w:rPr>
          <w:lang w:val="fr-CH"/>
        </w:rPr>
        <w:t xml:space="preserve"> renseignements selon lesquels les assignations </w:t>
      </w:r>
      <w:r w:rsidR="00E97F60">
        <w:rPr>
          <w:lang w:val="fr-CH"/>
        </w:rPr>
        <w:t xml:space="preserve">ne sont </w:t>
      </w:r>
      <w:r w:rsidR="00020582" w:rsidRPr="0079624F">
        <w:rPr>
          <w:lang w:val="fr-CH"/>
        </w:rPr>
        <w:t>pas encore mises en service.</w:t>
      </w:r>
    </w:p>
    <w:p w:rsidR="00FC21E1" w:rsidRPr="0079624F" w:rsidRDefault="00FA63D4" w:rsidP="00BE354C">
      <w:pPr>
        <w:pStyle w:val="Proposal"/>
        <w:rPr>
          <w:lang w:val="fr-CH"/>
        </w:rPr>
      </w:pPr>
      <w:r w:rsidRPr="0079624F">
        <w:rPr>
          <w:lang w:val="fr-CH"/>
        </w:rPr>
        <w:t>ADD</w:t>
      </w:r>
      <w:r w:rsidRPr="0079624F">
        <w:rPr>
          <w:lang w:val="fr-CH"/>
        </w:rPr>
        <w:tab/>
        <w:t>IAP/7A21A7/3</w:t>
      </w:r>
    </w:p>
    <w:p w:rsidR="004513E5" w:rsidRPr="0079624F" w:rsidRDefault="004513E5" w:rsidP="00BE354C">
      <w:pPr>
        <w:rPr>
          <w:lang w:val="fr-CH"/>
        </w:rPr>
      </w:pPr>
      <w:r w:rsidRPr="0079624F">
        <w:rPr>
          <w:lang w:val="fr-CH"/>
        </w:rPr>
        <w:t>______________</w:t>
      </w:r>
    </w:p>
    <w:p w:rsidR="00FC21E1" w:rsidRPr="0079624F" w:rsidRDefault="004513E5" w:rsidP="0023119D">
      <w:r w:rsidRPr="00BE354C">
        <w:rPr>
          <w:rStyle w:val="FootnoteReference"/>
        </w:rPr>
        <w:t>21</w:t>
      </w:r>
      <w:r w:rsidRPr="00BE354C">
        <w:rPr>
          <w:rStyle w:val="FootnoteReference"/>
          <w:i/>
          <w:iCs/>
        </w:rPr>
        <w:t>bis</w:t>
      </w:r>
      <w:r w:rsidR="0023119D">
        <w:rPr>
          <w:lang w:val="fr-CH"/>
        </w:rPr>
        <w:t>  </w:t>
      </w:r>
      <w:r w:rsidR="00C723EC" w:rsidRPr="00E97F60">
        <w:rPr>
          <w:rStyle w:val="Artdef"/>
        </w:rPr>
        <w:t>11.44.3 et 11.44B.1</w:t>
      </w:r>
      <w:r w:rsidR="00C723EC" w:rsidRPr="0079624F">
        <w:rPr>
          <w:b/>
        </w:rPr>
        <w:tab/>
      </w:r>
      <w:r w:rsidR="00C723EC" w:rsidRPr="0079624F">
        <w:rPr>
          <w:rStyle w:val="FootnoteTextChar"/>
        </w:rPr>
        <w:t xml:space="preserve">Dès réception de ces renseignements et chaque fois qu'il apparaît, d'après les renseignements fiables disponibles, qu'une assignation notifiée n'a pas été mise en service conformément aux numéros </w:t>
      </w:r>
      <w:r w:rsidR="00C723EC" w:rsidRPr="0079624F">
        <w:rPr>
          <w:rStyle w:val="FootnoteTextChar"/>
          <w:b/>
          <w:bCs/>
        </w:rPr>
        <w:t>11.44</w:t>
      </w:r>
      <w:r w:rsidR="00C723EC" w:rsidRPr="0079624F">
        <w:rPr>
          <w:rStyle w:val="FootnoteTextChar"/>
        </w:rPr>
        <w:t xml:space="preserve"> et/ou </w:t>
      </w:r>
      <w:r w:rsidR="00C723EC" w:rsidRPr="0079624F">
        <w:rPr>
          <w:rStyle w:val="FootnoteTextChar"/>
          <w:b/>
          <w:bCs/>
        </w:rPr>
        <w:t>11.44B</w:t>
      </w:r>
      <w:r w:rsidR="00C723EC" w:rsidRPr="0079624F">
        <w:rPr>
          <w:rStyle w:val="FootnoteTextChar"/>
        </w:rPr>
        <w:t xml:space="preserve">, selon le cas, les procédures de consultation </w:t>
      </w:r>
      <w:r w:rsidR="00C723EC" w:rsidRPr="0079624F">
        <w:rPr>
          <w:rStyle w:val="FootnoteTextChar"/>
        </w:rPr>
        <w:lastRenderedPageBreak/>
        <w:t xml:space="preserve">et les mesures applicables à prendre ultérieurement prescrites au numéro </w:t>
      </w:r>
      <w:r w:rsidR="00C723EC" w:rsidRPr="0079624F">
        <w:rPr>
          <w:rStyle w:val="FootnoteTextChar"/>
          <w:b/>
          <w:bCs/>
        </w:rPr>
        <w:t>13.6</w:t>
      </w:r>
      <w:r w:rsidR="00C723EC" w:rsidRPr="0079624F">
        <w:rPr>
          <w:rStyle w:val="FootnoteTextChar"/>
        </w:rPr>
        <w:t xml:space="preserve"> s'appliquent, selon le cas.</w:t>
      </w:r>
      <w:r w:rsidR="00C723EC" w:rsidRPr="0079624F">
        <w:rPr>
          <w:rStyle w:val="FootnoteTextChar"/>
          <w:sz w:val="16"/>
          <w:szCs w:val="16"/>
        </w:rPr>
        <w:t>     (CMR</w:t>
      </w:r>
      <w:r w:rsidR="00C723EC" w:rsidRPr="0079624F">
        <w:rPr>
          <w:rStyle w:val="FootnoteTextChar"/>
          <w:sz w:val="16"/>
          <w:szCs w:val="16"/>
        </w:rPr>
        <w:noBreakHyphen/>
        <w:t>15)</w:t>
      </w:r>
    </w:p>
    <w:p w:rsidR="00FC21E1" w:rsidRDefault="00FA63D4" w:rsidP="00BE354C">
      <w:pPr>
        <w:pStyle w:val="Reasons"/>
        <w:rPr>
          <w:lang w:val="fr-CH"/>
        </w:rPr>
      </w:pPr>
      <w:r w:rsidRPr="0079624F">
        <w:rPr>
          <w:b/>
          <w:lang w:val="fr-CH"/>
        </w:rPr>
        <w:t>Motifs:</w:t>
      </w:r>
      <w:r w:rsidRPr="0079624F">
        <w:rPr>
          <w:lang w:val="fr-CH"/>
        </w:rPr>
        <w:tab/>
      </w:r>
      <w:r w:rsidR="00020582" w:rsidRPr="0079624F">
        <w:rPr>
          <w:lang w:val="fr-CH"/>
        </w:rPr>
        <w:t>Ajouter un</w:t>
      </w:r>
      <w:r w:rsidR="00E97F60">
        <w:rPr>
          <w:lang w:val="fr-CH"/>
        </w:rPr>
        <w:t>e note de bas de page</w:t>
      </w:r>
      <w:r w:rsidR="00020582" w:rsidRPr="0079624F">
        <w:rPr>
          <w:lang w:val="fr-CH"/>
        </w:rPr>
        <w:t xml:space="preserve"> qui rende les processus du numéro 13.6 applicables aux assignations de fréquences notifiées, mais pas encore inscrites, dans les cas où le Bureau </w:t>
      </w:r>
      <w:r w:rsidR="00E97F60">
        <w:rPr>
          <w:lang w:val="fr-CH"/>
        </w:rPr>
        <w:t>dispose de</w:t>
      </w:r>
      <w:r w:rsidR="00020582" w:rsidRPr="0079624F">
        <w:rPr>
          <w:lang w:val="fr-CH"/>
        </w:rPr>
        <w:t xml:space="preserve"> renseignements selon lesquels les assignations n</w:t>
      </w:r>
      <w:r w:rsidR="00E97F60">
        <w:rPr>
          <w:lang w:val="fr-CH"/>
        </w:rPr>
        <w:t>e s</w:t>
      </w:r>
      <w:r w:rsidR="00020582" w:rsidRPr="0079624F">
        <w:rPr>
          <w:lang w:val="fr-CH"/>
        </w:rPr>
        <w:t>ont pas encore mises en service.</w:t>
      </w:r>
    </w:p>
    <w:p w:rsidR="00BE354C" w:rsidRDefault="00BE354C" w:rsidP="0032202E">
      <w:pPr>
        <w:pStyle w:val="Reasons"/>
      </w:pPr>
    </w:p>
    <w:p w:rsidR="00BE354C" w:rsidRDefault="00BE354C">
      <w:pPr>
        <w:jc w:val="center"/>
      </w:pPr>
      <w:r>
        <w:t>______________</w:t>
      </w:r>
    </w:p>
    <w:p w:rsidR="00BE354C" w:rsidRPr="004149D8" w:rsidRDefault="00BE354C" w:rsidP="00BE354C">
      <w:pPr>
        <w:pStyle w:val="Reasons"/>
        <w:rPr>
          <w:lang w:val="fr-CH"/>
        </w:rPr>
      </w:pPr>
    </w:p>
    <w:sectPr w:rsidR="00BE354C" w:rsidRPr="004149D8">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1D4" w:rsidRDefault="004831D4">
      <w:r>
        <w:separator/>
      </w:r>
    </w:p>
  </w:endnote>
  <w:endnote w:type="continuationSeparator" w:id="0">
    <w:p w:rsidR="004831D4" w:rsidRDefault="0048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D74845">
      <w:rPr>
        <w:noProof/>
        <w:lang w:val="en-US"/>
      </w:rPr>
      <w:t>P:\FRA\ITU-R\CONF-R\CMR15\000\007ADD21ADD07F.docx</w:t>
    </w:r>
    <w:r>
      <w:fldChar w:fldCharType="end"/>
    </w:r>
    <w:r>
      <w:rPr>
        <w:lang w:val="en-US"/>
      </w:rPr>
      <w:tab/>
    </w:r>
    <w:r>
      <w:fldChar w:fldCharType="begin"/>
    </w:r>
    <w:r>
      <w:instrText xml:space="preserve"> SAVEDATE \@ DD.MM.YY </w:instrText>
    </w:r>
    <w:r>
      <w:fldChar w:fldCharType="separate"/>
    </w:r>
    <w:r w:rsidR="00D74845">
      <w:rPr>
        <w:noProof/>
      </w:rPr>
      <w:t>20.10.15</w:t>
    </w:r>
    <w:r>
      <w:fldChar w:fldCharType="end"/>
    </w:r>
    <w:r>
      <w:rPr>
        <w:lang w:val="en-US"/>
      </w:rPr>
      <w:tab/>
    </w:r>
    <w:r>
      <w:fldChar w:fldCharType="begin"/>
    </w:r>
    <w:r>
      <w:instrText xml:space="preserve"> PRINTDATE \@ DD.MM.YY </w:instrText>
    </w:r>
    <w:r>
      <w:fldChar w:fldCharType="separate"/>
    </w:r>
    <w:r w:rsidR="00D74845">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74845">
      <w:rPr>
        <w:lang w:val="en-US"/>
      </w:rPr>
      <w:t>P:\FRA\ITU-R\CONF-R\CMR15\000\007ADD21ADD07F.docx</w:t>
    </w:r>
    <w:r>
      <w:fldChar w:fldCharType="end"/>
    </w:r>
    <w:r w:rsidR="00E97F60">
      <w:t xml:space="preserve"> (3</w:t>
    </w:r>
    <w:r w:rsidR="00BE354C">
      <w:t>87397)</w:t>
    </w:r>
    <w:r>
      <w:rPr>
        <w:lang w:val="en-US"/>
      </w:rPr>
      <w:tab/>
    </w:r>
    <w:r>
      <w:fldChar w:fldCharType="begin"/>
    </w:r>
    <w:r>
      <w:instrText xml:space="preserve"> SAVEDATE \@ DD.MM.YY </w:instrText>
    </w:r>
    <w:r>
      <w:fldChar w:fldCharType="separate"/>
    </w:r>
    <w:r w:rsidR="00D74845">
      <w:t>20.10.15</w:t>
    </w:r>
    <w:r>
      <w:fldChar w:fldCharType="end"/>
    </w:r>
    <w:r>
      <w:rPr>
        <w:lang w:val="en-US"/>
      </w:rPr>
      <w:tab/>
    </w:r>
    <w:r>
      <w:fldChar w:fldCharType="begin"/>
    </w:r>
    <w:r>
      <w:instrText xml:space="preserve"> PRINTDATE \@ DD.MM.YY </w:instrText>
    </w:r>
    <w:r>
      <w:fldChar w:fldCharType="separate"/>
    </w:r>
    <w:r w:rsidR="00D74845">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74845">
      <w:rPr>
        <w:lang w:val="en-US"/>
      </w:rPr>
      <w:t>P:\FRA\ITU-R\CONF-R\CMR15\000\007ADD21ADD07F.docx</w:t>
    </w:r>
    <w:r>
      <w:fldChar w:fldCharType="end"/>
    </w:r>
    <w:r w:rsidR="00BE354C">
      <w:t xml:space="preserve"> (387397)</w:t>
    </w:r>
    <w:r>
      <w:rPr>
        <w:lang w:val="en-US"/>
      </w:rPr>
      <w:tab/>
    </w:r>
    <w:r>
      <w:fldChar w:fldCharType="begin"/>
    </w:r>
    <w:r>
      <w:instrText xml:space="preserve"> SAVEDATE \@ DD.MM.YY </w:instrText>
    </w:r>
    <w:r>
      <w:fldChar w:fldCharType="separate"/>
    </w:r>
    <w:r w:rsidR="00D74845">
      <w:t>20.10.15</w:t>
    </w:r>
    <w:r>
      <w:fldChar w:fldCharType="end"/>
    </w:r>
    <w:r>
      <w:rPr>
        <w:lang w:val="en-US"/>
      </w:rPr>
      <w:tab/>
    </w:r>
    <w:r>
      <w:fldChar w:fldCharType="begin"/>
    </w:r>
    <w:r>
      <w:instrText xml:space="preserve"> PRINTDATE \@ DD.MM.YY </w:instrText>
    </w:r>
    <w:r>
      <w:fldChar w:fldCharType="separate"/>
    </w:r>
    <w:r w:rsidR="00D74845">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1D4" w:rsidRDefault="004831D4">
      <w:r>
        <w:rPr>
          <w:b/>
        </w:rPr>
        <w:t>_______________</w:t>
      </w:r>
    </w:p>
  </w:footnote>
  <w:footnote w:type="continuationSeparator" w:id="0">
    <w:p w:rsidR="004831D4" w:rsidRDefault="00483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74845">
      <w:rPr>
        <w:noProof/>
      </w:rPr>
      <w:t>3</w:t>
    </w:r>
    <w:r>
      <w:fldChar w:fldCharType="end"/>
    </w:r>
  </w:p>
  <w:p w:rsidR="004F1F8E" w:rsidRDefault="004F1F8E" w:rsidP="002C28A4">
    <w:pPr>
      <w:pStyle w:val="Header"/>
    </w:pPr>
    <w:r>
      <w:t>CMR1</w:t>
    </w:r>
    <w:r w:rsidR="002C28A4">
      <w:t>5</w:t>
    </w:r>
    <w:r>
      <w:t>/</w:t>
    </w:r>
    <w:r w:rsidR="006A4B45">
      <w:t>7(Add.21)(Add.7)-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Thivoyon, Marie-Ambrym">
    <w15:presenceInfo w15:providerId="AD" w15:userId="S-1-5-21-8740799-900759487-1415713722-49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0582"/>
    <w:rsid w:val="0003522F"/>
    <w:rsid w:val="000458B6"/>
    <w:rsid w:val="00080E2C"/>
    <w:rsid w:val="000A4755"/>
    <w:rsid w:val="000B2E0C"/>
    <w:rsid w:val="000B3D0C"/>
    <w:rsid w:val="000C175C"/>
    <w:rsid w:val="001167B9"/>
    <w:rsid w:val="001267A0"/>
    <w:rsid w:val="0015203F"/>
    <w:rsid w:val="00160C64"/>
    <w:rsid w:val="001640CD"/>
    <w:rsid w:val="00171FDC"/>
    <w:rsid w:val="0018169B"/>
    <w:rsid w:val="0019352B"/>
    <w:rsid w:val="001960D0"/>
    <w:rsid w:val="001A1A4C"/>
    <w:rsid w:val="001F17E8"/>
    <w:rsid w:val="00204306"/>
    <w:rsid w:val="00204DA2"/>
    <w:rsid w:val="0023119D"/>
    <w:rsid w:val="00232FD2"/>
    <w:rsid w:val="0026554E"/>
    <w:rsid w:val="002A4622"/>
    <w:rsid w:val="002A6F8F"/>
    <w:rsid w:val="002B17E5"/>
    <w:rsid w:val="002C0EBF"/>
    <w:rsid w:val="002C28A4"/>
    <w:rsid w:val="00307851"/>
    <w:rsid w:val="00315AFE"/>
    <w:rsid w:val="003606A6"/>
    <w:rsid w:val="0036650C"/>
    <w:rsid w:val="00380F1C"/>
    <w:rsid w:val="00393ACD"/>
    <w:rsid w:val="003A583E"/>
    <w:rsid w:val="003E112B"/>
    <w:rsid w:val="003E1D1C"/>
    <w:rsid w:val="003E7B05"/>
    <w:rsid w:val="004149D8"/>
    <w:rsid w:val="004513E5"/>
    <w:rsid w:val="00466211"/>
    <w:rsid w:val="004831D4"/>
    <w:rsid w:val="004834A9"/>
    <w:rsid w:val="004D01FC"/>
    <w:rsid w:val="004E28C3"/>
    <w:rsid w:val="004F1F8E"/>
    <w:rsid w:val="00512A32"/>
    <w:rsid w:val="005648E6"/>
    <w:rsid w:val="00586CF2"/>
    <w:rsid w:val="005C3768"/>
    <w:rsid w:val="005C6C3F"/>
    <w:rsid w:val="005F3202"/>
    <w:rsid w:val="00613635"/>
    <w:rsid w:val="0062093D"/>
    <w:rsid w:val="00637ECF"/>
    <w:rsid w:val="00647B59"/>
    <w:rsid w:val="00690C7B"/>
    <w:rsid w:val="006A4B45"/>
    <w:rsid w:val="006D4724"/>
    <w:rsid w:val="00701BAE"/>
    <w:rsid w:val="00715187"/>
    <w:rsid w:val="00721F04"/>
    <w:rsid w:val="00730E95"/>
    <w:rsid w:val="007426B9"/>
    <w:rsid w:val="00764342"/>
    <w:rsid w:val="00774362"/>
    <w:rsid w:val="00786598"/>
    <w:rsid w:val="007869D3"/>
    <w:rsid w:val="0079624F"/>
    <w:rsid w:val="007A04E8"/>
    <w:rsid w:val="007A3B89"/>
    <w:rsid w:val="00851625"/>
    <w:rsid w:val="0085421F"/>
    <w:rsid w:val="00863C0A"/>
    <w:rsid w:val="008A1444"/>
    <w:rsid w:val="008A3120"/>
    <w:rsid w:val="008C64F7"/>
    <w:rsid w:val="008D41BE"/>
    <w:rsid w:val="008D58D3"/>
    <w:rsid w:val="00923064"/>
    <w:rsid w:val="00930FFD"/>
    <w:rsid w:val="00936D25"/>
    <w:rsid w:val="00941EA5"/>
    <w:rsid w:val="00964700"/>
    <w:rsid w:val="00966C16"/>
    <w:rsid w:val="0098732F"/>
    <w:rsid w:val="00993AE7"/>
    <w:rsid w:val="009A045F"/>
    <w:rsid w:val="009C7E7C"/>
    <w:rsid w:val="00A00473"/>
    <w:rsid w:val="00A03C9B"/>
    <w:rsid w:val="00A37105"/>
    <w:rsid w:val="00A606C3"/>
    <w:rsid w:val="00A83B09"/>
    <w:rsid w:val="00A84541"/>
    <w:rsid w:val="00AB1119"/>
    <w:rsid w:val="00AB2222"/>
    <w:rsid w:val="00AE36A0"/>
    <w:rsid w:val="00B00294"/>
    <w:rsid w:val="00B0612D"/>
    <w:rsid w:val="00B64FD0"/>
    <w:rsid w:val="00B82BD4"/>
    <w:rsid w:val="00BA5BD0"/>
    <w:rsid w:val="00BB1D82"/>
    <w:rsid w:val="00BE354C"/>
    <w:rsid w:val="00BF26E7"/>
    <w:rsid w:val="00C11C28"/>
    <w:rsid w:val="00C53FCA"/>
    <w:rsid w:val="00C723EC"/>
    <w:rsid w:val="00C76BAF"/>
    <w:rsid w:val="00C813A8"/>
    <w:rsid w:val="00C814B9"/>
    <w:rsid w:val="00CD516F"/>
    <w:rsid w:val="00D119A7"/>
    <w:rsid w:val="00D25FBA"/>
    <w:rsid w:val="00D32B28"/>
    <w:rsid w:val="00D42954"/>
    <w:rsid w:val="00D66EAC"/>
    <w:rsid w:val="00D730DF"/>
    <w:rsid w:val="00D74845"/>
    <w:rsid w:val="00D772F0"/>
    <w:rsid w:val="00D77BDC"/>
    <w:rsid w:val="00D951FB"/>
    <w:rsid w:val="00DC402B"/>
    <w:rsid w:val="00DE0932"/>
    <w:rsid w:val="00DE7682"/>
    <w:rsid w:val="00E03A27"/>
    <w:rsid w:val="00E049F1"/>
    <w:rsid w:val="00E262B5"/>
    <w:rsid w:val="00E37A25"/>
    <w:rsid w:val="00E537FF"/>
    <w:rsid w:val="00E6539B"/>
    <w:rsid w:val="00E70A31"/>
    <w:rsid w:val="00E710DD"/>
    <w:rsid w:val="00E97F60"/>
    <w:rsid w:val="00EA3F38"/>
    <w:rsid w:val="00EA5AB6"/>
    <w:rsid w:val="00EC7615"/>
    <w:rsid w:val="00ED16AA"/>
    <w:rsid w:val="00ED64D0"/>
    <w:rsid w:val="00ED7BBA"/>
    <w:rsid w:val="00EF662E"/>
    <w:rsid w:val="00F148F1"/>
    <w:rsid w:val="00F502FA"/>
    <w:rsid w:val="00F72EB7"/>
    <w:rsid w:val="00F92663"/>
    <w:rsid w:val="00FA3BBF"/>
    <w:rsid w:val="00FA63D4"/>
    <w:rsid w:val="00FC21E1"/>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2F6BB92-7088-4C4E-BF46-8B96844E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30785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07851"/>
    <w:rPr>
      <w:rFonts w:ascii="Segoe UI" w:hAnsi="Segoe UI" w:cs="Segoe UI"/>
      <w:sz w:val="18"/>
      <w:szCs w:val="18"/>
      <w:lang w:val="fr-FR" w:eastAsia="en-US"/>
    </w:rPr>
  </w:style>
  <w:style w:type="character" w:customStyle="1" w:styleId="FootnoteTextChar">
    <w:name w:val="Footnote Text Char"/>
    <w:basedOn w:val="DefaultParagraphFont"/>
    <w:link w:val="FootnoteText"/>
    <w:locked/>
    <w:rsid w:val="00C723EC"/>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R15-WRC15-C-0007!A21-A7!MSW-F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9F177B23-9014-4F04-BD26-E5EA2BE6312A}">
  <ds:schemaRefs>
    <ds:schemaRef ds:uri="32a1a8c5-2265-4ebc-b7a0-2071e2c5c9bb"/>
    <ds:schemaRef ds:uri="http://purl.org/dc/elements/1.1/"/>
    <ds:schemaRef ds:uri="http://purl.org/dc/dcmitype/"/>
    <ds:schemaRef ds:uri="http://schemas.microsoft.com/office/2006/documentManagement/types"/>
    <ds:schemaRef ds:uri="996b2e75-67fd-4955-a3b0-5ab9934cb50b"/>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873</Words>
  <Characters>5086</Characters>
  <Application>Microsoft Office Word</Application>
  <DocSecurity>0</DocSecurity>
  <Lines>92</Lines>
  <Paragraphs>30</Paragraphs>
  <ScaleCrop>false</ScaleCrop>
  <HeadingPairs>
    <vt:vector size="2" baseType="variant">
      <vt:variant>
        <vt:lpstr>Title</vt:lpstr>
      </vt:variant>
      <vt:variant>
        <vt:i4>1</vt:i4>
      </vt:variant>
    </vt:vector>
  </HeadingPairs>
  <TitlesOfParts>
    <vt:vector size="1" baseType="lpstr">
      <vt:lpstr>R15-WRC15-C-0007!A21-A7!MSW-F</vt:lpstr>
    </vt:vector>
  </TitlesOfParts>
  <Manager>Secrétariat général - Pool</Manager>
  <Company>Union internationale des télécommunications (UIT)</Company>
  <LinksUpToDate>false</LinksUpToDate>
  <CharactersWithSpaces>5948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R15-WRC15-C-0007!A21-A7!MSW-F</dc:title>
  <dc:subject>Conférence mondiale des radiocommunications - 2015</dc:subject>
  <dc:creator>Documents Proposals Manager (DPM)</dc:creator>
  <cp:keywords>DPM_v5.2015.9.16_prod</cp:keywords>
  <dc:description/>
  <cp:lastModifiedBy>Jones, Jacqueline</cp:lastModifiedBy>
  <cp:revision>6</cp:revision>
  <cp:lastPrinted>2015-10-20T14:35:00Z</cp:lastPrinted>
  <dcterms:created xsi:type="dcterms:W3CDTF">2015-10-13T13:33:00Z</dcterms:created>
  <dcterms:modified xsi:type="dcterms:W3CDTF">2015-10-20T14:36:00Z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