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8626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8626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86260" w:rsidRDefault="003E1608" w:rsidP="00D86260">
            <w:pPr>
              <w:pStyle w:val="Adress"/>
              <w:framePr w:hSpace="0" w:wrap="auto" w:xAlign="left" w:yAlign="inline"/>
              <w:rPr>
                <w:rtl/>
              </w:rPr>
            </w:pPr>
            <w:r w:rsidRPr="00D86260">
              <w:rPr>
                <w:rtl/>
              </w:rPr>
              <w:t xml:space="preserve">الإضافة </w:t>
            </w:r>
            <w:r w:rsidRPr="00D86260">
              <w:t>6</w:t>
            </w:r>
            <w:r w:rsidRPr="00D86260">
              <w:br/>
            </w:r>
            <w:r w:rsidRPr="00D86260">
              <w:rPr>
                <w:rtl/>
              </w:rPr>
              <w:t xml:space="preserve">للوثيقة </w:t>
            </w:r>
            <w:r w:rsidRPr="00D86260">
              <w:t>7(Add.23)(Add.1)-</w:t>
            </w:r>
            <w:r w:rsidR="00D86260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8626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8626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86260">
              <w:rPr>
                <w:rFonts w:eastAsia="SimSun"/>
              </w:rPr>
              <w:t>29</w:t>
            </w:r>
            <w:r w:rsidRPr="00D86260">
              <w:rPr>
                <w:rFonts w:eastAsia="SimSun"/>
                <w:rtl/>
              </w:rPr>
              <w:t xml:space="preserve"> سبتمبر </w:t>
            </w:r>
            <w:r w:rsidRPr="00D8626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8626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8626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86260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8626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الدول الأعضاء في لجنة البلدان الأمريكية للاتصالات</w:t>
            </w:r>
            <w:r w:rsidR="00D86260">
              <w:rPr>
                <w:rFonts w:hint="cs"/>
                <w:rtl/>
              </w:rPr>
              <w:t xml:space="preserve"> </w:t>
            </w:r>
            <w:r w:rsidR="00D86260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8626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8626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86260">
              <w:rPr>
                <w:lang w:val="en-US"/>
              </w:rPr>
              <w:t>(6.1.9)1.9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AE4A07" w:rsidP="00E95727">
      <w:pPr>
        <w:pStyle w:val="Normalaftertitle"/>
        <w:rPr>
          <w:rFonts w:eastAsia="SimSun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6.1.9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957 (WRC-12)</w:t>
      </w:r>
      <w:r w:rsidRPr="00431196">
        <w:rPr>
          <w:rFonts w:eastAsia="SimSun" w:hint="cs"/>
          <w:rtl/>
        </w:rPr>
        <w:t xml:space="preserve"> - إجراء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دراسات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بهدف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استعراض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تعاريف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المتنقلة</w:t>
      </w:r>
    </w:p>
    <w:p w:rsidR="00F16602" w:rsidRDefault="00C72284" w:rsidP="000F5E34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0F5E34" w:rsidRPr="000F5E34" w:rsidRDefault="000F5E34" w:rsidP="000F5E34">
      <w:pPr>
        <w:rPr>
          <w:rtl/>
        </w:rPr>
      </w:pPr>
      <w:r w:rsidRPr="000F5E34">
        <w:rPr>
          <w:rtl/>
        </w:rPr>
        <w:t>أجرى قطاع الاتصالات الراديوية في الاتحاد دراسات وفقا</w:t>
      </w:r>
      <w:r w:rsidRPr="000F5E34">
        <w:rPr>
          <w:rFonts w:hint="cs"/>
          <w:rtl/>
        </w:rPr>
        <w:t>ً</w:t>
      </w:r>
      <w:r w:rsidRPr="000F5E34">
        <w:rPr>
          <w:rtl/>
        </w:rPr>
        <w:t xml:space="preserve"> للقرار </w:t>
      </w:r>
      <w:r w:rsidRPr="000F5E34">
        <w:t>957 (WRC-12)</w:t>
      </w:r>
      <w:r w:rsidRPr="000F5E34">
        <w:rPr>
          <w:rFonts w:hint="cs"/>
          <w:rtl/>
        </w:rPr>
        <w:t>.</w:t>
      </w:r>
      <w:r w:rsidRPr="000F5E34">
        <w:rPr>
          <w:rtl/>
        </w:rPr>
        <w:t xml:space="preserve"> وروجعت بدقة خلال فترة الدراسة المذكورة تعاريف </w:t>
      </w:r>
      <w:r w:rsidRPr="000F5E34">
        <w:rPr>
          <w:i/>
          <w:iCs/>
          <w:rtl/>
        </w:rPr>
        <w:t>الخدمة الثابتة</w:t>
      </w:r>
      <w:r w:rsidRPr="000F5E34">
        <w:rPr>
          <w:rtl/>
        </w:rPr>
        <w:t>، و</w:t>
      </w:r>
      <w:r w:rsidRPr="000F5E34">
        <w:rPr>
          <w:i/>
          <w:iCs/>
          <w:rtl/>
        </w:rPr>
        <w:t>المحطة الثابتة</w:t>
      </w:r>
      <w:r w:rsidRPr="000F5E34">
        <w:rPr>
          <w:rtl/>
        </w:rPr>
        <w:t>، و</w:t>
      </w:r>
      <w:r w:rsidRPr="000F5E34">
        <w:rPr>
          <w:i/>
          <w:iCs/>
          <w:rtl/>
        </w:rPr>
        <w:t>المحطة المتنقلة</w:t>
      </w:r>
      <w:r w:rsidRPr="000F5E34">
        <w:rPr>
          <w:rtl/>
        </w:rPr>
        <w:t>، إلى جانب دراسة الأثر المحتمل على الإجراءات التنظيمية في لوائح الراديو</w:t>
      </w:r>
      <w:r w:rsidRPr="000F5E34">
        <w:rPr>
          <w:rFonts w:hint="cs"/>
          <w:rtl/>
        </w:rPr>
        <w:t> </w:t>
      </w:r>
      <w:r w:rsidRPr="000F5E34">
        <w:t>(RR)</w:t>
      </w:r>
      <w:r w:rsidRPr="000F5E34">
        <w:rPr>
          <w:rFonts w:hint="cs"/>
          <w:rtl/>
        </w:rPr>
        <w:t xml:space="preserve"> </w:t>
      </w:r>
      <w:r w:rsidRPr="000F5E34">
        <w:rPr>
          <w:rtl/>
        </w:rPr>
        <w:t>(التنسيق والتبليغ والتسجيل) والأثر على تخصيصات التردد الحالية والخدمات الأخرى نتيجة للتغييرات المحتملة في التعاريف</w:t>
      </w:r>
      <w:r w:rsidRPr="000F5E34">
        <w:rPr>
          <w:rFonts w:hint="cs"/>
          <w:rtl/>
        </w:rPr>
        <w:t>.</w:t>
      </w:r>
    </w:p>
    <w:p w:rsidR="000F5E34" w:rsidRPr="000F5E34" w:rsidRDefault="000F5E34" w:rsidP="000F5E34">
      <w:pPr>
        <w:rPr>
          <w:rtl/>
        </w:rPr>
      </w:pPr>
      <w:r w:rsidRPr="000F5E34">
        <w:rPr>
          <w:rtl/>
        </w:rPr>
        <w:t>وناقشت اللجنة المسؤولة</w:t>
      </w:r>
      <w:r w:rsidR="00C72284">
        <w:rPr>
          <w:rFonts w:hint="cs"/>
          <w:rtl/>
          <w:lang w:bidi="ar-EG"/>
        </w:rPr>
        <w:t xml:space="preserve"> (فرقة العمل </w:t>
      </w:r>
      <w:r w:rsidR="00C72284">
        <w:rPr>
          <w:lang w:bidi="ar-EG"/>
        </w:rPr>
        <w:t>1B</w:t>
      </w:r>
      <w:r w:rsidR="00C72284">
        <w:rPr>
          <w:rFonts w:hint="cs"/>
          <w:rtl/>
          <w:lang w:bidi="ar-EG"/>
        </w:rPr>
        <w:t>)</w:t>
      </w:r>
      <w:r w:rsidRPr="000F5E34">
        <w:rPr>
          <w:rtl/>
        </w:rPr>
        <w:t xml:space="preserve"> مساهمات ومقترحات الإدارات والمنظمات، وأبلغت اللجان المعنية </w:t>
      </w:r>
      <w:r w:rsidR="00C72284">
        <w:rPr>
          <w:rFonts w:hint="cs"/>
          <w:rtl/>
        </w:rPr>
        <w:t xml:space="preserve">في الوقت المناسب </w:t>
      </w:r>
      <w:r w:rsidRPr="000F5E34">
        <w:rPr>
          <w:rtl/>
        </w:rPr>
        <w:t>بآخر المستجدات بشأن التقدم المحرز في</w:t>
      </w:r>
      <w:r w:rsidRPr="000F5E34">
        <w:rPr>
          <w:rFonts w:hint="cs"/>
          <w:rtl/>
        </w:rPr>
        <w:t> </w:t>
      </w:r>
      <w:r w:rsidRPr="000F5E34">
        <w:rPr>
          <w:rtl/>
        </w:rPr>
        <w:t>هذه المسألة</w:t>
      </w:r>
      <w:r w:rsidRPr="000F5E34">
        <w:rPr>
          <w:rFonts w:hint="cs"/>
          <w:rtl/>
        </w:rPr>
        <w:t>.</w:t>
      </w:r>
      <w:r w:rsidRPr="000F5E34">
        <w:rPr>
          <w:rtl/>
        </w:rPr>
        <w:t xml:space="preserve"> و</w:t>
      </w:r>
      <w:r w:rsidRPr="000F5E34">
        <w:rPr>
          <w:rFonts w:hint="cs"/>
          <w:rtl/>
        </w:rPr>
        <w:t>أُ</w:t>
      </w:r>
      <w:r w:rsidRPr="000F5E34">
        <w:rPr>
          <w:rtl/>
        </w:rPr>
        <w:t>خذت في الاعتبار ردود اللجان المعنية</w:t>
      </w:r>
      <w:r w:rsidRPr="000F5E34">
        <w:rPr>
          <w:rFonts w:hint="cs"/>
          <w:rtl/>
        </w:rPr>
        <w:t>.</w:t>
      </w:r>
    </w:p>
    <w:p w:rsidR="000F5E34" w:rsidRPr="000F5E34" w:rsidRDefault="000F5E34" w:rsidP="000F5E34">
      <w:pPr>
        <w:rPr>
          <w:rtl/>
        </w:rPr>
      </w:pPr>
      <w:r w:rsidRPr="000F5E34">
        <w:rPr>
          <w:rtl/>
        </w:rPr>
        <w:t xml:space="preserve">ووفقاً للمساهمات وبيانات الاتصال، قام قطاع الاتصالات الراديوية بالاتحاد بعد مناقشات </w:t>
      </w:r>
      <w:r w:rsidRPr="000F5E34">
        <w:rPr>
          <w:rFonts w:hint="cs"/>
          <w:rtl/>
        </w:rPr>
        <w:t>شاملة</w:t>
      </w:r>
      <w:r w:rsidRPr="000F5E34">
        <w:rPr>
          <w:rtl/>
        </w:rPr>
        <w:t xml:space="preserve"> </w:t>
      </w:r>
      <w:r w:rsidRPr="000F5E34">
        <w:rPr>
          <w:rFonts w:hint="cs"/>
          <w:rtl/>
        </w:rPr>
        <w:t>بإعداد</w:t>
      </w:r>
      <w:r w:rsidRPr="000F5E34">
        <w:rPr>
          <w:rtl/>
        </w:rPr>
        <w:t xml:space="preserve"> اعتبار تنظيمي وإجرائي واحد يتمثل في إلغاء القرار </w:t>
      </w:r>
      <w:r w:rsidRPr="000F5E34">
        <w:t>957 (WRC-12)</w:t>
      </w:r>
      <w:r w:rsidRPr="000F5E34">
        <w:rPr>
          <w:rtl/>
        </w:rPr>
        <w:t xml:space="preserve"> للوفاء بالمسألة </w:t>
      </w:r>
      <w:r w:rsidRPr="000F5E34">
        <w:t>6.1.9</w:t>
      </w:r>
      <w:r w:rsidRPr="000F5E34">
        <w:rPr>
          <w:rtl/>
        </w:rPr>
        <w:t xml:space="preserve"> من البند </w:t>
      </w:r>
      <w:r w:rsidRPr="000F5E34">
        <w:t>1.9</w:t>
      </w:r>
      <w:r w:rsidRPr="000F5E34">
        <w:rPr>
          <w:rtl/>
        </w:rPr>
        <w:t xml:space="preserve"> من جدول الأعمال، على أن يراعى أن الإبقاء على التعاريف الحالية </w:t>
      </w:r>
      <w:r w:rsidRPr="000F5E34">
        <w:rPr>
          <w:i/>
          <w:iCs/>
          <w:rtl/>
        </w:rPr>
        <w:t>للخدمة الثابتة</w:t>
      </w:r>
      <w:r w:rsidRPr="000F5E34">
        <w:rPr>
          <w:rtl/>
        </w:rPr>
        <w:t>، و</w:t>
      </w:r>
      <w:r w:rsidRPr="000F5E34">
        <w:rPr>
          <w:i/>
          <w:iCs/>
          <w:rtl/>
        </w:rPr>
        <w:t>المحطة الثابتة</w:t>
      </w:r>
      <w:r w:rsidRPr="000F5E34">
        <w:rPr>
          <w:rtl/>
        </w:rPr>
        <w:t>، و</w:t>
      </w:r>
      <w:r w:rsidRPr="000F5E34">
        <w:rPr>
          <w:i/>
          <w:iCs/>
          <w:rtl/>
        </w:rPr>
        <w:t>المحطة المتنقلة</w:t>
      </w:r>
      <w:r w:rsidRPr="000F5E34">
        <w:rPr>
          <w:rtl/>
        </w:rPr>
        <w:t xml:space="preserve"> في المادة </w:t>
      </w:r>
      <w:r w:rsidRPr="000F5E34">
        <w:t>1</w:t>
      </w:r>
      <w:r w:rsidRPr="000F5E34">
        <w:rPr>
          <w:rtl/>
        </w:rPr>
        <w:t xml:space="preserve"> من لوائح الراديو </w:t>
      </w:r>
      <w:r w:rsidRPr="000F5E34">
        <w:rPr>
          <w:rFonts w:hint="cs"/>
          <w:rtl/>
        </w:rPr>
        <w:t>قادر</w:t>
      </w:r>
      <w:r w:rsidRPr="000F5E34">
        <w:rPr>
          <w:rtl/>
        </w:rPr>
        <w:t xml:space="preserve"> على التكيف مع تطور التكنولوجيا وأن هناك مرونة كافية في لوائح الراديو الحالية</w:t>
      </w:r>
      <w:r w:rsidRPr="000F5E34">
        <w:rPr>
          <w:rFonts w:hint="cs"/>
          <w:rtl/>
        </w:rPr>
        <w:t>.</w:t>
      </w:r>
    </w:p>
    <w:p w:rsidR="000F5E34" w:rsidRPr="000F5E34" w:rsidRDefault="000F5E34" w:rsidP="000F5E34">
      <w:pPr>
        <w:rPr>
          <w:rtl/>
        </w:rPr>
      </w:pPr>
      <w:r w:rsidRPr="000F5E34">
        <w:rPr>
          <w:rtl/>
        </w:rPr>
        <w:t>وعلاوة</w:t>
      </w:r>
      <w:r w:rsidRPr="000F5E34">
        <w:rPr>
          <w:rFonts w:hint="cs"/>
          <w:rtl/>
        </w:rPr>
        <w:t>ً</w:t>
      </w:r>
      <w:r w:rsidRPr="000F5E34">
        <w:rPr>
          <w:rtl/>
        </w:rPr>
        <w:t xml:space="preserve"> على ذلك، </w:t>
      </w:r>
      <w:r w:rsidRPr="000F5E34">
        <w:rPr>
          <w:rFonts w:hint="cs"/>
          <w:rtl/>
        </w:rPr>
        <w:t>استُنتج</w:t>
      </w:r>
      <w:r w:rsidRPr="000F5E34">
        <w:rPr>
          <w:rtl/>
        </w:rPr>
        <w:t xml:space="preserve"> أنه لا حاجة إلى إعداد تقرير جديد لقطاع الاتصالات الراديوية في إطار هذه المسألة</w:t>
      </w:r>
      <w:r w:rsidRPr="000F5E34">
        <w:rPr>
          <w:rFonts w:hint="cs"/>
          <w:rtl/>
        </w:rPr>
        <w:t>.</w:t>
      </w:r>
    </w:p>
    <w:p w:rsidR="000F5E34" w:rsidRDefault="00C72284" w:rsidP="000F5E34">
      <w:pPr>
        <w:rPr>
          <w:rtl/>
        </w:rPr>
      </w:pPr>
      <w:r>
        <w:rPr>
          <w:rFonts w:hint="cs"/>
          <w:rtl/>
        </w:rPr>
        <w:t>و</w:t>
      </w:r>
      <w:r w:rsidR="000F5E34" w:rsidRPr="000F5E34">
        <w:rPr>
          <w:rtl/>
        </w:rPr>
        <w:t xml:space="preserve">نظر المؤتمر العالمي للاتصالات الراديوية لعام </w:t>
      </w:r>
      <w:r w:rsidR="000F5E34" w:rsidRPr="000F5E34">
        <w:t>2012</w:t>
      </w:r>
      <w:r w:rsidR="000F5E34" w:rsidRPr="000F5E34">
        <w:rPr>
          <w:rtl/>
        </w:rPr>
        <w:t xml:space="preserve"> في بعض مراجعات تعاريف </w:t>
      </w:r>
      <w:r w:rsidR="000F5E34" w:rsidRPr="000F5E34">
        <w:rPr>
          <w:i/>
          <w:iCs/>
          <w:rtl/>
        </w:rPr>
        <w:t>الخدمة الثابتة</w:t>
      </w:r>
      <w:r w:rsidR="000F5E34" w:rsidRPr="000F5E34">
        <w:rPr>
          <w:rtl/>
        </w:rPr>
        <w:t>، و</w:t>
      </w:r>
      <w:r w:rsidR="000F5E34" w:rsidRPr="000F5E34">
        <w:rPr>
          <w:i/>
          <w:iCs/>
          <w:rtl/>
        </w:rPr>
        <w:t>المحطة الثابتة</w:t>
      </w:r>
      <w:r w:rsidR="000F5E34" w:rsidRPr="000F5E34">
        <w:rPr>
          <w:rtl/>
        </w:rPr>
        <w:t>، و</w:t>
      </w:r>
      <w:r w:rsidR="000F5E34" w:rsidRPr="000F5E34">
        <w:rPr>
          <w:i/>
          <w:iCs/>
          <w:rtl/>
        </w:rPr>
        <w:t>المحطة المتنقلة</w:t>
      </w:r>
      <w:r w:rsidR="000F5E34" w:rsidRPr="000F5E34">
        <w:rPr>
          <w:rtl/>
        </w:rPr>
        <w:t xml:space="preserve"> في</w:t>
      </w:r>
      <w:r w:rsidR="000F5E34" w:rsidRPr="000F5E34">
        <w:rPr>
          <w:rFonts w:hint="eastAsia"/>
          <w:rtl/>
        </w:rPr>
        <w:t> </w:t>
      </w:r>
      <w:r w:rsidR="000F5E34" w:rsidRPr="000F5E34">
        <w:rPr>
          <w:rtl/>
        </w:rPr>
        <w:t>المادة</w:t>
      </w:r>
      <w:r w:rsidR="000F5E34" w:rsidRPr="000F5E34">
        <w:rPr>
          <w:rFonts w:hint="eastAsia"/>
          <w:rtl/>
        </w:rPr>
        <w:t> </w:t>
      </w:r>
      <w:r w:rsidR="000F5E34" w:rsidRPr="000F5E34">
        <w:t>1</w:t>
      </w:r>
      <w:r w:rsidR="000F5E34" w:rsidRPr="000F5E34">
        <w:rPr>
          <w:rtl/>
        </w:rPr>
        <w:t xml:space="preserve"> من لوائح الراديو بناء</w:t>
      </w:r>
      <w:r w:rsidR="000F5E34" w:rsidRPr="000F5E34">
        <w:rPr>
          <w:rFonts w:hint="cs"/>
          <w:rtl/>
        </w:rPr>
        <w:t>ً</w:t>
      </w:r>
      <w:r w:rsidR="000F5E34" w:rsidRPr="000F5E34">
        <w:rPr>
          <w:rtl/>
        </w:rPr>
        <w:t xml:space="preserve"> على ما تم إجراؤه من دراسات لمعالجة تقارب الخدمتين الثابتة والمتنقلة في إطار البند </w:t>
      </w:r>
      <w:r w:rsidR="000F5E34" w:rsidRPr="000F5E34">
        <w:t>2.1</w:t>
      </w:r>
      <w:r w:rsidR="000F5E34" w:rsidRPr="000F5E34">
        <w:rPr>
          <w:rtl/>
        </w:rPr>
        <w:t xml:space="preserve"> من جدول أعمال المؤتمر، ولكنه قرر أنه ينبغي استعراض هذه المسألة وإخضاعها لمزيد من الدراسة للنظر فيها خلال المؤتمر العالمي للاتصالات </w:t>
      </w:r>
      <w:r w:rsidR="000F5E34" w:rsidRPr="000F5E34">
        <w:rPr>
          <w:rtl/>
        </w:rPr>
        <w:lastRenderedPageBreak/>
        <w:t xml:space="preserve">الراديوية لعام </w:t>
      </w:r>
      <w:r w:rsidR="000F5E34" w:rsidRPr="000F5E34">
        <w:t>2015</w:t>
      </w:r>
      <w:r w:rsidR="000F5E34" w:rsidRPr="000F5E34">
        <w:rPr>
          <w:rtl/>
        </w:rPr>
        <w:t xml:space="preserve"> في إطار تقرير مدير مكتب الاتصالات الراديوية</w:t>
      </w:r>
      <w:r w:rsidR="000F5E34" w:rsidRPr="000F5E34">
        <w:rPr>
          <w:rFonts w:hint="cs"/>
          <w:rtl/>
        </w:rPr>
        <w:t>.</w:t>
      </w:r>
      <w:r w:rsidR="000F5E34" w:rsidRPr="000F5E34">
        <w:rPr>
          <w:rtl/>
        </w:rPr>
        <w:t xml:space="preserve"> وبينما تناول البند </w:t>
      </w:r>
      <w:r w:rsidR="000F5E34" w:rsidRPr="000F5E34">
        <w:t>2.1</w:t>
      </w:r>
      <w:r w:rsidR="000F5E34" w:rsidRPr="000F5E34">
        <w:rPr>
          <w:rtl/>
        </w:rPr>
        <w:t xml:space="preserve"> من جدول أعمال المؤتمر العالمي للاتصالات الراديوية لعام </w:t>
      </w:r>
      <w:r w:rsidR="000F5E34" w:rsidRPr="000F5E34">
        <w:t>2012</w:t>
      </w:r>
      <w:r w:rsidR="000F5E34" w:rsidRPr="000F5E34">
        <w:rPr>
          <w:rtl/>
        </w:rPr>
        <w:t xml:space="preserve"> السياق الأوسع كثيراً الذي ينطوي عليه تعزيز الإطار التنظيمي الدولي، اع</w:t>
      </w:r>
      <w:r w:rsidR="000F5E34" w:rsidRPr="000F5E34">
        <w:rPr>
          <w:rFonts w:hint="cs"/>
          <w:rtl/>
        </w:rPr>
        <w:t>تُ</w:t>
      </w:r>
      <w:r w:rsidR="000F5E34" w:rsidRPr="000F5E34">
        <w:rPr>
          <w:rtl/>
        </w:rPr>
        <w:t>مدت المسألة</w:t>
      </w:r>
      <w:r w:rsidR="000F5E34" w:rsidRPr="000F5E34">
        <w:rPr>
          <w:rFonts w:hint="eastAsia"/>
          <w:rtl/>
        </w:rPr>
        <w:t> </w:t>
      </w:r>
      <w:r w:rsidR="000F5E34" w:rsidRPr="000F5E34">
        <w:t>6.1.9</w:t>
      </w:r>
      <w:r w:rsidR="000F5E34" w:rsidRPr="000F5E34">
        <w:rPr>
          <w:rtl/>
        </w:rPr>
        <w:t xml:space="preserve"> في</w:t>
      </w:r>
      <w:r w:rsidR="000F5E34" w:rsidRPr="000F5E34">
        <w:rPr>
          <w:rFonts w:hint="cs"/>
          <w:rtl/>
        </w:rPr>
        <w:t> </w:t>
      </w:r>
      <w:r w:rsidR="000F5E34" w:rsidRPr="000F5E34">
        <w:rPr>
          <w:rtl/>
        </w:rPr>
        <w:t xml:space="preserve">إطار البند </w:t>
      </w:r>
      <w:r w:rsidR="000F5E34" w:rsidRPr="000F5E34">
        <w:t>1.9</w:t>
      </w:r>
      <w:r w:rsidR="000F5E34" w:rsidRPr="000F5E34">
        <w:rPr>
          <w:rtl/>
        </w:rPr>
        <w:t xml:space="preserve"> من جدول أعمال المؤتمر العالمي للاتصالات الراديوية لعام </w:t>
      </w:r>
      <w:r w:rsidR="000F5E34" w:rsidRPr="000F5E34">
        <w:t>2015</w:t>
      </w:r>
      <w:r w:rsidR="000F5E34" w:rsidRPr="000F5E34">
        <w:rPr>
          <w:rtl/>
        </w:rPr>
        <w:t xml:space="preserve"> للتركيز تحديداً على التعديلات التي يمكن إدخالها على تلك التعاريف الثلاثة لمعالجة التقارب ولدعم تنفيذ ممارسات إدارة الطيف بكفاءة واستعمال الطيف</w:t>
      </w:r>
      <w:r w:rsidR="000F5E34" w:rsidRPr="000F5E34">
        <w:rPr>
          <w:rFonts w:hint="cs"/>
          <w:rtl/>
        </w:rPr>
        <w:t>.</w:t>
      </w:r>
    </w:p>
    <w:p w:rsidR="000F5E34" w:rsidRPr="000F5E34" w:rsidRDefault="000F5E34" w:rsidP="000F5E34">
      <w:pPr>
        <w:rPr>
          <w:rtl/>
        </w:rPr>
      </w:pPr>
      <w:r w:rsidRPr="000F5E34">
        <w:rPr>
          <w:rtl/>
        </w:rPr>
        <w:t>أشارت فرق العمل المساهمة المسؤولة عن الخدمة الساتلية والخدمة للأرض إلى ما يلي:</w:t>
      </w:r>
    </w:p>
    <w:p w:rsidR="000F5E34" w:rsidRPr="000F5E34" w:rsidRDefault="000F5E34" w:rsidP="000F5E34">
      <w:pPr>
        <w:pStyle w:val="enumlev1"/>
        <w:rPr>
          <w:rtl/>
          <w:lang w:bidi="ar-EG"/>
        </w:rPr>
      </w:pPr>
      <w:r w:rsidRPr="000F5E34">
        <w:rPr>
          <w:rtl/>
          <w:lang w:bidi="ar-EG"/>
        </w:rPr>
        <w:t>-</w:t>
      </w:r>
      <w:r w:rsidRPr="000F5E34">
        <w:rPr>
          <w:lang w:val="en-GB"/>
        </w:rPr>
        <w:tab/>
      </w:r>
      <w:r w:rsidRPr="000F5E34">
        <w:rPr>
          <w:rtl/>
          <w:lang w:bidi="ar-EG"/>
        </w:rPr>
        <w:t xml:space="preserve">نوقشت باستفاضة التعديلات المقترحة على تعاريف الخدمة الثابتة، والمحطة الثابتة، والمحطة المتنقلة، خلال </w:t>
      </w:r>
      <w:r w:rsidRPr="000F5E34">
        <w:rPr>
          <w:rFonts w:hint="cs"/>
          <w:rtl/>
          <w:lang w:bidi="ar-EG"/>
        </w:rPr>
        <w:t>المؤتمرين العالميين السابقين ل</w:t>
      </w:r>
      <w:r w:rsidRPr="000F5E34">
        <w:rPr>
          <w:rtl/>
          <w:lang w:bidi="ar-EG"/>
        </w:rPr>
        <w:t>لاتصالات الراديوية؛</w:t>
      </w:r>
    </w:p>
    <w:p w:rsidR="000F5E34" w:rsidRPr="000F5E34" w:rsidRDefault="000F5E34" w:rsidP="000F5E34">
      <w:pPr>
        <w:pStyle w:val="enumlev1"/>
        <w:rPr>
          <w:rtl/>
          <w:lang w:bidi="ar-EG"/>
        </w:rPr>
      </w:pPr>
      <w:r w:rsidRPr="000F5E34">
        <w:rPr>
          <w:rtl/>
          <w:lang w:bidi="ar-EG"/>
        </w:rPr>
        <w:t>-</w:t>
      </w:r>
      <w:r w:rsidRPr="000F5E34">
        <w:rPr>
          <w:lang w:val="en-GB"/>
        </w:rPr>
        <w:tab/>
      </w:r>
      <w:r w:rsidRPr="000F5E34">
        <w:rPr>
          <w:rtl/>
          <w:lang w:bidi="ar-EG"/>
        </w:rPr>
        <w:t>يمكن لهذه التعديلات أن تؤثر سلباً على تشغيل مختلف خدمات/أنظمة الاتصالات الراديوية الساتلية لأن تلك التعديلات ستعدل تماماً بيئة التقاسم والتداخل للخدمات الفضائية وستجعل مهمة الإدارات بالغة الصعوبة، إن</w:t>
      </w:r>
      <w:r w:rsidRPr="000F5E34">
        <w:rPr>
          <w:rFonts w:hint="cs"/>
          <w:rtl/>
          <w:lang w:bidi="ar-EG"/>
        </w:rPr>
        <w:t> </w:t>
      </w:r>
      <w:r w:rsidRPr="000F5E34">
        <w:rPr>
          <w:rtl/>
          <w:lang w:bidi="ar-EG"/>
        </w:rPr>
        <w:t>لم</w:t>
      </w:r>
      <w:r w:rsidRPr="000F5E34">
        <w:rPr>
          <w:rFonts w:hint="eastAsia"/>
          <w:rtl/>
          <w:lang w:bidi="ar-EG"/>
        </w:rPr>
        <w:t> </w:t>
      </w:r>
      <w:r w:rsidRPr="000F5E34">
        <w:rPr>
          <w:rtl/>
          <w:lang w:bidi="ar-EG"/>
        </w:rPr>
        <w:t>تكن مستحيلة، في</w:t>
      </w:r>
      <w:r w:rsidRPr="000F5E34">
        <w:rPr>
          <w:rFonts w:hint="cs"/>
          <w:rtl/>
          <w:lang w:bidi="ar-EG"/>
        </w:rPr>
        <w:t> </w:t>
      </w:r>
      <w:r w:rsidRPr="000F5E34">
        <w:rPr>
          <w:rtl/>
          <w:lang w:bidi="ar-EG"/>
        </w:rPr>
        <w:t>عملية التنسيق بين الشبكات الساتلية و</w:t>
      </w:r>
      <w:r w:rsidRPr="000F5E34">
        <w:rPr>
          <w:rFonts w:hint="cs"/>
          <w:rtl/>
          <w:lang w:bidi="ar-EG"/>
        </w:rPr>
        <w:t>خدمات الأرض</w:t>
      </w:r>
      <w:r w:rsidRPr="000F5E34">
        <w:rPr>
          <w:rtl/>
          <w:lang w:bidi="ar-EG"/>
        </w:rPr>
        <w:t>؛</w:t>
      </w:r>
    </w:p>
    <w:p w:rsidR="000F5E34" w:rsidRPr="000F5E34" w:rsidRDefault="000F5E34" w:rsidP="000F5E34">
      <w:pPr>
        <w:pStyle w:val="enumlev1"/>
        <w:rPr>
          <w:lang w:val="en-GB"/>
        </w:rPr>
      </w:pPr>
      <w:r w:rsidRPr="000F5E34">
        <w:rPr>
          <w:rtl/>
          <w:lang w:bidi="ar-EG"/>
        </w:rPr>
        <w:t>-</w:t>
      </w:r>
      <w:r w:rsidRPr="000F5E34">
        <w:rPr>
          <w:lang w:val="en-GB"/>
        </w:rPr>
        <w:tab/>
      </w:r>
      <w:r w:rsidRPr="000F5E34">
        <w:rPr>
          <w:rtl/>
          <w:lang w:bidi="ar-EG"/>
        </w:rPr>
        <w:t>لم تحدث حسب علمها أي مشاكل تتعلق بالتعاريف الحالية، ولذلك ليست هناك أي ضرورة تدعو إلى إدخال أي تغييرات على تعاريف الخدمة الثابتة والمحطة الثابتة والمحطة المتنقلة استجابة</w:t>
      </w:r>
      <w:r w:rsidRPr="000F5E34">
        <w:rPr>
          <w:rFonts w:hint="cs"/>
          <w:rtl/>
          <w:lang w:bidi="ar-EG"/>
        </w:rPr>
        <w:t>ً</w:t>
      </w:r>
      <w:r w:rsidRPr="000F5E34">
        <w:rPr>
          <w:rtl/>
          <w:lang w:bidi="ar-EG"/>
        </w:rPr>
        <w:t xml:space="preserve"> لهذا البند من جدول الأعمال</w:t>
      </w:r>
      <w:r w:rsidRPr="000F5E34">
        <w:rPr>
          <w:rFonts w:hint="cs"/>
          <w:rtl/>
          <w:lang w:bidi="ar-EG"/>
        </w:rPr>
        <w:t>.</w:t>
      </w:r>
    </w:p>
    <w:p w:rsidR="000F5E34" w:rsidRPr="000F5E34" w:rsidRDefault="000F5E34" w:rsidP="000F5E34">
      <w:pPr>
        <w:pStyle w:val="Headingb"/>
        <w:rPr>
          <w:lang w:val="en-GB" w:bidi="ar-SA"/>
        </w:rPr>
      </w:pPr>
      <w:r>
        <w:rPr>
          <w:rFonts w:hint="cs"/>
          <w:rtl/>
          <w:lang w:val="en-GB"/>
        </w:rPr>
        <w:t>المقترح</w:t>
      </w:r>
    </w:p>
    <w:p w:rsidR="002151EE" w:rsidRDefault="00AE4A07">
      <w:pPr>
        <w:pStyle w:val="Proposal"/>
      </w:pPr>
      <w:r>
        <w:t>SUP</w:t>
      </w:r>
      <w:r>
        <w:tab/>
        <w:t>IAP/7A23A1A6/1</w:t>
      </w:r>
    </w:p>
    <w:p w:rsidR="00F26C6D" w:rsidRDefault="00AE4A07" w:rsidP="0092116E">
      <w:pPr>
        <w:pStyle w:val="ResNo"/>
        <w:rPr>
          <w:rtl/>
          <w:lang w:bidi="ar-SA"/>
        </w:rPr>
      </w:pPr>
      <w:bookmarkStart w:id="1" w:name="_Toc327956811"/>
      <w:r>
        <w:rPr>
          <w:rFonts w:hint="cs"/>
          <w:rtl/>
        </w:rPr>
        <w:t xml:space="preserve">القـرار </w:t>
      </w:r>
      <w:r w:rsidRPr="00E23BAD">
        <w:t>957</w:t>
      </w:r>
      <w:r>
        <w:t> (WRC-12)</w:t>
      </w:r>
      <w:bookmarkEnd w:id="1"/>
    </w:p>
    <w:p w:rsidR="00F26C6D" w:rsidRPr="00AE0FC0" w:rsidRDefault="00AE4A07" w:rsidP="00F26C6D">
      <w:pPr>
        <w:pStyle w:val="Restitle"/>
        <w:rPr>
          <w:rtl/>
          <w:lang w:bidi="ar-EG"/>
        </w:rPr>
      </w:pPr>
      <w:bookmarkStart w:id="2" w:name="_Toc327956812"/>
      <w:r>
        <w:rPr>
          <w:rFonts w:hint="cs"/>
          <w:rtl/>
          <w:lang w:bidi="ar-EG"/>
        </w:rPr>
        <w:t>إجراء در</w:t>
      </w:r>
      <w:bookmarkStart w:id="3" w:name="_GoBack"/>
      <w:bookmarkEnd w:id="3"/>
      <w:r>
        <w:rPr>
          <w:rFonts w:hint="cs"/>
          <w:rtl/>
          <w:lang w:bidi="ar-EG"/>
        </w:rPr>
        <w:t xml:space="preserve">اسات بهدف استعراض تعاريف </w:t>
      </w:r>
      <w:r w:rsidRPr="00B76FE9">
        <w:rPr>
          <w:rFonts w:hint="cs"/>
          <w:i/>
          <w:iCs/>
          <w:rtl/>
          <w:lang w:bidi="ar-EG"/>
        </w:rPr>
        <w:t>الخدمة الثابتة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 xml:space="preserve">المحطة الثابتة </w:t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>المحطة المتنقلة</w:t>
      </w:r>
      <w:bookmarkEnd w:id="2"/>
      <w:r>
        <w:rPr>
          <w:rFonts w:hint="cs"/>
          <w:rtl/>
          <w:lang w:bidi="ar-EG"/>
        </w:rPr>
        <w:t xml:space="preserve"> </w:t>
      </w:r>
    </w:p>
    <w:p w:rsidR="002151EE" w:rsidRDefault="00AE4A07" w:rsidP="00C72284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C72284" w:rsidRPr="00C72284">
        <w:rPr>
          <w:rFonts w:hint="cs"/>
          <w:b w:val="0"/>
          <w:bCs w:val="0"/>
          <w:rtl/>
        </w:rPr>
        <w:t xml:space="preserve">لا توجد طريقة أخرى محددة في </w:t>
      </w:r>
      <w:r w:rsidR="00C72284" w:rsidRPr="00C72284">
        <w:rPr>
          <w:b w:val="0"/>
          <w:bCs w:val="0"/>
          <w:color w:val="000000"/>
          <w:rtl/>
        </w:rPr>
        <w:t>تقرير الاجتماع التحضيري للمؤتمر</w:t>
      </w:r>
      <w:r w:rsidR="00C72284">
        <w:rPr>
          <w:rFonts w:hint="cs"/>
          <w:b w:val="0"/>
          <w:bCs w:val="0"/>
          <w:color w:val="000000"/>
          <w:rtl/>
        </w:rPr>
        <w:t>، نتيجة للدورة الدراسية.</w:t>
      </w:r>
    </w:p>
    <w:p w:rsidR="000F5E34" w:rsidRPr="000F5E34" w:rsidRDefault="000F5E34" w:rsidP="000F5E34">
      <w:pPr>
        <w:spacing w:before="600" w:after="160" w:line="259" w:lineRule="auto"/>
        <w:jc w:val="center"/>
        <w:rPr>
          <w:rFonts w:ascii="Traditional Arabic" w:hAnsi="Traditional Arabic"/>
          <w:sz w:val="30"/>
        </w:rPr>
      </w:pPr>
      <w:r>
        <w:rPr>
          <w:rFonts w:ascii="Traditional Arabic" w:hAnsi="Traditional Arabic"/>
          <w:sz w:val="30"/>
          <w:rtl/>
        </w:rPr>
        <w:t>___________</w:t>
      </w:r>
    </w:p>
    <w:sectPr w:rsidR="000F5E34" w:rsidRPr="000F5E3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07" w:rsidRPr="00AE4A07" w:rsidRDefault="00AE4A07" w:rsidP="00AE4A07">
    <w:pPr>
      <w:pStyle w:val="Footer"/>
      <w:tabs>
        <w:tab w:val="clear" w:pos="5812"/>
        <w:tab w:val="left" w:pos="6521"/>
      </w:tabs>
    </w:pPr>
    <w:r>
      <w:fldChar w:fldCharType="begin"/>
    </w:r>
    <w:r w:rsidRPr="00AE4A07">
      <w:instrText xml:space="preserve"> FILENAME \p \* MERGEFORMAT </w:instrText>
    </w:r>
    <w:r>
      <w:fldChar w:fldCharType="separate"/>
    </w:r>
    <w:r w:rsidR="00E95727">
      <w:rPr>
        <w:noProof/>
      </w:rPr>
      <w:t>P:\ARA\ITU-R\CONF-R\CMR15\000\007ADD23ADD01ADD06A.docx</w:t>
    </w:r>
    <w:r>
      <w:fldChar w:fldCharType="end"/>
    </w:r>
    <w:r w:rsidRPr="00AE4A07">
      <w:t xml:space="preserve">   (</w:t>
    </w:r>
    <w:r>
      <w:rPr>
        <w:rFonts w:hint="cs"/>
        <w:rtl/>
      </w:rPr>
      <w:t>387401</w:t>
    </w:r>
    <w:r w:rsidRPr="00AE4A07">
      <w:t>)</w:t>
    </w:r>
    <w:r w:rsidRPr="00AE4A0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95727">
      <w:rPr>
        <w:noProof/>
      </w:rPr>
      <w:t>25.10.15</w:t>
    </w:r>
    <w:r w:rsidRPr="00B12661">
      <w:fldChar w:fldCharType="end"/>
    </w:r>
    <w:r w:rsidRPr="00AE4A0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95727">
      <w:rPr>
        <w:noProof/>
      </w:rPr>
      <w:t>25.10.15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E4A07" w:rsidRDefault="00281F5F" w:rsidP="00AE4A07">
    <w:pPr>
      <w:pStyle w:val="Footer"/>
      <w:tabs>
        <w:tab w:val="clear" w:pos="5812"/>
        <w:tab w:val="left" w:pos="6521"/>
      </w:tabs>
    </w:pPr>
    <w:r>
      <w:fldChar w:fldCharType="begin"/>
    </w:r>
    <w:r w:rsidRPr="00AE4A07">
      <w:instrText xml:space="preserve"> FILENAME \p \* MERGEFORMAT </w:instrText>
    </w:r>
    <w:r>
      <w:fldChar w:fldCharType="separate"/>
    </w:r>
    <w:r w:rsidR="00E95727">
      <w:rPr>
        <w:noProof/>
      </w:rPr>
      <w:t>P:\ARA\ITU-R\CONF-R\CMR15\000\007ADD23ADD01ADD06A.docx</w:t>
    </w:r>
    <w:r>
      <w:fldChar w:fldCharType="end"/>
    </w:r>
    <w:r w:rsidRPr="00AE4A07">
      <w:t xml:space="preserve">   (</w:t>
    </w:r>
    <w:r w:rsidR="00AE4A07">
      <w:rPr>
        <w:rFonts w:hint="cs"/>
        <w:rtl/>
      </w:rPr>
      <w:t>387401</w:t>
    </w:r>
    <w:r w:rsidRPr="00AE4A07">
      <w:t>)</w:t>
    </w:r>
    <w:r w:rsidRPr="00AE4A0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95727">
      <w:rPr>
        <w:noProof/>
      </w:rPr>
      <w:t>25.10.15</w:t>
    </w:r>
    <w:r w:rsidRPr="00B12661">
      <w:fldChar w:fldCharType="end"/>
    </w:r>
    <w:r w:rsidRPr="00AE4A0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95727">
      <w:rPr>
        <w:noProof/>
      </w:rPr>
      <w:t>25.10.15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9572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7(Add.23)(Add.1)(Add.6)-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2049"/>
    <w:rsid w:val="000A1B16"/>
    <w:rsid w:val="000B5404"/>
    <w:rsid w:val="000D1708"/>
    <w:rsid w:val="000E2AFC"/>
    <w:rsid w:val="000E6D30"/>
    <w:rsid w:val="000F05F5"/>
    <w:rsid w:val="000F28EA"/>
    <w:rsid w:val="000F518F"/>
    <w:rsid w:val="000F5E34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51EE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E79C0"/>
    <w:rsid w:val="009F042B"/>
    <w:rsid w:val="009F7BA0"/>
    <w:rsid w:val="00A03FD6"/>
    <w:rsid w:val="00A116A8"/>
    <w:rsid w:val="00A2078E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4A07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2284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86260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5727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7A42AC7-168F-471E-8086-029DCDC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R15-WRC15-C-0007!A23-A1-A6!MSW-A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F4DF-02C2-4549-A438-55FFAD702F8D}">
  <ds:schemaRefs>
    <ds:schemaRef ds:uri="http://schemas.microsoft.com/office/2006/metadata/properties"/>
    <ds:schemaRef ds:uri="32a1a8c5-2265-4ebc-b7a0-2071e2c5c9bb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B71297-6714-4EA0-8351-494C64B0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R15-WRC15-C-0007!A23-A1-A6!MSW-A</vt:lpstr>
    </vt:vector>
  </TitlesOfParts>
  <Manager>General Secretariat - Pool</Manager>
  <Company>International Telecommunication Union (ITU)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R15-WRC15-C-0007!A23-A1-A6!MSW-A</dc:title>
  <dc:creator>Documents Proposals Manager (DPM)</dc:creator>
  <cp:keywords>DPM_v5.2015.10.8_prod</cp:keywords>
  <cp:lastModifiedBy>Saad, Samuel</cp:lastModifiedBy>
  <cp:revision>4</cp:revision>
  <cp:lastPrinted>2015-10-25T09:50:00Z</cp:lastPrinted>
  <dcterms:created xsi:type="dcterms:W3CDTF">2015-10-25T09:47:00Z</dcterms:created>
  <dcterms:modified xsi:type="dcterms:W3CDTF">2015-10-25T09:50:00Z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