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622560" w:rsidTr="009062D1">
        <w:trPr>
          <w:cantSplit/>
        </w:trPr>
        <w:tc>
          <w:tcPr>
            <w:tcW w:w="6096"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35"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B7ED4F4" wp14:editId="7BBC81A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9062D1">
        <w:trPr>
          <w:cantSplit/>
        </w:trPr>
        <w:tc>
          <w:tcPr>
            <w:tcW w:w="6096"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35"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9062D1">
        <w:trPr>
          <w:cantSplit/>
        </w:trPr>
        <w:tc>
          <w:tcPr>
            <w:tcW w:w="6096"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935"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9062D1">
        <w:trPr>
          <w:cantSplit/>
          <w:trHeight w:val="23"/>
        </w:trPr>
        <w:tc>
          <w:tcPr>
            <w:tcW w:w="6096"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935"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9062D1">
              <w:rPr>
                <w:rFonts w:ascii="Verdana" w:hAnsi="Verdana" w:cs="Traditional Arabic"/>
                <w:b/>
                <w:sz w:val="20"/>
              </w:rPr>
              <w:t xml:space="preserve"> 7</w:t>
            </w:r>
            <w:r w:rsidR="00251CE7">
              <w:rPr>
                <w:rFonts w:ascii="Verdana" w:hAnsi="Verdana" w:cs="Traditional Arabic"/>
                <w:b/>
                <w:sz w:val="20"/>
              </w:rPr>
              <w:t>(Add.23)(Add.1)(Add.6</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9062D1">
        <w:trPr>
          <w:cantSplit/>
          <w:trHeight w:val="23"/>
        </w:trPr>
        <w:tc>
          <w:tcPr>
            <w:tcW w:w="6096" w:type="dxa"/>
            <w:shd w:val="clear" w:color="auto" w:fill="auto"/>
          </w:tcPr>
          <w:p w:rsidR="008221A4" w:rsidRPr="00C324A8" w:rsidRDefault="008221A4" w:rsidP="00A466E6">
            <w:pPr>
              <w:spacing w:before="0"/>
              <w:rPr>
                <w:rFonts w:ascii="Verdana" w:hAnsi="Verdana"/>
                <w:b/>
                <w:smallCaps/>
                <w:sz w:val="20"/>
              </w:rPr>
            </w:pPr>
          </w:p>
        </w:tc>
        <w:tc>
          <w:tcPr>
            <w:tcW w:w="3935"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9062D1">
        <w:trPr>
          <w:cantSplit/>
          <w:trHeight w:val="23"/>
        </w:trPr>
        <w:tc>
          <w:tcPr>
            <w:tcW w:w="6096" w:type="dxa"/>
          </w:tcPr>
          <w:p w:rsidR="008221A4" w:rsidRPr="00CB4E5A" w:rsidRDefault="008221A4" w:rsidP="00A466E6">
            <w:pPr>
              <w:spacing w:before="0"/>
              <w:rPr>
                <w:rFonts w:ascii="Verdana" w:hAnsi="Verdana"/>
                <w:b/>
                <w:bCs/>
                <w:sz w:val="20"/>
              </w:rPr>
            </w:pPr>
          </w:p>
        </w:tc>
        <w:tc>
          <w:tcPr>
            <w:tcW w:w="3935"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rsidRPr="0032742A">
        <w:trPr>
          <w:cantSplit/>
        </w:trPr>
        <w:tc>
          <w:tcPr>
            <w:tcW w:w="10031" w:type="dxa"/>
            <w:gridSpan w:val="2"/>
          </w:tcPr>
          <w:p w:rsidR="008221A4" w:rsidRPr="00604581" w:rsidRDefault="00F836CA" w:rsidP="00604581">
            <w:pPr>
              <w:pStyle w:val="Title1"/>
            </w:pPr>
            <w:bookmarkStart w:id="5" w:name="dtitle1" w:colFirst="0" w:colLast="0"/>
            <w:bookmarkEnd w:id="4"/>
            <w:proofErr w:type="spellStart"/>
            <w:r w:rsidRPr="00604581">
              <w:rPr>
                <w:rFonts w:hint="eastAsia"/>
              </w:rPr>
              <w:t>有关大会工作的提案</w:t>
            </w:r>
            <w:proofErr w:type="spellEnd"/>
          </w:p>
        </w:tc>
      </w:tr>
      <w:tr w:rsidR="008221A4" w:rsidRPr="0032742A">
        <w:trPr>
          <w:cantSplit/>
        </w:trPr>
        <w:tc>
          <w:tcPr>
            <w:tcW w:w="10031" w:type="dxa"/>
            <w:gridSpan w:val="2"/>
          </w:tcPr>
          <w:p w:rsidR="008221A4" w:rsidRPr="0032742A" w:rsidRDefault="008221A4" w:rsidP="008221A4">
            <w:pPr>
              <w:pStyle w:val="Title2"/>
              <w:rPr>
                <w:lang w:val="en-US"/>
              </w:rPr>
            </w:pPr>
            <w:bookmarkStart w:id="6" w:name="dtitle2" w:colFirst="0" w:colLast="0"/>
            <w:bookmarkEnd w:id="5"/>
          </w:p>
        </w:tc>
      </w:tr>
      <w:tr w:rsidR="008221A4">
        <w:trPr>
          <w:cantSplit/>
        </w:trPr>
        <w:tc>
          <w:tcPr>
            <w:tcW w:w="10031" w:type="dxa"/>
            <w:gridSpan w:val="2"/>
          </w:tcPr>
          <w:p w:rsidR="008221A4" w:rsidRPr="00604581" w:rsidRDefault="00604581" w:rsidP="00604581">
            <w:pPr>
              <w:pStyle w:val="Agendaitem"/>
            </w:pPr>
            <w:bookmarkStart w:id="7" w:name="dtitle3" w:colFirst="0" w:colLast="0"/>
            <w:bookmarkEnd w:id="6"/>
            <w:r w:rsidRPr="00604581">
              <w:t>议项</w:t>
            </w:r>
            <w:r w:rsidRPr="00604581">
              <w:t>9.1(9.1.6)</w:t>
            </w:r>
            <w:bookmarkStart w:id="8" w:name="_GoBack"/>
            <w:bookmarkEnd w:id="8"/>
          </w:p>
        </w:tc>
      </w:tr>
    </w:tbl>
    <w:bookmarkEnd w:id="7"/>
    <w:p w:rsidR="00A82E1E" w:rsidRDefault="00A82E1E" w:rsidP="00AA2DD4">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A82E1E" w:rsidRDefault="00A82E1E" w:rsidP="00A82E1E">
      <w:pPr>
        <w:rPr>
          <w:lang w:eastAsia="zh-CN"/>
        </w:rPr>
      </w:pPr>
      <w:r w:rsidRPr="009C33AA">
        <w:rPr>
          <w:lang w:eastAsia="zh-CN"/>
        </w:rPr>
        <w:t>9.1</w:t>
      </w:r>
      <w:r w:rsidRPr="009C33AA">
        <w:rPr>
          <w:b/>
          <w:lang w:eastAsia="zh-CN"/>
        </w:rPr>
        <w:tab/>
      </w:r>
      <w:r w:rsidRPr="009C33AA">
        <w:rPr>
          <w:rFonts w:hint="eastAsia"/>
          <w:lang w:eastAsia="zh-CN"/>
        </w:rPr>
        <w:t>自</w:t>
      </w:r>
      <w:r w:rsidRPr="009C33AA">
        <w:rPr>
          <w:lang w:eastAsia="zh-CN"/>
        </w:rPr>
        <w:t>WRC-12</w:t>
      </w:r>
      <w:r w:rsidRPr="009C33AA">
        <w:rPr>
          <w:rFonts w:hint="eastAsia"/>
          <w:lang w:eastAsia="zh-CN"/>
        </w:rPr>
        <w:t>以来无线电通信部门的活动；</w:t>
      </w:r>
    </w:p>
    <w:p w:rsidR="00F836CA" w:rsidRPr="00207DE6" w:rsidRDefault="00267BAE" w:rsidP="00A82E1E">
      <w:pPr>
        <w:rPr>
          <w:spacing w:val="-1"/>
          <w:lang w:eastAsia="zh-CN"/>
        </w:rPr>
      </w:pPr>
      <w:r w:rsidRPr="009C33AA">
        <w:rPr>
          <w:lang w:eastAsia="zh-CN"/>
        </w:rPr>
        <w:t>9.1</w:t>
      </w:r>
      <w:r>
        <w:rPr>
          <w:lang w:eastAsia="zh-CN"/>
        </w:rPr>
        <w:t>(9.1.6)</w:t>
      </w:r>
      <w:r w:rsidRPr="009C33AA">
        <w:rPr>
          <w:b/>
          <w:lang w:eastAsia="zh-CN"/>
        </w:rPr>
        <w:tab/>
      </w:r>
      <w:r>
        <w:rPr>
          <w:rFonts w:hint="eastAsia"/>
          <w:lang w:eastAsia="zh-CN"/>
        </w:rPr>
        <w:t>第</w:t>
      </w:r>
      <w:r w:rsidRPr="001D720F">
        <w:rPr>
          <w:rFonts w:hint="eastAsia"/>
          <w:b/>
          <w:bCs/>
          <w:lang w:eastAsia="zh-CN"/>
        </w:rPr>
        <w:t>957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604581">
        <w:rPr>
          <w:lang w:eastAsia="zh-CN"/>
        </w:rPr>
        <w:t>–</w:t>
      </w:r>
      <w:r>
        <w:rPr>
          <w:rFonts w:hint="eastAsia"/>
          <w:lang w:eastAsia="zh-CN"/>
        </w:rPr>
        <w:t xml:space="preserve"> </w:t>
      </w:r>
      <w:r>
        <w:rPr>
          <w:rFonts w:hint="eastAsia"/>
          <w:lang w:eastAsia="zh-CN"/>
        </w:rPr>
        <w:t>旨在审议固定业务、固定电台和移动电台定义的研究</w:t>
      </w:r>
    </w:p>
    <w:p w:rsidR="00AA2DD4" w:rsidRPr="00676FBA" w:rsidRDefault="00AA2DD4" w:rsidP="00A82E1E">
      <w:pPr>
        <w:rPr>
          <w:rFonts w:hint="eastAsia"/>
          <w:lang w:eastAsia="zh-CN"/>
        </w:rPr>
      </w:pPr>
    </w:p>
    <w:p w:rsidR="0032742A" w:rsidRPr="00ED18F9" w:rsidRDefault="00312229" w:rsidP="00312229">
      <w:pPr>
        <w:pStyle w:val="Headingb"/>
        <w:rPr>
          <w:bCs/>
          <w:szCs w:val="24"/>
          <w:lang w:eastAsia="zh-CN"/>
        </w:rPr>
      </w:pPr>
      <w:r>
        <w:rPr>
          <w:rFonts w:hint="eastAsia"/>
          <w:lang w:eastAsia="zh-CN"/>
        </w:rPr>
        <w:t>背景</w:t>
      </w:r>
    </w:p>
    <w:p w:rsidR="00312229" w:rsidRDefault="00312229" w:rsidP="00312229">
      <w:pPr>
        <w:ind w:firstLineChars="200" w:firstLine="480"/>
        <w:rPr>
          <w:lang w:eastAsia="zh-CN"/>
        </w:rPr>
      </w:pPr>
      <w:r>
        <w:rPr>
          <w:lang w:eastAsia="zh-CN"/>
        </w:rPr>
        <w:t>ITU-R</w:t>
      </w:r>
      <w:r>
        <w:rPr>
          <w:rFonts w:hint="eastAsia"/>
          <w:lang w:eastAsia="zh-CN"/>
        </w:rPr>
        <w:t>按照第</w:t>
      </w:r>
      <w:r w:rsidRPr="00B060EC">
        <w:rPr>
          <w:lang w:eastAsia="zh-CN"/>
        </w:rPr>
        <w:t>957</w:t>
      </w:r>
      <w:r w:rsidRPr="00B060EC">
        <w:rPr>
          <w:rFonts w:hint="eastAsia"/>
          <w:lang w:eastAsia="zh-CN"/>
        </w:rPr>
        <w:t>号决议（</w:t>
      </w:r>
      <w:r w:rsidRPr="00B060EC">
        <w:rPr>
          <w:lang w:eastAsia="zh-CN"/>
        </w:rPr>
        <w:t>WRC-12</w:t>
      </w:r>
      <w:r w:rsidRPr="00B060EC">
        <w:rPr>
          <w:rFonts w:hint="eastAsia"/>
          <w:lang w:eastAsia="zh-CN"/>
        </w:rPr>
        <w:t>）</w:t>
      </w:r>
      <w:r>
        <w:rPr>
          <w:rFonts w:hint="eastAsia"/>
          <w:lang w:eastAsia="zh-CN"/>
        </w:rPr>
        <w:t>开展了研究工作。在研究过程中，仔细审议了</w:t>
      </w:r>
      <w:r>
        <w:rPr>
          <w:rFonts w:ascii="STKaiti" w:eastAsia="STKaiti" w:hAnsi="STKaiti" w:hint="eastAsia"/>
          <w:lang w:eastAsia="zh-CN"/>
        </w:rPr>
        <w:t>固定业务</w:t>
      </w:r>
      <w:r>
        <w:rPr>
          <w:rFonts w:ascii="STKaiti" w:eastAsia="STKaiti" w:hAnsi="STKaiti" w:hint="eastAsia"/>
          <w:lang w:val="en-US" w:eastAsia="zh-CN"/>
        </w:rPr>
        <w:t>、</w:t>
      </w:r>
      <w:r>
        <w:rPr>
          <w:rFonts w:ascii="STKaiti" w:eastAsia="STKaiti" w:hAnsi="STKaiti" w:hint="eastAsia"/>
          <w:lang w:eastAsia="zh-CN"/>
        </w:rPr>
        <w:t>固定台站和移动台站</w:t>
      </w:r>
      <w:r>
        <w:rPr>
          <w:rFonts w:hint="eastAsia"/>
          <w:lang w:eastAsia="zh-CN"/>
        </w:rPr>
        <w:t>的定义，同时研究了对这些定义做出可能修改将对《无线电规则》（</w:t>
      </w:r>
      <w:r>
        <w:rPr>
          <w:lang w:eastAsia="zh-CN"/>
        </w:rPr>
        <w:t>RR</w:t>
      </w:r>
      <w:r>
        <w:rPr>
          <w:rFonts w:hint="eastAsia"/>
          <w:lang w:eastAsia="zh-CN"/>
        </w:rPr>
        <w:t>）规定的程序（协调、通知和登记）带来的潜在影响以及对现有频率指配和其它业务产生的影响。</w:t>
      </w:r>
    </w:p>
    <w:p w:rsidR="00EC6A7C" w:rsidRDefault="00312229" w:rsidP="002573A2">
      <w:pPr>
        <w:ind w:firstLineChars="200" w:firstLine="480"/>
        <w:rPr>
          <w:lang w:eastAsia="zh-CN"/>
        </w:rPr>
      </w:pPr>
      <w:r>
        <w:rPr>
          <w:rFonts w:hint="eastAsia"/>
          <w:lang w:eastAsia="zh-CN"/>
        </w:rPr>
        <w:t>负责小组</w:t>
      </w:r>
      <w:r w:rsidR="000952F6">
        <w:rPr>
          <w:rFonts w:hint="eastAsia"/>
          <w:lang w:eastAsia="zh-CN"/>
        </w:rPr>
        <w:t>（</w:t>
      </w:r>
      <w:r w:rsidR="000952F6">
        <w:rPr>
          <w:rFonts w:hint="eastAsia"/>
          <w:lang w:eastAsia="zh-CN"/>
        </w:rPr>
        <w:t>1B</w:t>
      </w:r>
      <w:r w:rsidR="000952F6">
        <w:rPr>
          <w:rFonts w:hint="eastAsia"/>
          <w:lang w:eastAsia="zh-CN"/>
        </w:rPr>
        <w:t>工作组）</w:t>
      </w:r>
      <w:r>
        <w:rPr>
          <w:rFonts w:hint="eastAsia"/>
          <w:lang w:eastAsia="zh-CN"/>
        </w:rPr>
        <w:t>讨论了主管部门和相关组织提出的文稿和提案并及时向相关组通报了有关该问题的最新进展。</w:t>
      </w:r>
    </w:p>
    <w:p w:rsidR="00312229" w:rsidRDefault="002573A2" w:rsidP="00070CCE">
      <w:pPr>
        <w:ind w:firstLineChars="200" w:firstLine="480"/>
        <w:rPr>
          <w:lang w:val="en-US" w:eastAsia="zh-CN"/>
        </w:rPr>
      </w:pPr>
      <w:r>
        <w:rPr>
          <w:rFonts w:hint="eastAsia"/>
          <w:lang w:eastAsia="zh-CN"/>
        </w:rPr>
        <w:t>相关组做出的响应已被考虑在内。</w:t>
      </w:r>
      <w:r w:rsidR="00312229">
        <w:rPr>
          <w:rFonts w:hint="eastAsia"/>
          <w:lang w:eastAsia="zh-CN"/>
        </w:rPr>
        <w:t>在所收到文稿和联络声明的基础上并通过全面彻底的讨论，</w:t>
      </w:r>
      <w:r w:rsidR="00312229">
        <w:rPr>
          <w:lang w:eastAsia="zh-CN"/>
        </w:rPr>
        <w:t>ITU-R</w:t>
      </w:r>
      <w:r w:rsidR="00312229">
        <w:rPr>
          <w:rFonts w:hint="eastAsia"/>
          <w:lang w:eastAsia="zh-CN"/>
        </w:rPr>
        <w:t>提出一项有关规则和程序方面的考虑，即，</w:t>
      </w:r>
      <w:r w:rsidR="00312229" w:rsidRPr="0041629E">
        <w:rPr>
          <w:rFonts w:hint="eastAsia"/>
          <w:lang w:eastAsia="zh-CN"/>
        </w:rPr>
        <w:t>删除第</w:t>
      </w:r>
      <w:r w:rsidR="00312229" w:rsidRPr="0041629E">
        <w:rPr>
          <w:lang w:eastAsia="zh-CN"/>
        </w:rPr>
        <w:t>957</w:t>
      </w:r>
      <w:r w:rsidR="00312229" w:rsidRPr="0041629E">
        <w:rPr>
          <w:rFonts w:hint="eastAsia"/>
          <w:lang w:eastAsia="zh-CN"/>
        </w:rPr>
        <w:t>号决议（</w:t>
      </w:r>
      <w:r w:rsidR="00312229" w:rsidRPr="0041629E">
        <w:rPr>
          <w:lang w:eastAsia="zh-CN"/>
        </w:rPr>
        <w:t>WRC-12</w:t>
      </w:r>
      <w:r w:rsidR="00312229" w:rsidRPr="0041629E">
        <w:rPr>
          <w:rFonts w:hint="eastAsia"/>
          <w:lang w:eastAsia="zh-CN"/>
        </w:rPr>
        <w:t>），</w:t>
      </w:r>
      <w:r w:rsidR="00312229">
        <w:rPr>
          <w:rFonts w:hint="eastAsia"/>
          <w:lang w:eastAsia="zh-CN"/>
        </w:rPr>
        <w:t>以满足议项</w:t>
      </w:r>
      <w:r w:rsidR="00312229">
        <w:rPr>
          <w:lang w:val="en-US" w:eastAsia="zh-CN"/>
        </w:rPr>
        <w:t>9.1</w:t>
      </w:r>
      <w:r w:rsidR="00312229">
        <w:rPr>
          <w:rFonts w:hint="eastAsia"/>
          <w:lang w:val="en-US" w:eastAsia="zh-CN"/>
        </w:rPr>
        <w:t>中有关解决</w:t>
      </w:r>
      <w:r w:rsidR="00312229">
        <w:rPr>
          <w:lang w:val="en-US" w:eastAsia="zh-CN"/>
        </w:rPr>
        <w:t>9.1.6</w:t>
      </w:r>
      <w:r w:rsidR="00312229">
        <w:rPr>
          <w:rFonts w:hint="eastAsia"/>
          <w:lang w:val="en-US" w:eastAsia="zh-CN"/>
        </w:rPr>
        <w:t>问题的要求，同时考虑保留《无线电规则》第</w:t>
      </w:r>
      <w:r w:rsidR="00312229" w:rsidRPr="00A023E1">
        <w:rPr>
          <w:lang w:val="en-US" w:eastAsia="zh-CN"/>
        </w:rPr>
        <w:t>1</w:t>
      </w:r>
      <w:r w:rsidR="00312229">
        <w:rPr>
          <w:rFonts w:hint="eastAsia"/>
          <w:lang w:val="en-US" w:eastAsia="zh-CN"/>
        </w:rPr>
        <w:t>条中现有有关</w:t>
      </w:r>
      <w:r w:rsidR="00312229">
        <w:rPr>
          <w:rFonts w:ascii="STKaiti" w:eastAsia="STKaiti" w:hAnsi="STKaiti" w:hint="eastAsia"/>
          <w:lang w:val="en-US" w:eastAsia="zh-CN"/>
        </w:rPr>
        <w:t>固定业务、固定台站</w:t>
      </w:r>
      <w:r w:rsidR="00312229" w:rsidRPr="007713B8">
        <w:rPr>
          <w:rFonts w:asciiTheme="minorEastAsia" w:eastAsiaTheme="minorEastAsia" w:hAnsiTheme="minorEastAsia" w:hint="eastAsia"/>
          <w:lang w:val="en-US" w:eastAsia="zh-CN"/>
        </w:rPr>
        <w:t>和</w:t>
      </w:r>
      <w:r w:rsidR="00312229">
        <w:rPr>
          <w:rFonts w:ascii="STKaiti" w:eastAsia="STKaiti" w:hAnsi="STKaiti" w:hint="eastAsia"/>
          <w:lang w:val="en-US" w:eastAsia="zh-CN"/>
        </w:rPr>
        <w:t>移动台站</w:t>
      </w:r>
      <w:r w:rsidR="00312229">
        <w:rPr>
          <w:rFonts w:hint="eastAsia"/>
          <w:lang w:eastAsia="zh-CN"/>
        </w:rPr>
        <w:t>的定义将能够使人们适应未来技术变化</w:t>
      </w:r>
      <w:r w:rsidR="00DA7A24">
        <w:rPr>
          <w:rFonts w:hint="eastAsia"/>
          <w:lang w:val="en-US" w:eastAsia="zh-CN"/>
        </w:rPr>
        <w:t>，同时在现有《无线电规则》中保持足够灵活性。</w:t>
      </w:r>
    </w:p>
    <w:p w:rsidR="0032742A" w:rsidRPr="00ED18F9" w:rsidRDefault="00312229" w:rsidP="00312229">
      <w:pPr>
        <w:ind w:firstLineChars="200" w:firstLine="480"/>
        <w:rPr>
          <w:szCs w:val="24"/>
          <w:lang w:eastAsia="zh-CN"/>
        </w:rPr>
      </w:pPr>
      <w:r>
        <w:rPr>
          <w:rFonts w:hint="eastAsia"/>
          <w:lang w:eastAsia="zh-CN"/>
        </w:rPr>
        <w:t>此外，目前得出的结论是，没有必要制定有关该问题的</w:t>
      </w:r>
      <w:r>
        <w:rPr>
          <w:lang w:eastAsia="zh-CN"/>
        </w:rPr>
        <w:t>ITU-R</w:t>
      </w:r>
      <w:r>
        <w:rPr>
          <w:rFonts w:hint="eastAsia"/>
          <w:lang w:eastAsia="zh-CN"/>
        </w:rPr>
        <w:t>新报告。</w:t>
      </w:r>
    </w:p>
    <w:p w:rsidR="00574F7E" w:rsidRDefault="00312229" w:rsidP="00EC6A7C">
      <w:pPr>
        <w:ind w:firstLineChars="200" w:firstLine="480"/>
        <w:rPr>
          <w:lang w:val="en-US" w:eastAsia="zh-CN"/>
        </w:rPr>
      </w:pPr>
      <w:r>
        <w:rPr>
          <w:rFonts w:hint="eastAsia"/>
          <w:lang w:eastAsia="zh-CN"/>
        </w:rPr>
        <w:t>根据</w:t>
      </w:r>
      <w:r>
        <w:rPr>
          <w:lang w:eastAsia="zh-CN"/>
        </w:rPr>
        <w:t>WRC-12</w:t>
      </w:r>
      <w:r>
        <w:rPr>
          <w:rFonts w:hint="eastAsia"/>
          <w:lang w:eastAsia="zh-CN"/>
        </w:rPr>
        <w:t>议程</w:t>
      </w:r>
      <w:r>
        <w:rPr>
          <w:lang w:eastAsia="zh-CN"/>
        </w:rPr>
        <w:t>1.2</w:t>
      </w:r>
      <w:r>
        <w:rPr>
          <w:rFonts w:hint="eastAsia"/>
          <w:lang w:eastAsia="zh-CN"/>
        </w:rPr>
        <w:t>开展的有关解决固定</w:t>
      </w:r>
      <w:r>
        <w:rPr>
          <w:lang w:eastAsia="zh-CN"/>
        </w:rPr>
        <w:t xml:space="preserve"> – </w:t>
      </w:r>
      <w:r>
        <w:rPr>
          <w:rFonts w:hint="eastAsia"/>
          <w:lang w:eastAsia="zh-CN"/>
        </w:rPr>
        <w:t>移动融合问题的研究工作，</w:t>
      </w:r>
      <w:r>
        <w:rPr>
          <w:lang w:eastAsia="zh-CN"/>
        </w:rPr>
        <w:t>WRC-12</w:t>
      </w:r>
      <w:r>
        <w:rPr>
          <w:rFonts w:hint="eastAsia"/>
          <w:lang w:eastAsia="zh-CN"/>
        </w:rPr>
        <w:t>考虑了对《无线电规则》第</w:t>
      </w:r>
      <w:r w:rsidRPr="00BD5469">
        <w:rPr>
          <w:lang w:eastAsia="zh-CN"/>
        </w:rPr>
        <w:t>1</w:t>
      </w:r>
      <w:r>
        <w:rPr>
          <w:rFonts w:hint="eastAsia"/>
          <w:lang w:eastAsia="zh-CN"/>
        </w:rPr>
        <w:t>条中有关</w:t>
      </w:r>
      <w:r>
        <w:rPr>
          <w:rFonts w:ascii="STKaiti" w:eastAsia="STKaiti" w:hAnsi="STKaiti" w:hint="eastAsia"/>
          <w:lang w:val="en-US" w:eastAsia="zh-CN"/>
        </w:rPr>
        <w:t>固定业务、固定台站</w:t>
      </w:r>
      <w:r w:rsidRPr="0034359A">
        <w:rPr>
          <w:rFonts w:asciiTheme="minorEastAsia" w:eastAsiaTheme="minorEastAsia" w:hAnsiTheme="minorEastAsia" w:hint="eastAsia"/>
          <w:lang w:val="en-US" w:eastAsia="zh-CN"/>
        </w:rPr>
        <w:t>和</w:t>
      </w:r>
      <w:r>
        <w:rPr>
          <w:rFonts w:ascii="STKaiti" w:eastAsia="STKaiti" w:hAnsi="STKaiti" w:hint="eastAsia"/>
          <w:lang w:val="en-US" w:eastAsia="zh-CN"/>
        </w:rPr>
        <w:t>移动台站</w:t>
      </w:r>
      <w:r>
        <w:rPr>
          <w:rFonts w:hint="eastAsia"/>
          <w:lang w:val="en-US" w:eastAsia="zh-CN"/>
        </w:rPr>
        <w:t>定义做出某些修订这一事宜，但决定，该问题应由</w:t>
      </w:r>
      <w:r>
        <w:rPr>
          <w:lang w:val="en-US" w:eastAsia="zh-CN"/>
        </w:rPr>
        <w:t>WRC-15</w:t>
      </w:r>
      <w:r>
        <w:rPr>
          <w:rFonts w:hint="eastAsia"/>
          <w:lang w:val="en-US" w:eastAsia="zh-CN"/>
        </w:rPr>
        <w:t>在无线电通信局主任报告基础上做出进一步审议和研究。</w:t>
      </w:r>
    </w:p>
    <w:p w:rsidR="0032742A" w:rsidRDefault="00312229" w:rsidP="00EC6A7C">
      <w:pPr>
        <w:ind w:firstLineChars="200" w:firstLine="480"/>
        <w:rPr>
          <w:szCs w:val="24"/>
          <w:lang w:eastAsia="zh-CN"/>
        </w:rPr>
      </w:pPr>
      <w:r>
        <w:rPr>
          <w:lang w:val="en-US" w:eastAsia="zh-CN"/>
        </w:rPr>
        <w:lastRenderedPageBreak/>
        <w:t>WRC-12</w:t>
      </w:r>
      <w:r>
        <w:rPr>
          <w:rFonts w:hint="eastAsia"/>
          <w:lang w:val="en-US" w:eastAsia="zh-CN"/>
        </w:rPr>
        <w:t>议项</w:t>
      </w:r>
      <w:r>
        <w:rPr>
          <w:lang w:val="en-US" w:eastAsia="zh-CN"/>
        </w:rPr>
        <w:t>1.2</w:t>
      </w:r>
      <w:r>
        <w:rPr>
          <w:rFonts w:hint="eastAsia"/>
          <w:lang w:val="en-US" w:eastAsia="zh-CN"/>
        </w:rPr>
        <w:t>涉及更为广泛的有关改善国际规则框架的问题，但</w:t>
      </w:r>
      <w:r>
        <w:rPr>
          <w:lang w:val="en-US" w:eastAsia="zh-CN"/>
        </w:rPr>
        <w:t>WRC-15</w:t>
      </w:r>
      <w:r>
        <w:rPr>
          <w:rFonts w:hint="eastAsia"/>
          <w:lang w:val="en-US" w:eastAsia="zh-CN"/>
        </w:rPr>
        <w:t>议项</w:t>
      </w:r>
      <w:r>
        <w:rPr>
          <w:lang w:val="en-US" w:eastAsia="zh-CN"/>
        </w:rPr>
        <w:t>9.1</w:t>
      </w:r>
      <w:r>
        <w:rPr>
          <w:rFonts w:hint="eastAsia"/>
          <w:lang w:val="en-US" w:eastAsia="zh-CN"/>
        </w:rPr>
        <w:t>中的</w:t>
      </w:r>
      <w:r>
        <w:rPr>
          <w:lang w:val="en-US" w:eastAsia="zh-CN"/>
        </w:rPr>
        <w:t>9.1.6</w:t>
      </w:r>
      <w:r>
        <w:rPr>
          <w:rFonts w:hint="eastAsia"/>
          <w:lang w:val="en-US" w:eastAsia="zh-CN"/>
        </w:rPr>
        <w:t>问题重点专门集中于对这三项定义可能做出的修改，以解决融合问题并支持实施高效的频谱管理做法和有效频谱使用。</w:t>
      </w:r>
    </w:p>
    <w:p w:rsidR="00312229" w:rsidRDefault="00312229" w:rsidP="0093260B">
      <w:pPr>
        <w:ind w:firstLineChars="200" w:firstLine="480"/>
        <w:rPr>
          <w:lang w:eastAsia="zh-CN"/>
        </w:rPr>
      </w:pPr>
      <w:r>
        <w:rPr>
          <w:rFonts w:eastAsiaTheme="minorEastAsia" w:hint="eastAsia"/>
          <w:lang w:eastAsia="zh-CN"/>
        </w:rPr>
        <w:t>负责卫星和地面业务的</w:t>
      </w:r>
      <w:r w:rsidR="0093260B">
        <w:rPr>
          <w:rFonts w:eastAsiaTheme="minorEastAsia" w:hint="eastAsia"/>
          <w:lang w:eastAsia="zh-CN"/>
        </w:rPr>
        <w:t>提供文稿</w:t>
      </w:r>
      <w:r>
        <w:rPr>
          <w:rFonts w:eastAsiaTheme="minorEastAsia" w:hint="eastAsia"/>
          <w:lang w:eastAsia="zh-CN"/>
        </w:rPr>
        <w:t>工作组表明：</w:t>
      </w:r>
    </w:p>
    <w:p w:rsidR="00312229" w:rsidRDefault="00312229" w:rsidP="00312229">
      <w:pPr>
        <w:pStyle w:val="enumlev1"/>
        <w:rPr>
          <w:lang w:eastAsia="zh-CN"/>
        </w:rPr>
      </w:pPr>
      <w:r>
        <w:rPr>
          <w:lang w:eastAsia="zh-CN"/>
        </w:rPr>
        <w:t>–</w:t>
      </w:r>
      <w:r>
        <w:rPr>
          <w:lang w:eastAsia="zh-CN"/>
        </w:rPr>
        <w:tab/>
      </w:r>
      <w:r>
        <w:rPr>
          <w:rFonts w:hint="eastAsia"/>
          <w:lang w:eastAsia="zh-CN"/>
        </w:rPr>
        <w:t>有关对固定业务、固定台站和移动台站定义做出可能修改的问题已在前两届</w:t>
      </w:r>
      <w:r>
        <w:rPr>
          <w:lang w:eastAsia="zh-CN"/>
        </w:rPr>
        <w:t>WRC</w:t>
      </w:r>
      <w:r>
        <w:rPr>
          <w:rFonts w:hint="eastAsia"/>
          <w:lang w:eastAsia="zh-CN"/>
        </w:rPr>
        <w:t>上做过广泛讨论；</w:t>
      </w:r>
    </w:p>
    <w:p w:rsidR="00312229" w:rsidRDefault="00312229" w:rsidP="00312229">
      <w:pPr>
        <w:pStyle w:val="enumlev1"/>
        <w:rPr>
          <w:lang w:eastAsia="zh-CN"/>
        </w:rPr>
      </w:pPr>
      <w:r>
        <w:rPr>
          <w:lang w:eastAsia="zh-CN"/>
        </w:rPr>
        <w:t>–</w:t>
      </w:r>
      <w:r>
        <w:rPr>
          <w:lang w:eastAsia="zh-CN"/>
        </w:rPr>
        <w:tab/>
      </w:r>
      <w:r>
        <w:rPr>
          <w:rFonts w:hint="eastAsia"/>
          <w:lang w:eastAsia="zh-CN"/>
        </w:rPr>
        <w:t>这种修改将对众多不同卫星无线电业务</w:t>
      </w:r>
      <w:r>
        <w:rPr>
          <w:lang w:eastAsia="zh-CN"/>
        </w:rPr>
        <w:t>/</w:t>
      </w:r>
      <w:r>
        <w:rPr>
          <w:rFonts w:hint="eastAsia"/>
          <w:lang w:eastAsia="zh-CN"/>
        </w:rPr>
        <w:t>系统的操作带来负面影响，因为这种修改将完全改变空间业务的共用和干扰环境，使主管部门的卫星网络和地面业务之间的协调工作变得极为困难，如果不是无法进行的话；</w:t>
      </w:r>
    </w:p>
    <w:p w:rsidR="00312229" w:rsidRDefault="00312229" w:rsidP="00312229">
      <w:pPr>
        <w:pStyle w:val="enumlev1"/>
        <w:rPr>
          <w:lang w:eastAsia="zh-CN"/>
        </w:rPr>
      </w:pPr>
      <w:r>
        <w:rPr>
          <w:lang w:eastAsia="zh-CN"/>
        </w:rPr>
        <w:t>–</w:t>
      </w:r>
      <w:r>
        <w:rPr>
          <w:lang w:eastAsia="zh-CN"/>
        </w:rPr>
        <w:tab/>
      </w:r>
      <w:bookmarkStart w:id="9" w:name="_Toc398287302"/>
      <w:r>
        <w:rPr>
          <w:rFonts w:hint="eastAsia"/>
          <w:lang w:eastAsia="zh-CN"/>
        </w:rPr>
        <w:t>由于目前并未了解到对现有定义存在任何问题，因此，没有必要按照该议项对固定业务、固定台站和移动台站定义做出任何修改。</w:t>
      </w:r>
      <w:bookmarkEnd w:id="9"/>
    </w:p>
    <w:p w:rsidR="0032742A" w:rsidRPr="0003003C" w:rsidRDefault="00A16FAF" w:rsidP="006D5A3D">
      <w:pPr>
        <w:pStyle w:val="Headingb"/>
        <w:rPr>
          <w:lang w:eastAsia="zh-CN"/>
        </w:rPr>
      </w:pPr>
      <w:r>
        <w:rPr>
          <w:rFonts w:hint="eastAsia"/>
          <w:lang w:eastAsia="zh-CN"/>
        </w:rPr>
        <w:t>提案</w:t>
      </w:r>
    </w:p>
    <w:p w:rsidR="00B463B1" w:rsidRDefault="00EC6A7C">
      <w:pPr>
        <w:pStyle w:val="Proposal"/>
        <w:rPr>
          <w:lang w:eastAsia="zh-CN"/>
        </w:rPr>
      </w:pPr>
      <w:r>
        <w:rPr>
          <w:lang w:eastAsia="zh-CN"/>
        </w:rPr>
        <w:t>SUP</w:t>
      </w:r>
      <w:r>
        <w:rPr>
          <w:lang w:eastAsia="zh-CN"/>
        </w:rPr>
        <w:tab/>
        <w:t>IAP/7A23A1A6/1</w:t>
      </w:r>
    </w:p>
    <w:p w:rsidR="007B4F46" w:rsidRPr="0032742A" w:rsidRDefault="00EC6A7C" w:rsidP="000E384D">
      <w:pPr>
        <w:pStyle w:val="ResNo"/>
        <w:rPr>
          <w:lang w:eastAsia="zh-CN"/>
        </w:rPr>
      </w:pPr>
      <w:bookmarkStart w:id="10" w:name="_Toc328053260"/>
      <w:r w:rsidRPr="0032742A">
        <w:rPr>
          <w:rFonts w:hint="eastAsia"/>
          <w:lang w:eastAsia="zh-CN"/>
        </w:rPr>
        <w:t>第</w:t>
      </w:r>
      <w:r w:rsidRPr="0032742A">
        <w:rPr>
          <w:rStyle w:val="href"/>
          <w:rFonts w:hint="eastAsia"/>
          <w:szCs w:val="28"/>
          <w:lang w:eastAsia="zh-CN"/>
        </w:rPr>
        <w:t>957</w:t>
      </w:r>
      <w:r w:rsidRPr="0032742A">
        <w:rPr>
          <w:rFonts w:hint="eastAsia"/>
          <w:lang w:eastAsia="zh-CN"/>
        </w:rPr>
        <w:t>号决议（</w:t>
      </w:r>
      <w:r w:rsidRPr="0032742A">
        <w:rPr>
          <w:lang w:eastAsia="zh-CN"/>
        </w:rPr>
        <w:t>WRC-12</w:t>
      </w:r>
      <w:r w:rsidRPr="0032742A">
        <w:rPr>
          <w:rFonts w:hint="eastAsia"/>
          <w:lang w:eastAsia="zh-CN"/>
        </w:rPr>
        <w:t>）</w:t>
      </w:r>
      <w:bookmarkEnd w:id="10"/>
    </w:p>
    <w:p w:rsidR="007B4F46" w:rsidRPr="0032742A" w:rsidRDefault="00EC6A7C" w:rsidP="00ED1F84">
      <w:pPr>
        <w:pStyle w:val="Restitle"/>
        <w:rPr>
          <w:lang w:eastAsia="zh-CN"/>
        </w:rPr>
      </w:pPr>
      <w:bookmarkStart w:id="11" w:name="_Toc328053261"/>
      <w:proofErr w:type="spellStart"/>
      <w:r w:rsidRPr="00ED1F84">
        <w:rPr>
          <w:rFonts w:hint="eastAsia"/>
        </w:rPr>
        <w:t>旨在审议</w:t>
      </w:r>
      <w:r w:rsidRPr="00B61E8C">
        <w:rPr>
          <w:rFonts w:ascii="STKaiti" w:eastAsia="STKaiti" w:hAnsi="STKaiti" w:hint="eastAsia"/>
        </w:rPr>
        <w:t>固定业务</w:t>
      </w:r>
      <w:proofErr w:type="spellEnd"/>
      <w:r w:rsidRPr="0032742A">
        <w:rPr>
          <w:rFonts w:hint="eastAsia"/>
          <w:lang w:eastAsia="zh-CN"/>
        </w:rPr>
        <w:t>、</w:t>
      </w:r>
      <w:r w:rsidRPr="007E0A16">
        <w:rPr>
          <w:rFonts w:ascii="STKaiti" w:eastAsia="STKaiti" w:hAnsi="STKaiti" w:hint="eastAsia"/>
        </w:rPr>
        <w:t>固定电台</w:t>
      </w:r>
      <w:r w:rsidRPr="0032742A">
        <w:rPr>
          <w:rFonts w:hint="eastAsia"/>
          <w:lang w:eastAsia="zh-CN"/>
        </w:rPr>
        <w:t>和</w:t>
      </w:r>
      <w:r w:rsidRPr="007E0A16">
        <w:rPr>
          <w:rFonts w:ascii="STKaiti" w:eastAsia="STKaiti" w:hAnsi="STKaiti" w:hint="eastAsia"/>
        </w:rPr>
        <w:t>移动电台</w:t>
      </w:r>
      <w:r w:rsidRPr="0032742A">
        <w:rPr>
          <w:rFonts w:hint="eastAsia"/>
          <w:lang w:eastAsia="zh-CN"/>
        </w:rPr>
        <w:t>定义的研究</w:t>
      </w:r>
      <w:bookmarkEnd w:id="11"/>
    </w:p>
    <w:p w:rsidR="007B4F46" w:rsidRPr="00E303A5" w:rsidRDefault="00045E18" w:rsidP="005D0714">
      <w:pPr>
        <w:pStyle w:val="Normalaftertitle0"/>
        <w:rPr>
          <w:lang w:eastAsia="zh-CN"/>
        </w:rPr>
      </w:pPr>
    </w:p>
    <w:p w:rsidR="00B463B1" w:rsidRDefault="00EC6A7C" w:rsidP="00A16FAF">
      <w:pPr>
        <w:pStyle w:val="Reasons"/>
      </w:pPr>
      <w:r>
        <w:rPr>
          <w:b/>
          <w:lang w:eastAsia="zh-CN"/>
        </w:rPr>
        <w:t>理由：</w:t>
      </w:r>
      <w:r>
        <w:rPr>
          <w:lang w:eastAsia="zh-CN"/>
        </w:rPr>
        <w:tab/>
      </w:r>
      <w:r w:rsidR="00A16FAF">
        <w:rPr>
          <w:rFonts w:hint="eastAsia"/>
          <w:lang w:eastAsia="zh-CN"/>
        </w:rPr>
        <w:t>并未通过研究周期在</w:t>
      </w:r>
      <w:r w:rsidR="00091658">
        <w:rPr>
          <w:lang w:eastAsia="zh-CN"/>
        </w:rPr>
        <w:t>CPM</w:t>
      </w:r>
      <w:r w:rsidR="00A16FAF">
        <w:rPr>
          <w:rFonts w:hint="eastAsia"/>
          <w:lang w:eastAsia="zh-CN"/>
        </w:rPr>
        <w:t>报告中确定其它方法。</w:t>
      </w:r>
    </w:p>
    <w:p w:rsidR="0032742A" w:rsidRDefault="0032742A" w:rsidP="0032202E">
      <w:pPr>
        <w:pStyle w:val="Reasons"/>
      </w:pPr>
    </w:p>
    <w:p w:rsidR="0032742A" w:rsidRDefault="0032742A" w:rsidP="00406FE4">
      <w:pPr>
        <w:jc w:val="center"/>
      </w:pPr>
      <w:r>
        <w:t>______________</w:t>
      </w:r>
    </w:p>
    <w:sectPr w:rsidR="0032742A">
      <w:headerReference w:type="default" r:id="rId13"/>
      <w:footerReference w:type="default" r:id="rId14"/>
      <w:footerReference w:type="first" r:id="rId15"/>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12229" w:rsidRDefault="00045E18" w:rsidP="0093668B">
    <w:pPr>
      <w:pStyle w:val="Footer"/>
      <w:tabs>
        <w:tab w:val="clear" w:pos="5954"/>
        <w:tab w:val="left" w:pos="6521"/>
      </w:tabs>
    </w:pPr>
    <w:r>
      <w:fldChar w:fldCharType="begin"/>
    </w:r>
    <w:r>
      <w:instrText xml:space="preserve"> FILENAME \p  \* MERGEFORMAT </w:instrText>
    </w:r>
    <w:r>
      <w:fldChar w:fldCharType="separate"/>
    </w:r>
    <w:r>
      <w:t>P:\CHI\ITU-R\CONF-R\CMR15\000\007ADD23ADD01ADD06C.docx</w:t>
    </w:r>
    <w:r>
      <w:fldChar w:fldCharType="end"/>
    </w:r>
    <w:r w:rsidR="0093668B">
      <w:t xml:space="preserve"> </w:t>
    </w:r>
    <w:r w:rsidR="00312229">
      <w:t>(387401)</w:t>
    </w:r>
    <w:r w:rsidR="00312229">
      <w:tab/>
    </w:r>
    <w:r w:rsidR="00312229">
      <w:fldChar w:fldCharType="begin"/>
    </w:r>
    <w:r w:rsidR="00312229">
      <w:instrText xml:space="preserve"> SAVEDATE \@ DD.MM.YY </w:instrText>
    </w:r>
    <w:r w:rsidR="00312229">
      <w:fldChar w:fldCharType="separate"/>
    </w:r>
    <w:r>
      <w:t>18.10.15</w:t>
    </w:r>
    <w:r w:rsidR="00312229">
      <w:fldChar w:fldCharType="end"/>
    </w:r>
    <w:r w:rsidR="00312229">
      <w:tab/>
    </w:r>
    <w:r w:rsidR="00312229">
      <w:fldChar w:fldCharType="begin"/>
    </w:r>
    <w:r w:rsidR="00312229">
      <w:instrText xml:space="preserve"> SAVEDATE \@ DD.MM.YY </w:instrText>
    </w:r>
    <w:r w:rsidR="00312229">
      <w:fldChar w:fldCharType="separate"/>
    </w:r>
    <w:r>
      <w:t>18.10.15</w:t>
    </w:r>
    <w:r w:rsidR="0031222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2742A" w:rsidRDefault="00A16FAF" w:rsidP="0093668B">
    <w:pPr>
      <w:pStyle w:val="Footer"/>
      <w:tabs>
        <w:tab w:val="clear" w:pos="5954"/>
        <w:tab w:val="left" w:pos="6521"/>
      </w:tabs>
    </w:pPr>
    <w:fldSimple w:instr=" FILENAME \p  \* MERGEFORMAT ">
      <w:r w:rsidR="00045E18">
        <w:t>P:\CHI\ITU-R\CONF-R\CMR15\000\007ADD23ADD01ADD06C.docx</w:t>
      </w:r>
    </w:fldSimple>
    <w:r w:rsidR="0093668B">
      <w:t xml:space="preserve"> </w:t>
    </w:r>
    <w:r w:rsidR="0032742A">
      <w:t>(387401)</w:t>
    </w:r>
    <w:r w:rsidR="0032742A">
      <w:tab/>
    </w:r>
    <w:r w:rsidR="0032742A">
      <w:fldChar w:fldCharType="begin"/>
    </w:r>
    <w:r w:rsidR="0032742A">
      <w:instrText xml:space="preserve"> SAVEDATE \@ DD.MM.YY </w:instrText>
    </w:r>
    <w:r w:rsidR="0032742A">
      <w:fldChar w:fldCharType="separate"/>
    </w:r>
    <w:r w:rsidR="00045E18">
      <w:t>18.10.15</w:t>
    </w:r>
    <w:r w:rsidR="0032742A">
      <w:fldChar w:fldCharType="end"/>
    </w:r>
    <w:r w:rsidR="0032742A">
      <w:tab/>
    </w:r>
    <w:r w:rsidR="0032742A">
      <w:fldChar w:fldCharType="begin"/>
    </w:r>
    <w:r w:rsidR="0032742A">
      <w:instrText xml:space="preserve"> SAVEDATE \@ DD.MM.YY </w:instrText>
    </w:r>
    <w:r w:rsidR="0032742A">
      <w:fldChar w:fldCharType="separate"/>
    </w:r>
    <w:r w:rsidR="00045E18">
      <w:t>18.10.15</w:t>
    </w:r>
    <w:r w:rsidR="0032742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5E1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7(Add.23)(Add.1)(Add.6)-</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B4348"/>
    <w:multiLevelType w:val="hybridMultilevel"/>
    <w:tmpl w:val="99D2B538"/>
    <w:lvl w:ilvl="0" w:tplc="5D62E2FC">
      <w:start w:val="9"/>
      <w:numFmt w:val="bullet"/>
      <w:lvlText w:val="-"/>
      <w:lvlJc w:val="left"/>
      <w:pPr>
        <w:ind w:left="72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5E18"/>
    <w:rsid w:val="00070CCE"/>
    <w:rsid w:val="00091658"/>
    <w:rsid w:val="000952F6"/>
    <w:rsid w:val="000A3736"/>
    <w:rsid w:val="000A7275"/>
    <w:rsid w:val="000C0685"/>
    <w:rsid w:val="000C09BA"/>
    <w:rsid w:val="000C1F1E"/>
    <w:rsid w:val="000C6AA7"/>
    <w:rsid w:val="000E26F6"/>
    <w:rsid w:val="000E384D"/>
    <w:rsid w:val="00116185"/>
    <w:rsid w:val="00123C07"/>
    <w:rsid w:val="00166859"/>
    <w:rsid w:val="001765EC"/>
    <w:rsid w:val="00180BFB"/>
    <w:rsid w:val="001853E8"/>
    <w:rsid w:val="001B6360"/>
    <w:rsid w:val="001F4EA6"/>
    <w:rsid w:val="00207DE6"/>
    <w:rsid w:val="00214959"/>
    <w:rsid w:val="002260A6"/>
    <w:rsid w:val="00242D90"/>
    <w:rsid w:val="00251CE7"/>
    <w:rsid w:val="002573A2"/>
    <w:rsid w:val="00267BAE"/>
    <w:rsid w:val="002742B3"/>
    <w:rsid w:val="002A4C9C"/>
    <w:rsid w:val="002B509B"/>
    <w:rsid w:val="002E2A59"/>
    <w:rsid w:val="002E4507"/>
    <w:rsid w:val="002E7A4E"/>
    <w:rsid w:val="00305254"/>
    <w:rsid w:val="00312229"/>
    <w:rsid w:val="003169D2"/>
    <w:rsid w:val="00325535"/>
    <w:rsid w:val="0032742A"/>
    <w:rsid w:val="0034359A"/>
    <w:rsid w:val="003B4BEF"/>
    <w:rsid w:val="003C6B45"/>
    <w:rsid w:val="00406FE4"/>
    <w:rsid w:val="0041282E"/>
    <w:rsid w:val="0041629E"/>
    <w:rsid w:val="00437869"/>
    <w:rsid w:val="00465A34"/>
    <w:rsid w:val="004C4554"/>
    <w:rsid w:val="004D2DEC"/>
    <w:rsid w:val="004F2BE6"/>
    <w:rsid w:val="005201CF"/>
    <w:rsid w:val="00527E8A"/>
    <w:rsid w:val="00542E85"/>
    <w:rsid w:val="00562479"/>
    <w:rsid w:val="00574F7E"/>
    <w:rsid w:val="005753AD"/>
    <w:rsid w:val="00576849"/>
    <w:rsid w:val="005A0ACB"/>
    <w:rsid w:val="005A47A9"/>
    <w:rsid w:val="005D0714"/>
    <w:rsid w:val="005E08D2"/>
    <w:rsid w:val="005E7FD8"/>
    <w:rsid w:val="00604581"/>
    <w:rsid w:val="00622560"/>
    <w:rsid w:val="0063150D"/>
    <w:rsid w:val="00644391"/>
    <w:rsid w:val="00645076"/>
    <w:rsid w:val="00647712"/>
    <w:rsid w:val="00662E12"/>
    <w:rsid w:val="00691142"/>
    <w:rsid w:val="006B67CE"/>
    <w:rsid w:val="006C38ED"/>
    <w:rsid w:val="006D5A3D"/>
    <w:rsid w:val="006E6182"/>
    <w:rsid w:val="006F3C60"/>
    <w:rsid w:val="00736415"/>
    <w:rsid w:val="00770D2A"/>
    <w:rsid w:val="007713B8"/>
    <w:rsid w:val="007864F6"/>
    <w:rsid w:val="007A6F64"/>
    <w:rsid w:val="007B7C4B"/>
    <w:rsid w:val="007E038E"/>
    <w:rsid w:val="007E0A16"/>
    <w:rsid w:val="007F0FC5"/>
    <w:rsid w:val="007F1238"/>
    <w:rsid w:val="007F5C36"/>
    <w:rsid w:val="008047DB"/>
    <w:rsid w:val="008129A9"/>
    <w:rsid w:val="008221A4"/>
    <w:rsid w:val="00824BD6"/>
    <w:rsid w:val="0083672D"/>
    <w:rsid w:val="00844734"/>
    <w:rsid w:val="00865DFB"/>
    <w:rsid w:val="00897F89"/>
    <w:rsid w:val="008A7416"/>
    <w:rsid w:val="008B6852"/>
    <w:rsid w:val="008C26FF"/>
    <w:rsid w:val="008D1D14"/>
    <w:rsid w:val="008E1785"/>
    <w:rsid w:val="008E7127"/>
    <w:rsid w:val="008E7C8E"/>
    <w:rsid w:val="00905305"/>
    <w:rsid w:val="009062D1"/>
    <w:rsid w:val="00912959"/>
    <w:rsid w:val="0093260B"/>
    <w:rsid w:val="0093668B"/>
    <w:rsid w:val="009657F9"/>
    <w:rsid w:val="0099433D"/>
    <w:rsid w:val="0099525B"/>
    <w:rsid w:val="009C72B7"/>
    <w:rsid w:val="00A0052C"/>
    <w:rsid w:val="00A023E1"/>
    <w:rsid w:val="00A16FAF"/>
    <w:rsid w:val="00A31B14"/>
    <w:rsid w:val="00A323DC"/>
    <w:rsid w:val="00A466E6"/>
    <w:rsid w:val="00A815BE"/>
    <w:rsid w:val="00A82E1E"/>
    <w:rsid w:val="00AA2DD4"/>
    <w:rsid w:val="00AA5DA1"/>
    <w:rsid w:val="00AC7507"/>
    <w:rsid w:val="00AE369F"/>
    <w:rsid w:val="00AF6F18"/>
    <w:rsid w:val="00B026CB"/>
    <w:rsid w:val="00B060EC"/>
    <w:rsid w:val="00B463B1"/>
    <w:rsid w:val="00B61E8C"/>
    <w:rsid w:val="00B711CC"/>
    <w:rsid w:val="00B851D4"/>
    <w:rsid w:val="00B868FC"/>
    <w:rsid w:val="00B95072"/>
    <w:rsid w:val="00BB26CD"/>
    <w:rsid w:val="00BD5469"/>
    <w:rsid w:val="00C07239"/>
    <w:rsid w:val="00C364B1"/>
    <w:rsid w:val="00C47D87"/>
    <w:rsid w:val="00C627F9"/>
    <w:rsid w:val="00C6584D"/>
    <w:rsid w:val="00C929E0"/>
    <w:rsid w:val="00CB4E5A"/>
    <w:rsid w:val="00CC73D7"/>
    <w:rsid w:val="00CE3BA4"/>
    <w:rsid w:val="00CF0AD7"/>
    <w:rsid w:val="00CF0BE1"/>
    <w:rsid w:val="00D33F45"/>
    <w:rsid w:val="00D52A14"/>
    <w:rsid w:val="00D6206A"/>
    <w:rsid w:val="00D74599"/>
    <w:rsid w:val="00DA0469"/>
    <w:rsid w:val="00DA7A24"/>
    <w:rsid w:val="00DD13B7"/>
    <w:rsid w:val="00DF3B0C"/>
    <w:rsid w:val="00E14984"/>
    <w:rsid w:val="00E22A25"/>
    <w:rsid w:val="00E34162"/>
    <w:rsid w:val="00E560F1"/>
    <w:rsid w:val="00E92319"/>
    <w:rsid w:val="00EC6A7C"/>
    <w:rsid w:val="00ED1F84"/>
    <w:rsid w:val="00EF7350"/>
    <w:rsid w:val="00F130A4"/>
    <w:rsid w:val="00F627A4"/>
    <w:rsid w:val="00F836C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1F12E3E-411D-4A39-85D2-6D6E3C53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uiPriority w:val="99"/>
    <w:locked/>
    <w:rsid w:val="0031222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640029">
      <w:bodyDiv w:val="1"/>
      <w:marLeft w:val="0"/>
      <w:marRight w:val="0"/>
      <w:marTop w:val="0"/>
      <w:marBottom w:val="0"/>
      <w:divBdr>
        <w:top w:val="none" w:sz="0" w:space="0" w:color="auto"/>
        <w:left w:val="none" w:sz="0" w:space="0" w:color="auto"/>
        <w:bottom w:val="none" w:sz="0" w:space="0" w:color="auto"/>
        <w:right w:val="none" w:sz="0" w:space="0" w:color="auto"/>
      </w:divBdr>
    </w:div>
    <w:div w:id="170474563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R15-WRC15-C-0007!A23-A1-A6!MSW-C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0BE6-2349-4987-BCC9-7ECFF6372BFC}">
  <ds:schemaRefs>
    <ds:schemaRef ds:uri="http://schemas.microsoft.com/office/2006/documentManagement/types"/>
    <ds:schemaRef ds:uri="http://schemas.openxmlformats.org/package/2006/metadata/core-properties"/>
    <ds:schemaRef ds:uri="http://purl.org/dc/terms/"/>
    <ds:schemaRef ds:uri="http://purl.org/dc/elements/1.1/"/>
    <ds:schemaRef ds:uri="32a1a8c5-2265-4ebc-b7a0-2071e2c5c9bb"/>
    <ds:schemaRef ds:uri="http://www.w3.org/XML/1998/namespace"/>
    <ds:schemaRef ds:uri="http://schemas.microsoft.com/office/2006/metadata/properti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7C043-B4C9-4A4B-B16F-B78AF6AE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984</Words>
  <Characters>1173</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R15-WRC15-C-0007!A23-A1-A6!MSW-C</vt:lpstr>
    </vt:vector>
  </TitlesOfParts>
  <Manager>General Secretariat - Pool</Manager>
  <Company>International Telecommunication Union (ITU)</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R15-WRC15-C-0007!A23-A1-A6!MSW-C</dc:title>
  <dc:subject>World Radiocommunication Conference - 2015</dc:subject>
  <dc:creator>Documents Proposals Manager (DPM)</dc:creator>
  <cp:keywords>DPM_v5.2015.10.8_prod</cp:keywords>
  <dc:description/>
  <cp:lastModifiedBy>Xu, Hui</cp:lastModifiedBy>
  <cp:revision>60</cp:revision>
  <cp:lastPrinted>2015-10-18T10:15:00Z</cp:lastPrinted>
  <dcterms:created xsi:type="dcterms:W3CDTF">2015-10-18T09:16:00Z</dcterms:created>
  <dcterms:modified xsi:type="dcterms:W3CDTF">2015-10-18T10:17:00Z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