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183"/>
        <w:gridCol w:w="728"/>
        <w:gridCol w:w="3120"/>
      </w:tblGrid>
      <w:tr w:rsidR="0090121B" w:rsidRPr="0002785D" w:rsidTr="0050008E">
        <w:trPr>
          <w:cantSplit/>
        </w:trPr>
        <w:tc>
          <w:tcPr>
            <w:tcW w:w="6911" w:type="dxa"/>
            <w:gridSpan w:val="2"/>
          </w:tcPr>
          <w:p w:rsidR="0090121B" w:rsidRPr="009E3FE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71173DE" wp14:editId="5396FC9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E3FE0">
        <w:trPr>
          <w:cantSplit/>
        </w:trPr>
        <w:tc>
          <w:tcPr>
            <w:tcW w:w="6183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848" w:type="dxa"/>
            <w:gridSpan w:val="2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E3FE0">
        <w:trPr>
          <w:cantSplit/>
        </w:trPr>
        <w:tc>
          <w:tcPr>
            <w:tcW w:w="6183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848" w:type="dxa"/>
            <w:gridSpan w:val="2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6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7(Add.23)(Add.1)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E3FE0">
        <w:trPr>
          <w:cantSplit/>
        </w:trPr>
        <w:tc>
          <w:tcPr>
            <w:tcW w:w="6183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848" w:type="dxa"/>
            <w:gridSpan w:val="2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9E3FE0">
        <w:trPr>
          <w:cantSplit/>
        </w:trPr>
        <w:tc>
          <w:tcPr>
            <w:tcW w:w="6183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848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3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9E3FE0" w:rsidRDefault="000A5B9A" w:rsidP="000A5B9A">
            <w:pPr>
              <w:pStyle w:val="Source"/>
            </w:pPr>
            <w:bookmarkStart w:id="2" w:name="dsource" w:colFirst="0" w:colLast="0"/>
            <w:r w:rsidRPr="009E3FE0">
              <w:t>Estados Miembros de la Comisión Interamericana de Telecomunicaciones (CITEL)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9E3FE0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9E3FE0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9E3FE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3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9.1(9.1.6) del orden del día</w:t>
            </w:r>
          </w:p>
        </w:tc>
      </w:tr>
    </w:tbl>
    <w:bookmarkEnd w:id="5"/>
    <w:p w:rsidR="006C20F8" w:rsidRPr="00211854" w:rsidRDefault="00E94441" w:rsidP="006C20F8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482C06" w:rsidRDefault="00E94441" w:rsidP="00482C06">
      <w:r w:rsidRPr="00211854">
        <w:t>9.1</w:t>
      </w:r>
      <w:r w:rsidRPr="00211854">
        <w:tab/>
        <w:t>sobre las actividades del Sector de Radiocomunicaciones desde la CMR-12;</w:t>
      </w:r>
    </w:p>
    <w:p w:rsidR="001C0E40" w:rsidRPr="003327CA" w:rsidRDefault="00E94441" w:rsidP="00A72CD8">
      <w:r>
        <w:t xml:space="preserve">9.1(9.1.6) </w:t>
      </w:r>
      <w:r>
        <w:tab/>
      </w:r>
      <w:r w:rsidRPr="00A064AD">
        <w:t xml:space="preserve">Resolución </w:t>
      </w:r>
      <w:r w:rsidRPr="00D53641">
        <w:rPr>
          <w:b/>
          <w:bCs/>
        </w:rPr>
        <w:t>957 (CMR-12)</w:t>
      </w:r>
      <w:r w:rsidRPr="00A064AD">
        <w:t xml:space="preserve"> - Estudios para revisar las definiciones de servicio fijo, estación fija y estación móvil</w:t>
      </w:r>
    </w:p>
    <w:p w:rsidR="00363A65" w:rsidRDefault="00363A65" w:rsidP="009144C9"/>
    <w:p w:rsidR="009E3FE0" w:rsidRPr="000C6FEF" w:rsidRDefault="009E3FE0" w:rsidP="009E3FE0">
      <w:pPr>
        <w:pStyle w:val="Headingb"/>
        <w:rPr>
          <w:lang w:val="es-UY"/>
        </w:rPr>
      </w:pPr>
      <w:r>
        <w:rPr>
          <w:lang w:val="es-UY"/>
        </w:rPr>
        <w:t>Antecedentes</w:t>
      </w:r>
    </w:p>
    <w:p w:rsidR="009E3FE0" w:rsidRPr="000C6FEF" w:rsidRDefault="009E3FE0" w:rsidP="009E3FE0">
      <w:pPr>
        <w:rPr>
          <w:lang w:val="es-UY"/>
        </w:rPr>
      </w:pPr>
      <w:r w:rsidRPr="000C6FEF">
        <w:rPr>
          <w:lang w:val="es-UY"/>
        </w:rPr>
        <w:t xml:space="preserve">El UIT-R llevó a cabo diversos estudios de conformidad con la Resolución </w:t>
      </w:r>
      <w:r w:rsidRPr="009E3FE0">
        <w:rPr>
          <w:lang w:val="es-UY"/>
        </w:rPr>
        <w:t>957 (CMR-12)</w:t>
      </w:r>
      <w:r w:rsidRPr="000C6FEF">
        <w:rPr>
          <w:lang w:val="es-UY"/>
        </w:rPr>
        <w:t xml:space="preserve">. Durante este periodo de estudios, se han examinado detalladamente las definiciones de </w:t>
      </w:r>
      <w:r w:rsidRPr="000C6FEF">
        <w:rPr>
          <w:i/>
          <w:iCs/>
          <w:lang w:val="es-UY"/>
        </w:rPr>
        <w:t>servicio fijo</w:t>
      </w:r>
      <w:r w:rsidRPr="000C6FEF">
        <w:rPr>
          <w:lang w:val="es-UY"/>
        </w:rPr>
        <w:t xml:space="preserve">, </w:t>
      </w:r>
      <w:r w:rsidRPr="000C6FEF">
        <w:rPr>
          <w:i/>
          <w:iCs/>
          <w:lang w:val="es-UY"/>
        </w:rPr>
        <w:t xml:space="preserve">estación fija </w:t>
      </w:r>
      <w:r w:rsidRPr="000C6FEF">
        <w:rPr>
          <w:lang w:val="es-UY"/>
        </w:rPr>
        <w:t xml:space="preserve">y </w:t>
      </w:r>
      <w:r w:rsidRPr="000C6FEF">
        <w:rPr>
          <w:i/>
          <w:iCs/>
          <w:lang w:val="es-UY"/>
        </w:rPr>
        <w:t>estación móvil</w:t>
      </w:r>
      <w:r w:rsidRPr="000C6FEF">
        <w:rPr>
          <w:lang w:val="es-UY"/>
        </w:rPr>
        <w:t xml:space="preserve">, y se han estudiado las posibles consecuencias para los procedimientos reglamentarios del Reglamento de Radiocomunicaciones (RR) (coordinación, notificación e inscripción) y las consecuencias para las actuales asignaciones de frecuencias y otros servicios a los que podrían dar lugar los posibles cambios de las definiciones. </w:t>
      </w:r>
    </w:p>
    <w:p w:rsidR="009E3FE0" w:rsidRPr="000C6FEF" w:rsidRDefault="009E3FE0" w:rsidP="009E3FE0">
      <w:pPr>
        <w:rPr>
          <w:lang w:val="es-UY"/>
        </w:rPr>
      </w:pPr>
      <w:r w:rsidRPr="000C6FEF">
        <w:rPr>
          <w:lang w:val="es-UY"/>
        </w:rPr>
        <w:t xml:space="preserve">La Comisión responsable (Comisión de </w:t>
      </w:r>
      <w:r>
        <w:rPr>
          <w:lang w:val="es-UY"/>
        </w:rPr>
        <w:t>E</w:t>
      </w:r>
      <w:r w:rsidRPr="000C6FEF">
        <w:rPr>
          <w:lang w:val="es-UY"/>
        </w:rPr>
        <w:t>studio 1) debatió las contribuciones y propuestas de las administraciones y organizaciones, e informó a su debido tiempo a los grupos implicados de los progresos logrados en este tema.</w:t>
      </w:r>
      <w:r>
        <w:rPr>
          <w:lang w:val="es-UY"/>
        </w:rPr>
        <w:t xml:space="preserve"> </w:t>
      </w:r>
      <w:r w:rsidRPr="000C6FEF">
        <w:rPr>
          <w:lang w:val="es-UY"/>
        </w:rPr>
        <w:t xml:space="preserve">Se tuvieron en cuenta de las respuestas de los grupos implicados. </w:t>
      </w:r>
    </w:p>
    <w:p w:rsidR="009E3FE0" w:rsidRPr="000C6FEF" w:rsidRDefault="009E3FE0" w:rsidP="009E3FE0">
      <w:pPr>
        <w:rPr>
          <w:lang w:val="es-UY"/>
        </w:rPr>
      </w:pPr>
      <w:r w:rsidRPr="000C6FEF">
        <w:rPr>
          <w:lang w:val="es-UY"/>
        </w:rPr>
        <w:t xml:space="preserve">Con arreglo a las contribuciones y declaraciones de coordinación, tras profundos debates, el UIT-R elaboró un método reglamentario y de procedimiento, consistente en suprimir la Resolución </w:t>
      </w:r>
      <w:r w:rsidRPr="009E3FE0">
        <w:rPr>
          <w:lang w:val="es-UY"/>
        </w:rPr>
        <w:t xml:space="preserve">957 (CMR-12) </w:t>
      </w:r>
      <w:r w:rsidRPr="000C6FEF">
        <w:rPr>
          <w:lang w:val="es-UY"/>
        </w:rPr>
        <w:t xml:space="preserve">para responder al tema 9.1.6 del punto 9.1 del orden del día, teniendo en cuenta que, si se mantienen las actuales definiciones de </w:t>
      </w:r>
      <w:r w:rsidRPr="000C6FEF">
        <w:rPr>
          <w:i/>
          <w:iCs/>
          <w:lang w:val="es-UY"/>
        </w:rPr>
        <w:t>servicio fijo</w:t>
      </w:r>
      <w:r w:rsidRPr="000C6FEF">
        <w:rPr>
          <w:lang w:val="es-UY"/>
        </w:rPr>
        <w:t xml:space="preserve">, </w:t>
      </w:r>
      <w:r w:rsidRPr="000C6FEF">
        <w:rPr>
          <w:i/>
          <w:iCs/>
          <w:lang w:val="es-UY"/>
        </w:rPr>
        <w:t xml:space="preserve">estación fija </w:t>
      </w:r>
      <w:r w:rsidRPr="000C6FEF">
        <w:rPr>
          <w:lang w:val="es-UY"/>
        </w:rPr>
        <w:t xml:space="preserve">y </w:t>
      </w:r>
      <w:r w:rsidRPr="000C6FEF">
        <w:rPr>
          <w:i/>
          <w:iCs/>
          <w:lang w:val="es-UY"/>
        </w:rPr>
        <w:t xml:space="preserve">estación móvil </w:t>
      </w:r>
      <w:r w:rsidRPr="000C6FEF">
        <w:rPr>
          <w:lang w:val="es-UY"/>
        </w:rPr>
        <w:t xml:space="preserve">del Artículo </w:t>
      </w:r>
      <w:r w:rsidRPr="009E3FE0">
        <w:rPr>
          <w:lang w:val="es-UY"/>
        </w:rPr>
        <w:t>1</w:t>
      </w:r>
      <w:r w:rsidRPr="000C6FEF">
        <w:rPr>
          <w:b/>
          <w:bCs/>
          <w:lang w:val="es-UY"/>
        </w:rPr>
        <w:t xml:space="preserve"> </w:t>
      </w:r>
      <w:r w:rsidRPr="000C6FEF">
        <w:rPr>
          <w:lang w:val="es-UY"/>
        </w:rPr>
        <w:t xml:space="preserve">del RR, se pueden adaptar a la evolución de la tecnología y que existe flexibilidad suficiente en el presente RR. </w:t>
      </w:r>
    </w:p>
    <w:p w:rsidR="009E3FE0" w:rsidRPr="000C6FEF" w:rsidRDefault="009E3FE0" w:rsidP="009E3FE0">
      <w:pPr>
        <w:rPr>
          <w:lang w:val="es-UY"/>
        </w:rPr>
      </w:pPr>
      <w:r w:rsidRPr="000C6FEF">
        <w:rPr>
          <w:lang w:val="es-UY"/>
        </w:rPr>
        <w:t xml:space="preserve">Asimismo, se concluyó que no era necesario elaborar un nuevo Informe del UIT-R sobre este tema. </w:t>
      </w:r>
    </w:p>
    <w:p w:rsidR="00B22A08" w:rsidRDefault="009E3FE0" w:rsidP="002202D0">
      <w:pPr>
        <w:rPr>
          <w:lang w:val="es-UY"/>
        </w:rPr>
      </w:pPr>
      <w:r w:rsidRPr="000C6FEF">
        <w:rPr>
          <w:lang w:val="es-UY"/>
        </w:rPr>
        <w:t xml:space="preserve">La CMR-12 consideró determinadas revisiones de las definiciones de </w:t>
      </w:r>
      <w:r w:rsidRPr="000C6FEF">
        <w:rPr>
          <w:i/>
          <w:iCs/>
          <w:lang w:val="es-UY"/>
        </w:rPr>
        <w:t>servicio fijo</w:t>
      </w:r>
      <w:r w:rsidRPr="000C6FEF">
        <w:rPr>
          <w:lang w:val="es-UY"/>
        </w:rPr>
        <w:t xml:space="preserve">, </w:t>
      </w:r>
      <w:r w:rsidRPr="000C6FEF">
        <w:rPr>
          <w:i/>
          <w:iCs/>
          <w:lang w:val="es-UY"/>
        </w:rPr>
        <w:t xml:space="preserve">estación fija </w:t>
      </w:r>
      <w:r w:rsidRPr="000C6FEF">
        <w:rPr>
          <w:lang w:val="es-UY"/>
        </w:rPr>
        <w:t xml:space="preserve">y </w:t>
      </w:r>
      <w:r w:rsidRPr="000C6FEF">
        <w:rPr>
          <w:i/>
          <w:iCs/>
          <w:lang w:val="es-UY"/>
        </w:rPr>
        <w:t xml:space="preserve">estación móvil </w:t>
      </w:r>
      <w:r w:rsidRPr="000C6FEF">
        <w:rPr>
          <w:lang w:val="es-UY"/>
        </w:rPr>
        <w:t xml:space="preserve">del Artículo </w:t>
      </w:r>
      <w:r w:rsidRPr="009E3FE0">
        <w:rPr>
          <w:lang w:val="es-UY"/>
        </w:rPr>
        <w:t xml:space="preserve">1 </w:t>
      </w:r>
      <w:r w:rsidRPr="000C6FEF">
        <w:rPr>
          <w:lang w:val="es-UY"/>
        </w:rPr>
        <w:t xml:space="preserve">del RR, de acuerdo con los estudios realizados con objeto de abordar </w:t>
      </w:r>
      <w:r w:rsidRPr="000C6FEF">
        <w:rPr>
          <w:lang w:val="es-UY"/>
        </w:rPr>
        <w:lastRenderedPageBreak/>
        <w:t>la convergencia entre fijo y móvil en el marco del punto 1.2 del orden del día de la CMR-12, pero decidió que se debía estudiar el tema en mayor profundidad para que lo considerase la CMR-15 en el marco del Informe del Director de la Oficina de Radiocomunicaciones.</w:t>
      </w:r>
      <w:r w:rsidR="002202D0">
        <w:rPr>
          <w:lang w:val="es-UY"/>
        </w:rPr>
        <w:t xml:space="preserve"> </w:t>
      </w:r>
    </w:p>
    <w:p w:rsidR="009E3FE0" w:rsidRPr="000C6FEF" w:rsidRDefault="009E3FE0" w:rsidP="002202D0">
      <w:pPr>
        <w:rPr>
          <w:lang w:val="es-UY"/>
        </w:rPr>
      </w:pPr>
      <w:bookmarkStart w:id="6" w:name="_GoBack"/>
      <w:bookmarkEnd w:id="6"/>
      <w:r w:rsidRPr="000C6FEF">
        <w:rPr>
          <w:lang w:val="es-UY"/>
        </w:rPr>
        <w:t xml:space="preserve">Mientras que el punto 1.2 del orden del día de la CMR-12 examinaba de forma mucho más amplia cómo mejorar el marco de reglamentación internacional, el tema 9.1.6 del punto 9.1 del orden día de la CMR-15 se centra específicamente en la posible modificación de estas tres definiciones a fin de contemplar la convergencia y soportar la aplicación de prácticas eficaces de gestión y utilización del espectro. </w:t>
      </w:r>
    </w:p>
    <w:p w:rsidR="009E3FE0" w:rsidRPr="000C6FEF" w:rsidRDefault="009E3FE0" w:rsidP="009E3FE0">
      <w:pPr>
        <w:rPr>
          <w:lang w:val="es-UY"/>
        </w:rPr>
      </w:pPr>
      <w:r w:rsidRPr="000C6FEF">
        <w:rPr>
          <w:lang w:val="es-UY"/>
        </w:rPr>
        <w:t xml:space="preserve">Los Grupos de Trabajo encargados de los servicios terrenales y por satélite que han contribuido han indicado que: </w:t>
      </w:r>
    </w:p>
    <w:p w:rsidR="009E3FE0" w:rsidRPr="000C6FEF" w:rsidRDefault="009E3FE0" w:rsidP="009E3FE0">
      <w:pPr>
        <w:pStyle w:val="enumlev1"/>
        <w:rPr>
          <w:lang w:val="es-UY"/>
        </w:rPr>
      </w:pPr>
      <w:r w:rsidRPr="009E3FE0">
        <w:rPr>
          <w:lang w:val="es-UY"/>
        </w:rPr>
        <w:t>–</w:t>
      </w:r>
      <w:r>
        <w:rPr>
          <w:lang w:val="es-UY"/>
        </w:rPr>
        <w:tab/>
      </w:r>
      <w:r w:rsidRPr="000C6FEF">
        <w:rPr>
          <w:lang w:val="es-UY"/>
        </w:rPr>
        <w:t xml:space="preserve">las propuestas de modificación de las definiciones de servicio fijo, estación fija y estación móvil se debatieron ampliamente en las dos CMR previas; </w:t>
      </w:r>
    </w:p>
    <w:p w:rsidR="009E3FE0" w:rsidRPr="000C6FEF" w:rsidRDefault="009E3FE0" w:rsidP="009E3FE0">
      <w:pPr>
        <w:pStyle w:val="enumlev1"/>
        <w:rPr>
          <w:lang w:val="es-UY"/>
        </w:rPr>
      </w:pPr>
      <w:r w:rsidRPr="009E3FE0">
        <w:rPr>
          <w:lang w:val="es-UY"/>
        </w:rPr>
        <w:t>–</w:t>
      </w:r>
      <w:r>
        <w:rPr>
          <w:lang w:val="es-UY"/>
        </w:rPr>
        <w:tab/>
      </w:r>
      <w:r w:rsidRPr="000C6FEF">
        <w:rPr>
          <w:lang w:val="es-UY"/>
        </w:rPr>
        <w:t xml:space="preserve">dicha modificación tendría repercusiones negativas para la explotación de diversos sistemas/servicios de radiocomunicaciones por satélite, puesto que dichos cambios modificarían completamente el entorno de compartición e interferencia de los servicios espaciales y dificultarían en gran medida, e incluso impedirían, el trabajo de las administraciones en el proceso de coordinación entre redes de satélites y servicios terrenales; </w:t>
      </w:r>
    </w:p>
    <w:p w:rsidR="009E3FE0" w:rsidRDefault="009E3FE0" w:rsidP="009E3FE0">
      <w:pPr>
        <w:pStyle w:val="enumlev1"/>
      </w:pPr>
      <w:r w:rsidRPr="009E3FE0">
        <w:rPr>
          <w:lang w:val="es-UY"/>
        </w:rPr>
        <w:t>–</w:t>
      </w:r>
      <w:r>
        <w:rPr>
          <w:lang w:val="es-UY"/>
        </w:rPr>
        <w:tab/>
      </w:r>
      <w:r w:rsidRPr="00BD388B">
        <w:rPr>
          <w:lang w:val="es-UY"/>
        </w:rPr>
        <w:t>dado que las definiciones actuales no han creado problema alguno, no es necesario realizar ningún cambio en las definiciones de servicio fijo, estación fija y estación móvil en respuesta a este punto del orden del día.</w:t>
      </w:r>
    </w:p>
    <w:p w:rsidR="009E3FE0" w:rsidRDefault="009E3FE0" w:rsidP="009E3FE0">
      <w:pPr>
        <w:pStyle w:val="Headingb"/>
      </w:pPr>
      <w:r w:rsidRPr="009E3FE0">
        <w:t>Propuestas</w:t>
      </w:r>
    </w:p>
    <w:p w:rsidR="00F3788F" w:rsidRDefault="00E94441">
      <w:pPr>
        <w:pStyle w:val="Proposal"/>
      </w:pPr>
      <w:r>
        <w:t>SUP</w:t>
      </w:r>
      <w:r>
        <w:tab/>
        <w:t>IAP/7A23A1A6/1</w:t>
      </w:r>
    </w:p>
    <w:p w:rsidR="009E7ADB" w:rsidRPr="00D14182" w:rsidRDefault="00E94441" w:rsidP="009E7ADB">
      <w:pPr>
        <w:pStyle w:val="ResNo"/>
      </w:pPr>
      <w:bookmarkStart w:id="7" w:name="_Toc328141517"/>
      <w:r w:rsidRPr="00D14182">
        <w:t xml:space="preserve">RESOLUCIÓN </w:t>
      </w:r>
      <w:r w:rsidRPr="00D14182">
        <w:rPr>
          <w:rStyle w:val="href"/>
        </w:rPr>
        <w:t>957</w:t>
      </w:r>
      <w:r>
        <w:t xml:space="preserve"> </w:t>
      </w:r>
      <w:r w:rsidRPr="00D14182">
        <w:t>(CMR-12)</w:t>
      </w:r>
      <w:bookmarkEnd w:id="7"/>
    </w:p>
    <w:p w:rsidR="009E7ADB" w:rsidRPr="00D14182" w:rsidRDefault="00E94441" w:rsidP="009E7ADB">
      <w:pPr>
        <w:pStyle w:val="Restitle"/>
        <w:rPr>
          <w:b w:val="0"/>
        </w:rPr>
      </w:pPr>
      <w:bookmarkStart w:id="8" w:name="_Toc328141518"/>
      <w:r w:rsidRPr="00D14182">
        <w:t>Estudios para revisar las definiciones de servicio fijo,</w:t>
      </w:r>
      <w:r w:rsidRPr="00D14182">
        <w:br/>
      </w:r>
      <w:r w:rsidRPr="00D14182">
        <w:rPr>
          <w:rFonts w:ascii="Times New Roman"/>
          <w:bCs/>
          <w:i/>
        </w:rPr>
        <w:t>estaci</w:t>
      </w:r>
      <w:r w:rsidRPr="00D14182">
        <w:rPr>
          <w:rFonts w:ascii="Times New Roman"/>
          <w:bCs/>
          <w:i/>
        </w:rPr>
        <w:t>ó</w:t>
      </w:r>
      <w:r w:rsidRPr="00D14182">
        <w:rPr>
          <w:rFonts w:ascii="Times New Roman"/>
          <w:bCs/>
          <w:i/>
        </w:rPr>
        <w:t xml:space="preserve">n fija </w:t>
      </w:r>
      <w:r w:rsidRPr="00D14182">
        <w:t xml:space="preserve">y </w:t>
      </w:r>
      <w:r w:rsidRPr="00D14182">
        <w:rPr>
          <w:rFonts w:ascii="Times New Roman"/>
          <w:bCs/>
          <w:i/>
          <w:iCs/>
        </w:rPr>
        <w:t>estaci</w:t>
      </w:r>
      <w:r w:rsidRPr="00D14182">
        <w:rPr>
          <w:rFonts w:ascii="Times New Roman"/>
          <w:bCs/>
          <w:i/>
          <w:iCs/>
        </w:rPr>
        <w:t>ó</w:t>
      </w:r>
      <w:r w:rsidRPr="00D14182">
        <w:rPr>
          <w:rFonts w:ascii="Times New Roman"/>
          <w:bCs/>
          <w:i/>
          <w:iCs/>
        </w:rPr>
        <w:t>n m</w:t>
      </w:r>
      <w:r w:rsidRPr="00D14182">
        <w:rPr>
          <w:rFonts w:ascii="Times New Roman"/>
          <w:bCs/>
          <w:i/>
          <w:iCs/>
        </w:rPr>
        <w:t>ó</w:t>
      </w:r>
      <w:r w:rsidRPr="00D14182">
        <w:rPr>
          <w:rFonts w:ascii="Times New Roman"/>
          <w:bCs/>
          <w:i/>
          <w:iCs/>
        </w:rPr>
        <w:t>vil</w:t>
      </w:r>
      <w:bookmarkEnd w:id="8"/>
    </w:p>
    <w:p w:rsidR="00F3788F" w:rsidRDefault="00E94441">
      <w:pPr>
        <w:pStyle w:val="Reasons"/>
      </w:pPr>
      <w:r>
        <w:rPr>
          <w:b/>
        </w:rPr>
        <w:t>Motivos:</w:t>
      </w:r>
      <w:r>
        <w:tab/>
      </w:r>
      <w:r w:rsidR="009E3FE0" w:rsidRPr="009E3FE0">
        <w:t>No hay otro método propuesto en el borrador de informe para la RPC como resultado de los trabajos en el ciclo de estudios.</w:t>
      </w:r>
    </w:p>
    <w:p w:rsidR="009E3FE0" w:rsidRDefault="009E3FE0" w:rsidP="0032202E">
      <w:pPr>
        <w:pStyle w:val="Reasons"/>
      </w:pPr>
    </w:p>
    <w:p w:rsidR="009E3FE0" w:rsidRDefault="009E3FE0">
      <w:pPr>
        <w:jc w:val="center"/>
      </w:pPr>
      <w:r>
        <w:t>______________</w:t>
      </w:r>
    </w:p>
    <w:sectPr w:rsidR="009E3FE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02D0">
      <w:rPr>
        <w:noProof/>
      </w:rPr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E94441" w:rsidRDefault="00B22A08" w:rsidP="00E9444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94441">
      <w:t>P:\ESP\ITU-R\CONF-R\CMR15\000\007ADD23ADD01ADD06S.docx</w:t>
    </w:r>
    <w:r>
      <w:fldChar w:fldCharType="end"/>
    </w:r>
    <w:r w:rsidR="00E94441">
      <w:t xml:space="preserve"> (387401)</w:t>
    </w:r>
    <w:r w:rsidR="00E94441">
      <w:tab/>
    </w:r>
    <w:r w:rsidR="00E94441">
      <w:fldChar w:fldCharType="begin"/>
    </w:r>
    <w:r w:rsidR="00E94441">
      <w:instrText xml:space="preserve"> SAVEDATE \@ DD.MM.YY </w:instrText>
    </w:r>
    <w:r w:rsidR="00E94441">
      <w:fldChar w:fldCharType="separate"/>
    </w:r>
    <w:r w:rsidR="002202D0">
      <w:t>16.10.15</w:t>
    </w:r>
    <w:r w:rsidR="00E94441">
      <w:fldChar w:fldCharType="end"/>
    </w:r>
    <w:r w:rsidR="00E94441">
      <w:tab/>
    </w:r>
    <w:r w:rsidR="00E94441">
      <w:fldChar w:fldCharType="begin"/>
    </w:r>
    <w:r w:rsidR="00E94441">
      <w:instrText xml:space="preserve"> PRINTDATE \@ DD.MM.YY </w:instrText>
    </w:r>
    <w:r w:rsidR="00E94441">
      <w:fldChar w:fldCharType="separate"/>
    </w:r>
    <w:r w:rsidR="00E94441">
      <w:t>19.02.03</w:t>
    </w:r>
    <w:r w:rsidR="00E9444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E94441" w:rsidRDefault="00E94441" w:rsidP="00E94441">
    <w:pPr>
      <w:pStyle w:val="Footer"/>
    </w:pPr>
    <w:fldSimple w:instr=" FILENAME \p  \* MERGEFORMAT ">
      <w:r>
        <w:t>P:\ESP\ITU-R\CONF-R\CMR15\000\007ADD23ADD01ADD06S.docx</w:t>
      </w:r>
    </w:fldSimple>
    <w:r>
      <w:t xml:space="preserve"> (387401)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202D0">
      <w:t>16.10.15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2A08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7(Add.23)(Add.1)(Add.6)-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49AA4AAD"/>
    <w:multiLevelType w:val="hybridMultilevel"/>
    <w:tmpl w:val="ABE620B0"/>
    <w:lvl w:ilvl="0" w:tplc="F710D926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202D0"/>
    <w:rsid w:val="00227FA9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96C16"/>
    <w:rsid w:val="009C0BED"/>
    <w:rsid w:val="009E11EC"/>
    <w:rsid w:val="009E3FE0"/>
    <w:rsid w:val="00A118DB"/>
    <w:rsid w:val="00A4450C"/>
    <w:rsid w:val="00AA5E6C"/>
    <w:rsid w:val="00AE5677"/>
    <w:rsid w:val="00AE658F"/>
    <w:rsid w:val="00AF2F78"/>
    <w:rsid w:val="00B22A0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94441"/>
    <w:rsid w:val="00F3788F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90A6481-10CF-4741-9302-BBDA9AE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paragraph" w:customStyle="1" w:styleId="Default">
    <w:name w:val="Default"/>
    <w:rsid w:val="009E3FE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s-CO" w:eastAsia="en-US"/>
    </w:rPr>
  </w:style>
  <w:style w:type="paragraph" w:styleId="ListParagraph">
    <w:name w:val="List Paragraph"/>
    <w:basedOn w:val="Normal"/>
    <w:uiPriority w:val="34"/>
    <w:qFormat/>
    <w:rsid w:val="009E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R15-WRC15-C-0007!A23-A1-A6!MSW-S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C2234-650A-4454-B0BD-33A969C8164F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9E078A-50D8-488A-83E3-9403E373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644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R15-WRC15-C-0007!A23-A1-A6!MSW-S</vt:lpstr>
    </vt:vector>
  </TitlesOfParts>
  <Manager>Secretaría General - Pool</Manager>
  <Company>Unión Internacional de Telecomunicaciones (UIT)</Company>
  <LinksUpToDate>false</LinksUpToDate>
  <CharactersWithSpaces>4273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R15-WRC15-C-0007!A23-A1-A6!MSW-S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7</cp:revision>
  <cp:lastPrinted>2003-02-19T20:20:00Z</cp:lastPrinted>
  <dcterms:created xsi:type="dcterms:W3CDTF">2015-10-16T10:28:00Z</dcterms:created>
  <dcterms:modified xsi:type="dcterms:W3CDTF">2015-10-16T10:36:00Z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