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140"/>
        <w:gridCol w:w="3120"/>
      </w:tblGrid>
      <w:tr w:rsidR="0090121B" w:rsidRPr="0002785D" w:rsidTr="0050008E">
        <w:trPr>
          <w:cantSplit/>
        </w:trPr>
        <w:tc>
          <w:tcPr>
            <w:tcW w:w="6911" w:type="dxa"/>
            <w:gridSpan w:val="2"/>
          </w:tcPr>
          <w:p w:rsidR="0090121B" w:rsidRPr="00CA6CBF"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5ABF6190" wp14:editId="7B0ECA5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gridSpan w:val="2"/>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CA6CBF">
        <w:trPr>
          <w:cantSplit/>
        </w:trPr>
        <w:tc>
          <w:tcPr>
            <w:tcW w:w="677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60" w:type="dxa"/>
            <w:gridSpan w:val="2"/>
            <w:shd w:val="clear" w:color="auto" w:fill="auto"/>
          </w:tcPr>
          <w:p w:rsidR="0090121B" w:rsidRPr="00CA6CBF" w:rsidRDefault="00AE658F" w:rsidP="0045384C">
            <w:pPr>
              <w:spacing w:before="0"/>
              <w:rPr>
                <w:rFonts w:ascii="Verdana" w:hAnsi="Verdana"/>
                <w:sz w:val="20"/>
              </w:rPr>
            </w:pPr>
            <w:r w:rsidRPr="00CA6CBF">
              <w:rPr>
                <w:rFonts w:ascii="Verdana" w:eastAsia="SimSun" w:hAnsi="Verdana" w:cs="Traditional Arabic"/>
                <w:b/>
                <w:sz w:val="20"/>
              </w:rPr>
              <w:t>Addéndum 1 al</w:t>
            </w:r>
            <w:r w:rsidRPr="00CA6CBF">
              <w:rPr>
                <w:rFonts w:ascii="Verdana" w:eastAsia="SimSun" w:hAnsi="Verdana" w:cs="Traditional Arabic"/>
                <w:b/>
                <w:sz w:val="20"/>
              </w:rPr>
              <w:br/>
              <w:t>Documento 7(Add.24)</w:t>
            </w:r>
            <w:r w:rsidR="0090121B" w:rsidRPr="00CA6CBF">
              <w:rPr>
                <w:rFonts w:ascii="Verdana" w:hAnsi="Verdana"/>
                <w:b/>
                <w:sz w:val="20"/>
              </w:rPr>
              <w:t>-</w:t>
            </w:r>
            <w:r w:rsidRPr="00CA6CBF">
              <w:rPr>
                <w:rFonts w:ascii="Verdana" w:hAnsi="Verdana"/>
                <w:b/>
                <w:sz w:val="20"/>
              </w:rPr>
              <w:t>S</w:t>
            </w:r>
          </w:p>
        </w:tc>
      </w:tr>
      <w:bookmarkEnd w:id="1"/>
      <w:tr w:rsidR="000A5B9A" w:rsidRPr="0002785D" w:rsidTr="00CA6CBF">
        <w:trPr>
          <w:cantSplit/>
        </w:trPr>
        <w:tc>
          <w:tcPr>
            <w:tcW w:w="6771" w:type="dxa"/>
            <w:shd w:val="clear" w:color="auto" w:fill="auto"/>
          </w:tcPr>
          <w:p w:rsidR="000A5B9A" w:rsidRPr="00CA6CBF" w:rsidRDefault="000A5B9A" w:rsidP="0045384C">
            <w:pPr>
              <w:spacing w:before="0" w:after="48"/>
              <w:rPr>
                <w:rFonts w:ascii="Verdana" w:hAnsi="Verdana"/>
                <w:b/>
                <w:smallCaps/>
                <w:sz w:val="20"/>
              </w:rPr>
            </w:pPr>
          </w:p>
        </w:tc>
        <w:tc>
          <w:tcPr>
            <w:tcW w:w="3260" w:type="dxa"/>
            <w:gridSpan w:val="2"/>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CA6CBF">
        <w:trPr>
          <w:cantSplit/>
        </w:trPr>
        <w:tc>
          <w:tcPr>
            <w:tcW w:w="6771" w:type="dxa"/>
          </w:tcPr>
          <w:p w:rsidR="000A5B9A" w:rsidRPr="0002785D" w:rsidRDefault="000A5B9A" w:rsidP="0045384C">
            <w:pPr>
              <w:spacing w:before="0" w:after="48"/>
              <w:rPr>
                <w:rFonts w:ascii="Verdana" w:hAnsi="Verdana"/>
                <w:b/>
                <w:smallCaps/>
                <w:sz w:val="20"/>
                <w:lang w:val="en-US"/>
              </w:rPr>
            </w:pPr>
          </w:p>
        </w:tc>
        <w:tc>
          <w:tcPr>
            <w:tcW w:w="3260" w:type="dxa"/>
            <w:gridSpan w:val="2"/>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3"/>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3"/>
          </w:tcPr>
          <w:p w:rsidR="000A5B9A" w:rsidRPr="00CA6CBF" w:rsidRDefault="000A5B9A" w:rsidP="000A5B9A">
            <w:pPr>
              <w:pStyle w:val="Source"/>
            </w:pPr>
            <w:bookmarkStart w:id="2" w:name="dsource" w:colFirst="0" w:colLast="0"/>
            <w:r w:rsidRPr="00CA6CBF">
              <w:t>Estados Miembros de la Comisión Interamericana de Telecomunicaciones (CITEL)</w:t>
            </w:r>
          </w:p>
        </w:tc>
      </w:tr>
      <w:tr w:rsidR="000A5B9A" w:rsidRPr="0002785D" w:rsidTr="0050008E">
        <w:trPr>
          <w:cantSplit/>
        </w:trPr>
        <w:tc>
          <w:tcPr>
            <w:tcW w:w="10031" w:type="dxa"/>
            <w:gridSpan w:val="3"/>
          </w:tcPr>
          <w:p w:rsidR="000A5B9A" w:rsidRPr="00CA6CBF" w:rsidRDefault="00CA6CBF" w:rsidP="000A5B9A">
            <w:pPr>
              <w:pStyle w:val="Title1"/>
            </w:pPr>
            <w:bookmarkStart w:id="3" w:name="dtitle1" w:colFirst="0" w:colLast="0"/>
            <w:bookmarkEnd w:id="2"/>
            <w:r w:rsidRPr="00CA6CBF">
              <w:t xml:space="preserve">PROPUESTAS PARA LOS TRABAJOS DE LA CONFERENCIA </w:t>
            </w:r>
          </w:p>
        </w:tc>
      </w:tr>
      <w:tr w:rsidR="000A5B9A" w:rsidRPr="0002785D" w:rsidTr="0050008E">
        <w:trPr>
          <w:cantSplit/>
        </w:trPr>
        <w:tc>
          <w:tcPr>
            <w:tcW w:w="10031" w:type="dxa"/>
            <w:gridSpan w:val="3"/>
          </w:tcPr>
          <w:p w:rsidR="000A5B9A" w:rsidRPr="00CA6CBF" w:rsidRDefault="000A5B9A" w:rsidP="000A5B9A">
            <w:pPr>
              <w:pStyle w:val="Title2"/>
            </w:pPr>
            <w:bookmarkStart w:id="4" w:name="dtitle2" w:colFirst="0" w:colLast="0"/>
            <w:bookmarkEnd w:id="3"/>
          </w:p>
        </w:tc>
      </w:tr>
      <w:tr w:rsidR="000A5B9A" w:rsidTr="0050008E">
        <w:trPr>
          <w:cantSplit/>
        </w:trPr>
        <w:tc>
          <w:tcPr>
            <w:tcW w:w="10031" w:type="dxa"/>
            <w:gridSpan w:val="3"/>
          </w:tcPr>
          <w:p w:rsidR="000A5B9A" w:rsidRDefault="000A5B9A" w:rsidP="000A5B9A">
            <w:pPr>
              <w:pStyle w:val="Agendaitem"/>
            </w:pPr>
            <w:bookmarkStart w:id="5" w:name="dtitle3" w:colFirst="0" w:colLast="0"/>
            <w:bookmarkEnd w:id="4"/>
            <w:r w:rsidRPr="00AE658F">
              <w:t>Punto 10 del orden del día</w:t>
            </w:r>
          </w:p>
        </w:tc>
      </w:tr>
    </w:tbl>
    <w:bookmarkEnd w:id="5"/>
    <w:p w:rsidR="00E1398F" w:rsidRPr="00211854" w:rsidRDefault="00071E3A" w:rsidP="001D51F2">
      <w:r w:rsidRPr="00211854">
        <w:t>10</w:t>
      </w:r>
      <w:r w:rsidRPr="00211854">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CA6CBF" w:rsidRDefault="00CA6CBF" w:rsidP="00CA6CBF">
      <w:pPr>
        <w:rPr>
          <w:lang w:val="es-ES"/>
        </w:rPr>
      </w:pPr>
    </w:p>
    <w:p w:rsidR="00CA6CBF" w:rsidRPr="00BE50D0" w:rsidRDefault="00CA6CBF" w:rsidP="00CA6CBF">
      <w:pPr>
        <w:pStyle w:val="Headingb"/>
        <w:rPr>
          <w:lang w:val="es-ES"/>
        </w:rPr>
      </w:pPr>
      <w:r>
        <w:rPr>
          <w:lang w:val="es-ES"/>
        </w:rPr>
        <w:t>Antecedentes</w:t>
      </w:r>
    </w:p>
    <w:p w:rsidR="00CA6CBF" w:rsidRPr="00BE50D0" w:rsidRDefault="00CA6CBF" w:rsidP="008B24AB">
      <w:pPr>
        <w:rPr>
          <w:lang w:val="es-ES"/>
        </w:rPr>
      </w:pPr>
      <w:r w:rsidRPr="00BE50D0">
        <w:rPr>
          <w:lang w:val="es-ES"/>
        </w:rPr>
        <w:t xml:space="preserve">La banda de 460-470 MHz es atribuida a título primario a los servicios fijos y móviles. Actualmente, en esta banda el servicio meteorológico por satélite cuenta con una atribución secundaria. Dentro de esta banda, se emplea el </w:t>
      </w:r>
      <w:r w:rsidRPr="00BE50D0">
        <w:rPr>
          <w:i/>
          <w:iCs/>
          <w:lang w:val="es-ES"/>
        </w:rPr>
        <w:t>Argos Data Collection System</w:t>
      </w:r>
      <w:r w:rsidRPr="00BE50D0">
        <w:rPr>
          <w:lang w:val="es-ES"/>
        </w:rPr>
        <w:t xml:space="preserve"> (ADCS) para monitorear más de 21.000 plataformas individuales alrededor del planeta para 1</w:t>
      </w:r>
      <w:r w:rsidR="008B24AB">
        <w:rPr>
          <w:lang w:val="es-ES"/>
        </w:rPr>
        <w:t> </w:t>
      </w:r>
      <w:r w:rsidRPr="00BE50D0">
        <w:rPr>
          <w:lang w:val="es-ES"/>
        </w:rPr>
        <w:t>900 operadores en 118 países. Entre las aplicaciones esenciales del ADCS se incluye el monitoreo y la investigación atmosférica y oceánica, el pronóstico de ciclones tropicales, la gestión de la industria pesquera, el rastreo de derrames de petróleo, la localización de navíos pesqueros, el modelado de la búsqueda y el rescate (en el mar), las alertas antipiratería, el seguimiento de la importación/exportación y de materiales peligrosos, la investigación de especies en peligro de extinción, el mapeo de las migraciones, así como el rastreo y la gestión de la vida silvestre.</w:t>
      </w:r>
    </w:p>
    <w:p w:rsidR="00CA6CBF" w:rsidRPr="00BE50D0" w:rsidRDefault="00CA6CBF" w:rsidP="00CA6CBF">
      <w:pPr>
        <w:rPr>
          <w:lang w:val="es-ES"/>
        </w:rPr>
      </w:pPr>
      <w:r w:rsidRPr="00BE50D0">
        <w:rPr>
          <w:lang w:val="es-ES"/>
        </w:rPr>
        <w:t xml:space="preserve">Los sistemas RF del </w:t>
      </w:r>
      <w:r w:rsidRPr="00BE50D0">
        <w:rPr>
          <w:i/>
          <w:iCs/>
          <w:lang w:val="es-ES"/>
        </w:rPr>
        <w:t>Central Station Alarm</w:t>
      </w:r>
      <w:r w:rsidRPr="00BE50D0">
        <w:rPr>
          <w:lang w:val="es-ES"/>
        </w:rPr>
        <w:t xml:space="preserve"> (CSA) operan en la misma frecuencia que el enlace descendente del ADCS. Debido a la posibilidad de interferencias con los sistemas CSA, el operador apagó el ADCS en el satélite NOAA-19. A fin de posibilitar una protección adicional a los servicios existentes en la banda, la siguiente generación de transmisores ADCS implementarán una espectro directo de distribución secuenciada en el enlace descendente del satélite para reducir un ensanchamiento de espectro en secuencia directa para reducir la densidad de flujo de potencia (pfd) en la banda de 460-470 MHz al flujo &lt; </w:t>
      </w:r>
      <w:r>
        <w:rPr>
          <w:lang w:val="es-ES"/>
        </w:rPr>
        <w:t>–</w:t>
      </w:r>
      <w:r w:rsidRPr="00BE50D0">
        <w:rPr>
          <w:lang w:val="es-ES"/>
        </w:rPr>
        <w:t>152 dBW/m2/4 kHz.</w:t>
      </w:r>
    </w:p>
    <w:p w:rsidR="00CA6CBF" w:rsidRPr="00BE50D0" w:rsidRDefault="00CA6CBF" w:rsidP="00CA6CBF">
      <w:pPr>
        <w:rPr>
          <w:lang w:val="es-ES"/>
        </w:rPr>
      </w:pPr>
      <w:r w:rsidRPr="00BE50D0">
        <w:rPr>
          <w:lang w:val="es-ES"/>
        </w:rPr>
        <w:t xml:space="preserve">Con el propósito de proteger la importante inversión y expansión reciente de los sistemas ADCS, en esta propuesta se plantea analizar la compartición entre el servicio meteorológico por satélite (espacio a tierra) existente y los servicios de los operadores en la banda de 460-470 MHz con miras </w:t>
      </w:r>
      <w:r w:rsidRPr="00BE50D0">
        <w:rPr>
          <w:lang w:val="es-ES"/>
        </w:rPr>
        <w:lastRenderedPageBreak/>
        <w:t>a mejorar a primario el servicio meteorológico por satélite y posiblemente adoptar un pfd límite en el servicio meteorológico por satélite (espacio a tierra) para proteger los servicios de los operadores. Una atribución coprimaria protegería al ADCS del ingreso de nuevos servicios a la banda.</w:t>
      </w:r>
    </w:p>
    <w:p w:rsidR="00CA6CBF" w:rsidRDefault="00C62BB3" w:rsidP="00C62BB3">
      <w:pPr>
        <w:pStyle w:val="Headingb"/>
      </w:pPr>
      <w: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737F6C" w:rsidRDefault="00071E3A">
      <w:pPr>
        <w:pStyle w:val="Proposal"/>
      </w:pPr>
      <w:r>
        <w:lastRenderedPageBreak/>
        <w:t>ADD</w:t>
      </w:r>
      <w:r>
        <w:tab/>
        <w:t>IAP/7A24A1/1</w:t>
      </w:r>
    </w:p>
    <w:p w:rsidR="00737F6C" w:rsidRDefault="00071E3A">
      <w:pPr>
        <w:pStyle w:val="ResNo"/>
      </w:pPr>
      <w:r>
        <w:t>Proyecto de nueva Resolución [IAP-10A-2019]</w:t>
      </w:r>
      <w:r w:rsidR="00CA6CBF">
        <w:t xml:space="preserve"> (cmr-15)</w:t>
      </w:r>
    </w:p>
    <w:p w:rsidR="00CA6CBF" w:rsidRPr="00BE50D0" w:rsidRDefault="00CA6CBF" w:rsidP="00CA6CBF">
      <w:pPr>
        <w:pStyle w:val="Restitle"/>
        <w:rPr>
          <w:rFonts w:ascii="Times New Roman" w:hAnsi="Times New Roman"/>
          <w:color w:val="000000"/>
          <w:sz w:val="24"/>
          <w:szCs w:val="24"/>
          <w:lang w:val="es-ES"/>
        </w:rPr>
      </w:pPr>
      <w:bookmarkStart w:id="6" w:name="_Toc328141493"/>
      <w:r w:rsidRPr="00BE50D0">
        <w:rPr>
          <w:rFonts w:ascii="Times New Roman" w:hAnsi="Times New Roman"/>
          <w:color w:val="000000"/>
          <w:sz w:val="24"/>
          <w:szCs w:val="24"/>
          <w:lang w:val="es-ES"/>
        </w:rPr>
        <w:t xml:space="preserve">Orden del día de la Conferencia Mundial de Radiocomunicaciones de </w:t>
      </w:r>
      <w:bookmarkEnd w:id="6"/>
      <w:r w:rsidRPr="00BE50D0">
        <w:rPr>
          <w:rFonts w:ascii="Times New Roman" w:hAnsi="Times New Roman"/>
          <w:color w:val="000000"/>
          <w:sz w:val="24"/>
          <w:szCs w:val="24"/>
          <w:lang w:val="es-ES"/>
        </w:rPr>
        <w:t>2019</w:t>
      </w:r>
    </w:p>
    <w:p w:rsidR="00CA6CBF" w:rsidRDefault="00CA6CBF" w:rsidP="00CA6CBF">
      <w:pPr>
        <w:pStyle w:val="Normalaftertitle"/>
        <w:rPr>
          <w:szCs w:val="24"/>
          <w:lang w:val="es-ES"/>
        </w:rPr>
      </w:pPr>
      <w:r w:rsidRPr="00BE50D0">
        <w:rPr>
          <w:szCs w:val="24"/>
          <w:lang w:val="es-ES"/>
        </w:rPr>
        <w:t>La Conferencia Mundial de Radiocomunicaciones (Ginebra, 2015),</w:t>
      </w:r>
    </w:p>
    <w:p w:rsidR="00CA6CBF" w:rsidRDefault="00CA6CBF" w:rsidP="00CA6CBF">
      <w:pPr>
        <w:rPr>
          <w:lang w:val="es-ES"/>
        </w:rPr>
      </w:pPr>
      <w:r>
        <w:rPr>
          <w:lang w:val="es-ES"/>
        </w:rPr>
        <w:t>…</w:t>
      </w:r>
    </w:p>
    <w:p w:rsidR="00CA6CBF" w:rsidRDefault="00CA6CBF" w:rsidP="00C62BB3">
      <w:pPr>
        <w:rPr>
          <w:szCs w:val="24"/>
          <w:lang w:val="es-ES"/>
        </w:rPr>
      </w:pPr>
      <w:r w:rsidRPr="00294CA8">
        <w:rPr>
          <w:rStyle w:val="Artdef"/>
          <w:b w:val="0"/>
          <w:bCs/>
        </w:rPr>
        <w:t>X.X</w:t>
      </w:r>
      <w:r w:rsidRPr="00BE50D0">
        <w:rPr>
          <w:b/>
          <w:szCs w:val="24"/>
          <w:lang w:val="es-ES"/>
        </w:rPr>
        <w:tab/>
      </w:r>
      <w:r w:rsidRPr="00BE50D0">
        <w:rPr>
          <w:bCs/>
          <w:szCs w:val="24"/>
          <w:lang w:val="es-ES"/>
        </w:rPr>
        <w:t xml:space="preserve">examinar las atribuciones al servicio meteorológico por satélite en la banda de los </w:t>
      </w:r>
      <w:r w:rsidRPr="00BE50D0">
        <w:rPr>
          <w:szCs w:val="24"/>
          <w:lang w:val="es-ES"/>
        </w:rPr>
        <w:t>460</w:t>
      </w:r>
      <w:r w:rsidR="00C62BB3">
        <w:rPr>
          <w:szCs w:val="24"/>
          <w:lang w:val="es-ES"/>
        </w:rPr>
        <w:noBreakHyphen/>
      </w:r>
      <w:r w:rsidRPr="00BE50D0">
        <w:rPr>
          <w:szCs w:val="24"/>
          <w:lang w:val="es-ES"/>
        </w:rPr>
        <w:t xml:space="preserve">470 MHz con miras a mejorar </w:t>
      </w:r>
      <w:r w:rsidRPr="00BE50D0">
        <w:rPr>
          <w:szCs w:val="24"/>
        </w:rPr>
        <w:t xml:space="preserve">la atribución secundaria del servicio de meteorología por satélite a </w:t>
      </w:r>
      <w:r>
        <w:rPr>
          <w:szCs w:val="24"/>
        </w:rPr>
        <w:t>situación</w:t>
      </w:r>
      <w:r w:rsidRPr="00BE50D0">
        <w:rPr>
          <w:szCs w:val="24"/>
        </w:rPr>
        <w:t xml:space="preserve"> primaria, al tiempo que se protegen los servicios primarios fijos y móviles existentes en la banda</w:t>
      </w:r>
      <w:r>
        <w:rPr>
          <w:szCs w:val="24"/>
        </w:rPr>
        <w:t xml:space="preserve"> y sin imponer limitaciones adicionales en estos servicios de acuerdo a la Resolución </w:t>
      </w:r>
      <w:r w:rsidRPr="00C62BB3">
        <w:rPr>
          <w:b/>
          <w:bCs/>
          <w:szCs w:val="24"/>
        </w:rPr>
        <w:t>[IAP</w:t>
      </w:r>
      <w:r w:rsidR="00C62BB3">
        <w:rPr>
          <w:b/>
          <w:bCs/>
          <w:szCs w:val="24"/>
        </w:rPr>
        <w:noBreakHyphen/>
      </w:r>
      <w:r w:rsidRPr="00C62BB3">
        <w:rPr>
          <w:b/>
          <w:bCs/>
          <w:szCs w:val="24"/>
        </w:rPr>
        <w:t>10</w:t>
      </w:r>
      <w:r w:rsidR="00E1541F">
        <w:rPr>
          <w:b/>
          <w:bCs/>
          <w:szCs w:val="24"/>
        </w:rPr>
        <w:t>A</w:t>
      </w:r>
      <w:r w:rsidRPr="00C62BB3">
        <w:rPr>
          <w:b/>
          <w:bCs/>
          <w:szCs w:val="24"/>
        </w:rPr>
        <w:t>-460-470]</w:t>
      </w:r>
      <w:r w:rsidRPr="00622051">
        <w:rPr>
          <w:szCs w:val="24"/>
        </w:rPr>
        <w:t xml:space="preserve"> </w:t>
      </w:r>
      <w:r w:rsidRPr="00622051">
        <w:rPr>
          <w:b/>
          <w:bCs/>
          <w:szCs w:val="24"/>
        </w:rPr>
        <w:t>(C</w:t>
      </w:r>
      <w:r>
        <w:rPr>
          <w:b/>
          <w:bCs/>
          <w:szCs w:val="24"/>
        </w:rPr>
        <w:t>MR</w:t>
      </w:r>
      <w:r w:rsidRPr="00622051">
        <w:rPr>
          <w:b/>
          <w:bCs/>
          <w:szCs w:val="24"/>
        </w:rPr>
        <w:noBreakHyphen/>
        <w:t>15)</w:t>
      </w:r>
      <w:r w:rsidRPr="00BE50D0">
        <w:rPr>
          <w:szCs w:val="24"/>
          <w:lang w:val="es-ES"/>
        </w:rPr>
        <w:t>.</w:t>
      </w:r>
    </w:p>
    <w:p w:rsidR="00737F6C" w:rsidRPr="00C62BB3" w:rsidRDefault="00071E3A">
      <w:pPr>
        <w:pStyle w:val="Reasons"/>
      </w:pPr>
      <w:r w:rsidRPr="00C62BB3">
        <w:rPr>
          <w:b/>
        </w:rPr>
        <w:t>Motivos:</w:t>
      </w:r>
      <w:r w:rsidRPr="00C62BB3">
        <w:tab/>
      </w:r>
      <w:r w:rsidR="00C62BB3" w:rsidRPr="00BE50D0">
        <w:rPr>
          <w:szCs w:val="24"/>
          <w:lang w:val="es-ES"/>
        </w:rPr>
        <w:t xml:space="preserve">Posibilitar que el servicio meteorológico por satélite opere </w:t>
      </w:r>
      <w:r w:rsidR="00C62BB3">
        <w:rPr>
          <w:szCs w:val="24"/>
          <w:lang w:val="es-ES"/>
        </w:rPr>
        <w:t>a título</w:t>
      </w:r>
      <w:r w:rsidR="00C62BB3" w:rsidRPr="00BE50D0">
        <w:rPr>
          <w:szCs w:val="24"/>
          <w:lang w:val="es-ES"/>
        </w:rPr>
        <w:t xml:space="preserve"> coprimario con </w:t>
      </w:r>
      <w:r w:rsidR="00C62BB3">
        <w:rPr>
          <w:szCs w:val="24"/>
          <w:lang w:val="es-ES"/>
        </w:rPr>
        <w:t xml:space="preserve">los servicios </w:t>
      </w:r>
      <w:r w:rsidR="00C62BB3" w:rsidRPr="00BE50D0">
        <w:rPr>
          <w:szCs w:val="24"/>
          <w:lang w:val="es-ES"/>
        </w:rPr>
        <w:t>fijo y móvil.</w:t>
      </w:r>
    </w:p>
    <w:p w:rsidR="00737F6C" w:rsidRPr="008B24AB" w:rsidRDefault="00071E3A">
      <w:pPr>
        <w:pStyle w:val="Proposal"/>
      </w:pPr>
      <w:r w:rsidRPr="008B24AB">
        <w:t>ADD</w:t>
      </w:r>
      <w:r w:rsidRPr="008B24AB">
        <w:tab/>
        <w:t>IAP/7A24A1/2</w:t>
      </w:r>
    </w:p>
    <w:p w:rsidR="00737F6C" w:rsidRDefault="00071E3A">
      <w:pPr>
        <w:pStyle w:val="ResNo"/>
      </w:pPr>
      <w:r>
        <w:t>Proyecto de nueva Resolución [IAP-10A-460-470]</w:t>
      </w:r>
      <w:r w:rsidR="00C62BB3">
        <w:t xml:space="preserve"> (CMR-15)</w:t>
      </w:r>
    </w:p>
    <w:p w:rsidR="00C62BB3" w:rsidRPr="00BE50D0" w:rsidRDefault="00C62BB3" w:rsidP="00E1541F">
      <w:pPr>
        <w:pStyle w:val="ResTitle0"/>
        <w:rPr>
          <w:sz w:val="24"/>
          <w:szCs w:val="24"/>
          <w:lang w:val="es-ES"/>
        </w:rPr>
      </w:pPr>
      <w:r w:rsidRPr="00BE50D0">
        <w:rPr>
          <w:sz w:val="24"/>
          <w:szCs w:val="24"/>
          <w:lang w:val="es-ES"/>
        </w:rPr>
        <w:t xml:space="preserve">Atribución </w:t>
      </w:r>
      <w:r w:rsidR="00E1541F" w:rsidRPr="00BE50D0">
        <w:rPr>
          <w:sz w:val="24"/>
          <w:szCs w:val="24"/>
          <w:lang w:val="es-ES"/>
        </w:rPr>
        <w:t xml:space="preserve">primaria al servicio meteorológico por satélite </w:t>
      </w:r>
      <w:r w:rsidR="00E1541F">
        <w:rPr>
          <w:sz w:val="24"/>
          <w:szCs w:val="24"/>
          <w:lang w:val="es-ES"/>
        </w:rPr>
        <w:br/>
      </w:r>
      <w:r w:rsidR="00E1541F" w:rsidRPr="00BE50D0">
        <w:rPr>
          <w:sz w:val="24"/>
          <w:szCs w:val="24"/>
          <w:lang w:val="es-ES"/>
        </w:rPr>
        <w:t xml:space="preserve">en la banda </w:t>
      </w:r>
      <w:r w:rsidRPr="00BE50D0">
        <w:rPr>
          <w:sz w:val="24"/>
          <w:szCs w:val="24"/>
          <w:lang w:val="es-ES"/>
        </w:rPr>
        <w:t>de los 460–470 MHz</w:t>
      </w:r>
    </w:p>
    <w:p w:rsidR="00C62BB3" w:rsidRPr="00BE50D0" w:rsidRDefault="00C62BB3" w:rsidP="00C62BB3">
      <w:pPr>
        <w:pStyle w:val="Normalaftertitle"/>
        <w:rPr>
          <w:lang w:val="es-ES"/>
        </w:rPr>
      </w:pPr>
      <w:r w:rsidRPr="00BE50D0">
        <w:rPr>
          <w:lang w:val="es-ES"/>
        </w:rPr>
        <w:t>La Conferencia Mundial de Radiocomunicaciones (Geneva, 2015),</w:t>
      </w:r>
    </w:p>
    <w:p w:rsidR="00C62BB3" w:rsidRPr="00BE50D0" w:rsidRDefault="00C62BB3" w:rsidP="00C62BB3">
      <w:pPr>
        <w:pStyle w:val="Call"/>
        <w:rPr>
          <w:lang w:val="es-ES"/>
        </w:rPr>
      </w:pPr>
      <w:r w:rsidRPr="00BE50D0">
        <w:rPr>
          <w:lang w:val="es-ES"/>
        </w:rPr>
        <w:t>considerando</w:t>
      </w:r>
    </w:p>
    <w:p w:rsidR="00C62BB3" w:rsidRPr="00BE50D0" w:rsidRDefault="00C62BB3" w:rsidP="00E1541F">
      <w:pPr>
        <w:rPr>
          <w:lang w:val="es-ES"/>
        </w:rPr>
      </w:pPr>
      <w:r w:rsidRPr="00BE50D0">
        <w:rPr>
          <w:i/>
          <w:lang w:val="es-ES"/>
        </w:rPr>
        <w:t>a)</w:t>
      </w:r>
      <w:r w:rsidRPr="00BE50D0">
        <w:rPr>
          <w:i/>
          <w:lang w:val="es-ES"/>
        </w:rPr>
        <w:tab/>
      </w:r>
      <w:r w:rsidRPr="00BE50D0">
        <w:rPr>
          <w:iCs/>
          <w:lang w:val="es-ES"/>
        </w:rPr>
        <w:t xml:space="preserve">que el </w:t>
      </w:r>
      <w:r w:rsidRPr="00BE50D0">
        <w:rPr>
          <w:i/>
          <w:iCs/>
          <w:lang w:val="es-ES"/>
        </w:rPr>
        <w:t>Argos Data Collection System</w:t>
      </w:r>
      <w:r w:rsidRPr="00BE50D0">
        <w:rPr>
          <w:lang w:val="es-ES"/>
        </w:rPr>
        <w:t xml:space="preserve"> (ADCS) se emplea para monitorear más de 21</w:t>
      </w:r>
      <w:r w:rsidR="00E1541F">
        <w:rPr>
          <w:lang w:val="es-ES"/>
        </w:rPr>
        <w:t> </w:t>
      </w:r>
      <w:r w:rsidRPr="00BE50D0">
        <w:rPr>
          <w:lang w:val="es-ES"/>
        </w:rPr>
        <w:t>000</w:t>
      </w:r>
      <w:r w:rsidR="00E1541F">
        <w:rPr>
          <w:lang w:val="es-ES"/>
        </w:rPr>
        <w:t> </w:t>
      </w:r>
      <w:r w:rsidRPr="00BE50D0">
        <w:rPr>
          <w:lang w:val="es-ES"/>
        </w:rPr>
        <w:t>plataformas individuales en todo el mundo para 1</w:t>
      </w:r>
      <w:r w:rsidR="00E1541F">
        <w:rPr>
          <w:lang w:val="es-ES"/>
        </w:rPr>
        <w:t> </w:t>
      </w:r>
      <w:r w:rsidRPr="00BE50D0">
        <w:rPr>
          <w:lang w:val="es-ES"/>
        </w:rPr>
        <w:t>900 operadores en 118 países;</w:t>
      </w:r>
    </w:p>
    <w:p w:rsidR="00C62BB3" w:rsidRPr="00BE50D0" w:rsidRDefault="00C62BB3" w:rsidP="00C62BB3">
      <w:pPr>
        <w:rPr>
          <w:lang w:val="es-ES"/>
        </w:rPr>
      </w:pPr>
      <w:r w:rsidRPr="00BE50D0">
        <w:rPr>
          <w:i/>
          <w:lang w:val="es-ES"/>
        </w:rPr>
        <w:t>b)</w:t>
      </w:r>
      <w:r w:rsidRPr="00BE50D0">
        <w:rPr>
          <w:lang w:val="es-ES"/>
        </w:rPr>
        <w:tab/>
        <w:t>que la utilización del ADCS puede aportar eficiencia al espectro mediante la interrogación de las plataformas de recopilación previa a su transmisión;</w:t>
      </w:r>
    </w:p>
    <w:p w:rsidR="00C62BB3" w:rsidRPr="00BE50D0" w:rsidRDefault="00C62BB3" w:rsidP="00C62BB3">
      <w:pPr>
        <w:rPr>
          <w:lang w:val="es-ES"/>
        </w:rPr>
      </w:pPr>
      <w:r w:rsidRPr="00BE50D0">
        <w:rPr>
          <w:i/>
          <w:lang w:val="es-ES"/>
        </w:rPr>
        <w:t>c)</w:t>
      </w:r>
      <w:r w:rsidRPr="00BE50D0">
        <w:rPr>
          <w:lang w:val="es-ES"/>
        </w:rPr>
        <w:tab/>
        <w:t>que es posible autorizar al ADCS para que funcione de manera secundaria respecto a los servicios fijos y móviles,</w:t>
      </w:r>
    </w:p>
    <w:p w:rsidR="00C62BB3" w:rsidRPr="00BE50D0" w:rsidRDefault="00C62BB3" w:rsidP="00C62BB3">
      <w:pPr>
        <w:pStyle w:val="Call"/>
        <w:rPr>
          <w:lang w:val="es-ES"/>
        </w:rPr>
      </w:pPr>
      <w:r w:rsidRPr="00BE50D0">
        <w:rPr>
          <w:lang w:val="es-ES"/>
        </w:rPr>
        <w:t>reco</w:t>
      </w:r>
      <w:r>
        <w:rPr>
          <w:lang w:val="es-ES"/>
        </w:rPr>
        <w:t>no</w:t>
      </w:r>
      <w:r w:rsidRPr="00BE50D0">
        <w:rPr>
          <w:lang w:val="es-ES"/>
        </w:rPr>
        <w:t>ciendo</w:t>
      </w:r>
    </w:p>
    <w:p w:rsidR="00C62BB3" w:rsidRPr="00BE50D0" w:rsidRDefault="00C62BB3" w:rsidP="00C62BB3">
      <w:pPr>
        <w:rPr>
          <w:lang w:val="es-ES"/>
        </w:rPr>
      </w:pPr>
      <w:r w:rsidRPr="00BE50D0">
        <w:rPr>
          <w:i/>
          <w:lang w:val="es-ES"/>
        </w:rPr>
        <w:t>a)</w:t>
      </w:r>
      <w:r w:rsidRPr="00BE50D0">
        <w:rPr>
          <w:lang w:val="es-ES"/>
        </w:rPr>
        <w:tab/>
        <w:t>que se ha desarrollado la tecnología necesaria para posibilitar una utilización más eficiente del espectro;</w:t>
      </w:r>
    </w:p>
    <w:p w:rsidR="00C62BB3" w:rsidRPr="00BE50D0" w:rsidRDefault="00C62BB3" w:rsidP="00C62BB3">
      <w:pPr>
        <w:rPr>
          <w:lang w:val="es-ES"/>
        </w:rPr>
      </w:pPr>
      <w:r w:rsidRPr="00BE50D0">
        <w:rPr>
          <w:i/>
          <w:lang w:val="es-ES"/>
        </w:rPr>
        <w:t>b)</w:t>
      </w:r>
      <w:r w:rsidRPr="00BE50D0">
        <w:rPr>
          <w:i/>
          <w:lang w:val="es-ES"/>
        </w:rPr>
        <w:tab/>
      </w:r>
      <w:r w:rsidRPr="00BE50D0">
        <w:rPr>
          <w:iCs/>
          <w:lang w:val="es-ES"/>
        </w:rPr>
        <w:t>que se utilizará un sistema de ensanchamiento digital del espectro para aumentar la mitigación de posibles interferencias con los operadores en la banda</w:t>
      </w:r>
      <w:r w:rsidRPr="00BE50D0">
        <w:rPr>
          <w:lang w:val="es-ES"/>
        </w:rPr>
        <w:t>;</w:t>
      </w:r>
    </w:p>
    <w:p w:rsidR="00C62BB3" w:rsidRPr="00BE50D0" w:rsidRDefault="00C62BB3" w:rsidP="00C62BB3">
      <w:pPr>
        <w:rPr>
          <w:lang w:val="es-ES"/>
        </w:rPr>
      </w:pPr>
      <w:r w:rsidRPr="00BE50D0">
        <w:rPr>
          <w:i/>
          <w:lang w:val="es-ES"/>
        </w:rPr>
        <w:t>c)</w:t>
      </w:r>
      <w:r w:rsidRPr="00BE50D0">
        <w:rPr>
          <w:lang w:val="es-ES"/>
        </w:rPr>
        <w:tab/>
        <w:t>que el enlace descendente de satélite a plataforma a los 465</w:t>
      </w:r>
      <w:r>
        <w:rPr>
          <w:lang w:val="es-ES"/>
        </w:rPr>
        <w:t>,</w:t>
      </w:r>
      <w:r w:rsidRPr="00BE50D0">
        <w:rPr>
          <w:lang w:val="es-ES"/>
        </w:rPr>
        <w:t>9875 MHz, mejora significativamente el desempeño de la plataforma y del sistema, incluida la latencia de los datos y la duración de las baterías;</w:t>
      </w:r>
    </w:p>
    <w:p w:rsidR="00C62BB3" w:rsidRPr="00BE50D0" w:rsidRDefault="00C62BB3" w:rsidP="00E52CEF">
      <w:pPr>
        <w:rPr>
          <w:lang w:val="es-ES"/>
        </w:rPr>
      </w:pPr>
      <w:r w:rsidRPr="00BE50D0">
        <w:rPr>
          <w:i/>
          <w:lang w:val="es-ES"/>
        </w:rPr>
        <w:t>d)</w:t>
      </w:r>
      <w:r w:rsidRPr="00BE50D0">
        <w:rPr>
          <w:i/>
          <w:lang w:val="es-ES"/>
        </w:rPr>
        <w:tab/>
      </w:r>
      <w:r w:rsidRPr="00BE50D0">
        <w:rPr>
          <w:iCs/>
          <w:lang w:val="es-ES"/>
        </w:rPr>
        <w:t>que debido a la importante inversión y ampliación del ADCS, es imperativo evitar futuros conflictos o interferencias</w:t>
      </w:r>
      <w:r w:rsidR="00E52CEF">
        <w:rPr>
          <w:lang w:val="es-ES"/>
        </w:rPr>
        <w:t>;</w:t>
      </w:r>
    </w:p>
    <w:p w:rsidR="00C62BB3" w:rsidRPr="00BE50D0" w:rsidRDefault="00C62BB3" w:rsidP="00C62BB3">
      <w:r w:rsidRPr="00CF1D3E">
        <w:rPr>
          <w:i/>
        </w:rPr>
        <w:t>e)</w:t>
      </w:r>
      <w:r w:rsidRPr="00BE50D0">
        <w:tab/>
        <w:t>que la banda 460-470 MHz está atribuida a los servicios fijos y móviles en carácter primario en todas las Regiones;</w:t>
      </w:r>
    </w:p>
    <w:p w:rsidR="00C62BB3" w:rsidRPr="00BE50D0" w:rsidRDefault="00C62BB3" w:rsidP="00E1541F">
      <w:r w:rsidRPr="00CF1D3E">
        <w:rPr>
          <w:i/>
        </w:rPr>
        <w:lastRenderedPageBreak/>
        <w:t>f)</w:t>
      </w:r>
      <w:r w:rsidRPr="00BE50D0">
        <w:tab/>
        <w:t xml:space="preserve">que el </w:t>
      </w:r>
      <w:r w:rsidR="00E1541F">
        <w:t>número </w:t>
      </w:r>
      <w:r w:rsidRPr="00E1541F">
        <w:rPr>
          <w:b/>
          <w:bCs/>
        </w:rPr>
        <w:t>5.286AA</w:t>
      </w:r>
      <w:r w:rsidRPr="00BE50D0">
        <w:t xml:space="preserve"> identifica la banda de frecuencia 460-470 MHz para ser usada por las administraciones que desean implementar las Telecomunicaciones Móviles Internacionales (IMT);</w:t>
      </w:r>
    </w:p>
    <w:p w:rsidR="00C62BB3" w:rsidRPr="009714D6" w:rsidRDefault="00C62BB3" w:rsidP="00C62BB3">
      <w:r w:rsidRPr="002E5B95">
        <w:t>g)</w:t>
      </w:r>
      <w:r w:rsidRPr="00BE50D0">
        <w:tab/>
      </w:r>
      <w:r w:rsidRPr="002E5B95">
        <w:t>que los receptores terrestres del servicio de meteorología por satélite no vayan a reclamar protección de las estaciones en los servicios primarios fijos y móviles</w:t>
      </w:r>
      <w:r>
        <w:t>;</w:t>
      </w:r>
    </w:p>
    <w:p w:rsidR="00C62BB3" w:rsidRPr="00BE50D0" w:rsidRDefault="00C62BB3" w:rsidP="00C62BB3">
      <w:r w:rsidRPr="00CF1D3E">
        <w:rPr>
          <w:i/>
        </w:rPr>
        <w:t>h)</w:t>
      </w:r>
      <w:r>
        <w:tab/>
      </w:r>
      <w:r w:rsidRPr="00BE50D0">
        <w:t xml:space="preserve">que por lo menos una administración ha adoptado disposiciones reglamentarias nacionales que estipulan un límite dfp en la superficie de la Tierra de </w:t>
      </w:r>
      <w:r>
        <w:rPr>
          <w:color w:val="000000"/>
        </w:rPr>
        <w:t>–</w:t>
      </w:r>
      <w:r w:rsidRPr="00BE50D0">
        <w:rPr>
          <w:color w:val="000000"/>
        </w:rPr>
        <w:t>152 dBW/m</w:t>
      </w:r>
      <w:r w:rsidRPr="00BE50D0">
        <w:rPr>
          <w:color w:val="000000"/>
          <w:vertAlign w:val="superscript"/>
        </w:rPr>
        <w:t>2</w:t>
      </w:r>
      <w:r w:rsidRPr="00BE50D0">
        <w:rPr>
          <w:color w:val="000000"/>
        </w:rPr>
        <w:t>/4 kHz</w:t>
      </w:r>
      <w:r w:rsidRPr="00BE50D0">
        <w:t xml:space="preserve"> para proteger los servici</w:t>
      </w:r>
      <w:r w:rsidR="00E1541F">
        <w:t>os fijos y móviles en la banda,</w:t>
      </w:r>
    </w:p>
    <w:p w:rsidR="00C62BB3" w:rsidRPr="00BE50D0" w:rsidRDefault="00C62BB3" w:rsidP="00C62BB3">
      <w:pPr>
        <w:pStyle w:val="Call"/>
        <w:rPr>
          <w:lang w:val="es-ES"/>
        </w:rPr>
      </w:pPr>
      <w:r w:rsidRPr="00BE50D0">
        <w:rPr>
          <w:lang w:val="es-ES"/>
        </w:rPr>
        <w:t>resuelve</w:t>
      </w:r>
    </w:p>
    <w:p w:rsidR="00C62BB3" w:rsidRPr="00BE50D0" w:rsidRDefault="00C62BB3" w:rsidP="00E52CEF">
      <w:r w:rsidRPr="00BE50D0">
        <w:rPr>
          <w:lang w:val="es-ES"/>
        </w:rPr>
        <w:t xml:space="preserve">que, tomando en cuenta los resultados de los estudios del UIT-R, la CMR-19 considere el mejoramiento de la actual atribución secundaria del servicio meteorológico por satélite (espacio a tierra) a primaria en la banda de los 460-470 MHz </w:t>
      </w:r>
      <w:r w:rsidRPr="00BE50D0">
        <w:t xml:space="preserve">sin imponer restricciones adicionales sobre los sistemas en los servicios fijos y móviles primarios existentes en las banda y un límite dfp que no debe superar los </w:t>
      </w:r>
      <w:r>
        <w:t>–</w:t>
      </w:r>
      <w:r w:rsidRPr="00BE50D0">
        <w:t>152 dBW/m</w:t>
      </w:r>
      <w:r w:rsidRPr="00BE50D0">
        <w:rPr>
          <w:vertAlign w:val="superscript"/>
        </w:rPr>
        <w:t>2</w:t>
      </w:r>
      <w:r w:rsidRPr="00BE50D0">
        <w:t>/4</w:t>
      </w:r>
      <w:r w:rsidR="00E1541F">
        <w:t> </w:t>
      </w:r>
      <w:r w:rsidRPr="00BE50D0">
        <w:t>kHz en la superficie de la Tierra</w:t>
      </w:r>
      <w:r w:rsidR="00E52CEF">
        <w:t>,</w:t>
      </w:r>
      <w:r w:rsidRPr="00BE50D0">
        <w:t xml:space="preserve"> </w:t>
      </w:r>
    </w:p>
    <w:p w:rsidR="00C62BB3" w:rsidRPr="00BE50D0" w:rsidRDefault="00C62BB3" w:rsidP="00C62BB3">
      <w:pPr>
        <w:pStyle w:val="Call"/>
        <w:rPr>
          <w:lang w:val="es-ES"/>
        </w:rPr>
      </w:pPr>
      <w:r w:rsidRPr="00BE50D0">
        <w:rPr>
          <w:lang w:val="es-ES"/>
        </w:rPr>
        <w:t>resuelve invitar al UIT-R</w:t>
      </w:r>
    </w:p>
    <w:p w:rsidR="00C62BB3" w:rsidRPr="00BE50D0" w:rsidRDefault="00C62BB3" w:rsidP="00C62BB3">
      <w:pPr>
        <w:rPr>
          <w:lang w:val="es-ES"/>
        </w:rPr>
      </w:pPr>
      <w:r w:rsidRPr="00BE50D0">
        <w:rPr>
          <w:lang w:val="es-ES"/>
        </w:rPr>
        <w:t>1</w:t>
      </w:r>
      <w:r w:rsidRPr="00BE50D0">
        <w:rPr>
          <w:lang w:val="es-ES"/>
        </w:rPr>
        <w:tab/>
        <w:t>a que realice, a tiempo para la CMR-19, estudios de compartición entre el servicio meteorológico por satélite (espacio a tierra) y los servicios fijos y móviles en base primaria en la banda de los 460-470 MHz;</w:t>
      </w:r>
    </w:p>
    <w:p w:rsidR="00C62BB3" w:rsidRPr="00BE50D0" w:rsidRDefault="00C62BB3" w:rsidP="00E52CEF">
      <w:pPr>
        <w:rPr>
          <w:lang w:val="es-ES"/>
        </w:rPr>
      </w:pPr>
      <w:r w:rsidRPr="00BE50D0">
        <w:rPr>
          <w:lang w:val="es-ES"/>
        </w:rPr>
        <w:t>2</w:t>
      </w:r>
      <w:r w:rsidRPr="00BE50D0">
        <w:rPr>
          <w:lang w:val="es-ES"/>
        </w:rPr>
        <w:tab/>
        <w:t xml:space="preserve">a que complete los estudios, tomando en cuenta la utilización actual de la banda atribuida para determinar el adecuado límite de densidad de flujo de potencia, a ser impuesto en el servicio meteorológico por satélite (espacio a tierra) para proteger los servicios existentes en la banda </w:t>
      </w:r>
      <w:r w:rsidRPr="00BE50D0">
        <w:t xml:space="preserve">que no deberán superar </w:t>
      </w:r>
      <w:r>
        <w:t>–</w:t>
      </w:r>
      <w:r w:rsidRPr="00BE50D0">
        <w:t>152 dBW/m</w:t>
      </w:r>
      <w:r w:rsidRPr="00BE50D0">
        <w:rPr>
          <w:vertAlign w:val="superscript"/>
        </w:rPr>
        <w:t>2</w:t>
      </w:r>
      <w:r w:rsidRPr="00BE50D0">
        <w:t>/4</w:t>
      </w:r>
      <w:r w:rsidR="00E1541F">
        <w:t> </w:t>
      </w:r>
      <w:r w:rsidRPr="00BE50D0">
        <w:t>kHz en la superficie de la Tierra</w:t>
      </w:r>
      <w:r w:rsidR="00E52CEF">
        <w:rPr>
          <w:lang w:val="es-ES"/>
        </w:rPr>
        <w:t>,</w:t>
      </w:r>
    </w:p>
    <w:p w:rsidR="00C62BB3" w:rsidRPr="00BE50D0" w:rsidRDefault="00C62BB3" w:rsidP="00C62BB3">
      <w:pPr>
        <w:pStyle w:val="Call"/>
        <w:rPr>
          <w:lang w:val="es-ES"/>
        </w:rPr>
      </w:pPr>
      <w:r w:rsidRPr="00BE50D0">
        <w:rPr>
          <w:lang w:val="es-ES"/>
        </w:rPr>
        <w:t>invita a las administraciones</w:t>
      </w:r>
    </w:p>
    <w:p w:rsidR="00C62BB3" w:rsidRPr="005C7BED" w:rsidRDefault="00C62BB3" w:rsidP="00C62BB3">
      <w:r w:rsidRPr="00BE50D0">
        <w:rPr>
          <w:szCs w:val="24"/>
          <w:lang w:val="es-ES"/>
        </w:rPr>
        <w:t xml:space="preserve">a que participen activamente en los estudios y proporcionen las características técnicas y operativas de sus respectivos sistemas mediante la entrega de sus aportes al UIT-R, </w:t>
      </w:r>
    </w:p>
    <w:p w:rsidR="00C62BB3" w:rsidRPr="00BE50D0" w:rsidRDefault="00C62BB3" w:rsidP="00C62BB3">
      <w:pPr>
        <w:pStyle w:val="Call"/>
        <w:rPr>
          <w:lang w:val="es-ES"/>
        </w:rPr>
      </w:pPr>
      <w:r w:rsidRPr="00BE50D0">
        <w:rPr>
          <w:lang w:val="es-ES"/>
        </w:rPr>
        <w:t>encarga al Secretario General</w:t>
      </w:r>
    </w:p>
    <w:p w:rsidR="00C62BB3" w:rsidRDefault="00C62BB3" w:rsidP="00C62BB3">
      <w:pPr>
        <w:rPr>
          <w:lang w:val="es-ES"/>
        </w:rPr>
      </w:pPr>
      <w:r w:rsidRPr="00BE50D0">
        <w:rPr>
          <w:lang w:val="es-ES"/>
        </w:rPr>
        <w:t>llevar la presente resolución a la atención del Grupo de Coordinación de Frecuencias Espaciales (SFCG) y demás organizaciones internacionales y regionales interesadas.</w:t>
      </w:r>
    </w:p>
    <w:p w:rsidR="00737F6C" w:rsidRPr="00E52CEF" w:rsidRDefault="00071E3A">
      <w:pPr>
        <w:pStyle w:val="Reasons"/>
      </w:pPr>
      <w:r w:rsidRPr="00E52CEF">
        <w:rPr>
          <w:b/>
        </w:rPr>
        <w:t>Motivos:</w:t>
      </w:r>
      <w:r w:rsidRPr="00E52CEF">
        <w:tab/>
      </w:r>
      <w:r w:rsidR="00E52CEF">
        <w:rPr>
          <w:lang w:val="es-ES"/>
        </w:rPr>
        <w:t xml:space="preserve">Una Resolución apoyará </w:t>
      </w:r>
      <w:r w:rsidR="00E52CEF" w:rsidRPr="00BE50D0">
        <w:rPr>
          <w:lang w:val="es-ES"/>
        </w:rPr>
        <w:t>los estudios del UIT-R necesarios bajo el punto pertinente en el orden del día del CMR-19.</w:t>
      </w:r>
    </w:p>
    <w:p w:rsidR="00737F6C" w:rsidRPr="00E52CEF" w:rsidRDefault="00071E3A">
      <w:pPr>
        <w:pStyle w:val="Proposal"/>
      </w:pPr>
      <w:r w:rsidRPr="00E52CEF">
        <w:t>SUP</w:t>
      </w:r>
      <w:r w:rsidRPr="00E52CEF">
        <w:tab/>
        <w:t>IAP/7A24A1/3</w:t>
      </w:r>
    </w:p>
    <w:p w:rsidR="00E622F1" w:rsidRPr="00D14182" w:rsidRDefault="00071E3A" w:rsidP="00E622F1">
      <w:pPr>
        <w:pStyle w:val="ResNo"/>
      </w:pPr>
      <w:bookmarkStart w:id="7" w:name="_Toc328141496"/>
      <w:r w:rsidRPr="00D14182">
        <w:t xml:space="preserve">RESOLUCIÓN </w:t>
      </w:r>
      <w:r w:rsidRPr="00D14182">
        <w:rPr>
          <w:rStyle w:val="href"/>
        </w:rPr>
        <w:t>808</w:t>
      </w:r>
      <w:r w:rsidRPr="00D14182">
        <w:t xml:space="preserve"> (CMR-12)</w:t>
      </w:r>
      <w:bookmarkEnd w:id="7"/>
    </w:p>
    <w:p w:rsidR="00E622F1" w:rsidRPr="00D14182" w:rsidRDefault="00071E3A" w:rsidP="00E622F1">
      <w:pPr>
        <w:pStyle w:val="Restitle"/>
      </w:pPr>
      <w:bookmarkStart w:id="8" w:name="_Toc328141497"/>
      <w:r w:rsidRPr="00D14182">
        <w:t>Orden del día preliminar de la Conferencia Mundial</w:t>
      </w:r>
      <w:r w:rsidRPr="00D14182">
        <w:br/>
        <w:t>de Radiocomunicaciones de 2018</w:t>
      </w:r>
      <w:bookmarkEnd w:id="8"/>
    </w:p>
    <w:p w:rsidR="00737F6C" w:rsidRDefault="00071E3A" w:rsidP="00E52CEF">
      <w:pPr>
        <w:pStyle w:val="Reasons"/>
        <w:rPr>
          <w:lang w:val="es-AR"/>
        </w:rPr>
      </w:pPr>
      <w:r>
        <w:rPr>
          <w:b/>
        </w:rPr>
        <w:t>Mot</w:t>
      </w:r>
      <w:bookmarkStart w:id="9" w:name="_GoBack"/>
      <w:bookmarkEnd w:id="9"/>
      <w:r>
        <w:rPr>
          <w:b/>
        </w:rPr>
        <w:t>ivos:</w:t>
      </w:r>
      <w:r>
        <w:tab/>
      </w:r>
      <w:r w:rsidR="00E52CEF" w:rsidRPr="00AC1006">
        <w:rPr>
          <w:lang w:val="es-AR"/>
        </w:rPr>
        <w:t>Esta Resolución debe eliminarse, ya que la CMR</w:t>
      </w:r>
      <w:r w:rsidR="00E52CEF" w:rsidRPr="00AC1006">
        <w:rPr>
          <w:lang w:val="es-AR"/>
        </w:rPr>
        <w:noBreakHyphen/>
        <w:t>15 creará una nueva Resolución que incluirá el orden del día para la CMR</w:t>
      </w:r>
      <w:r w:rsidR="00E52CEF" w:rsidRPr="00AC1006">
        <w:rPr>
          <w:lang w:val="es-AR"/>
        </w:rPr>
        <w:noBreakHyphen/>
        <w:t>19.</w:t>
      </w:r>
    </w:p>
    <w:p w:rsidR="007577F0" w:rsidRDefault="007577F0">
      <w:pPr>
        <w:tabs>
          <w:tab w:val="clear" w:pos="1134"/>
          <w:tab w:val="clear" w:pos="1871"/>
          <w:tab w:val="clear" w:pos="2268"/>
        </w:tabs>
        <w:overflowPunct/>
        <w:autoSpaceDE/>
        <w:autoSpaceDN/>
        <w:adjustRightInd/>
        <w:spacing w:before="0"/>
        <w:textAlignment w:val="auto"/>
        <w:rPr>
          <w:b/>
          <w:szCs w:val="24"/>
          <w:lang w:val="es-ES"/>
        </w:rPr>
      </w:pPr>
      <w:r>
        <w:rPr>
          <w:b/>
          <w:szCs w:val="24"/>
          <w:lang w:val="es-ES"/>
        </w:rPr>
        <w:br w:type="page"/>
      </w:r>
    </w:p>
    <w:p w:rsidR="007577F0" w:rsidRPr="006B3D9A" w:rsidRDefault="007577F0" w:rsidP="007577F0">
      <w:pPr>
        <w:pStyle w:val="AnnexNo"/>
        <w:rPr>
          <w:lang w:val="es-ES"/>
        </w:rPr>
      </w:pPr>
      <w:r w:rsidRPr="006B3D9A">
        <w:rPr>
          <w:lang w:val="es-ES"/>
        </w:rPr>
        <w:lastRenderedPageBreak/>
        <w:t>ADJUNTO</w:t>
      </w:r>
    </w:p>
    <w:p w:rsidR="007577F0" w:rsidRPr="00BE50D0" w:rsidRDefault="007577F0" w:rsidP="007577F0">
      <w:pPr>
        <w:pStyle w:val="Annextitle"/>
        <w:rPr>
          <w:lang w:val="es-ES"/>
        </w:rPr>
      </w:pPr>
      <w:r w:rsidRPr="00BE50D0">
        <w:rPr>
          <w:lang w:val="es-ES"/>
        </w:rPr>
        <w:t>PROPUESTA PARA UN PUNTO ADICIONAL EN EL ORDEN DEL DÍA PARA ESTUDIAR LA ATRIBUCIÓN DEL SERVICIO METEOROLÓGICO POR SATÉLITE EN LA BANDA DE LOS 460-470 MHZ</w:t>
      </w:r>
    </w:p>
    <w:p w:rsidR="007577F0" w:rsidRPr="00BE50D0" w:rsidRDefault="007577F0" w:rsidP="00694B62">
      <w:pPr>
        <w:rPr>
          <w:lang w:val="es-ES"/>
        </w:rPr>
      </w:pPr>
      <w:r w:rsidRPr="00694B62">
        <w:rPr>
          <w:b/>
          <w:bCs/>
          <w:i/>
          <w:lang w:val="es-ES"/>
        </w:rPr>
        <w:t>Asunto:</w:t>
      </w:r>
      <w:r w:rsidRPr="00BE50D0">
        <w:rPr>
          <w:lang w:val="es-ES"/>
        </w:rPr>
        <w:t xml:space="preserve"> </w:t>
      </w:r>
      <w:r w:rsidRPr="00BE50D0">
        <w:rPr>
          <w:bCs/>
          <w:lang w:val="es-ES"/>
        </w:rPr>
        <w:t xml:space="preserve">Futuro punto en el orden del día de la </w:t>
      </w:r>
      <w:r w:rsidRPr="00BE50D0">
        <w:rPr>
          <w:lang w:val="es-ES"/>
        </w:rPr>
        <w:t>CMR-2019 para examinar el servicio meteorológico por satélite en la banda de los 460-470 MHz</w:t>
      </w:r>
    </w:p>
    <w:p w:rsidR="007577F0" w:rsidRPr="006B3D9A" w:rsidRDefault="007577F0" w:rsidP="007577F0">
      <w:pPr>
        <w:pStyle w:val="Index1"/>
        <w:pBdr>
          <w:bottom w:val="single" w:sz="12" w:space="1" w:color="auto"/>
        </w:pBdr>
        <w:spacing w:before="0"/>
        <w:rPr>
          <w:sz w:val="16"/>
          <w:szCs w:val="16"/>
          <w:lang w:val="es-ES"/>
        </w:rPr>
      </w:pPr>
    </w:p>
    <w:p w:rsidR="007577F0" w:rsidRPr="006B3D9A" w:rsidRDefault="007577F0" w:rsidP="007577F0">
      <w:pPr>
        <w:pStyle w:val="BodyText"/>
        <w:rPr>
          <w:sz w:val="22"/>
          <w:szCs w:val="22"/>
          <w:lang w:val="es-AR"/>
        </w:rPr>
      </w:pPr>
      <w:r w:rsidRPr="006B3D9A">
        <w:rPr>
          <w:b/>
          <w:i/>
          <w:color w:val="000000"/>
          <w:sz w:val="22"/>
          <w:szCs w:val="22"/>
          <w:lang w:val="es-ES" w:eastAsia="x-none"/>
        </w:rPr>
        <w:t>Origen:</w:t>
      </w:r>
      <w:r w:rsidRPr="006B3D9A">
        <w:rPr>
          <w:sz w:val="22"/>
          <w:szCs w:val="22"/>
          <w:lang w:val="es-AR"/>
        </w:rPr>
        <w:t xml:space="preserve"> </w:t>
      </w:r>
      <w:r w:rsidRPr="006B3D9A">
        <w:rPr>
          <w:color w:val="000000"/>
          <w:sz w:val="22"/>
          <w:szCs w:val="22"/>
          <w:lang w:val="es-ES"/>
        </w:rPr>
        <w:t>Estados Miembros de la Comisión Interamericana de Telecomunicaciones (CITEL)</w:t>
      </w:r>
    </w:p>
    <w:p w:rsidR="007577F0" w:rsidRPr="006B3D9A" w:rsidRDefault="007577F0" w:rsidP="007577F0">
      <w:pPr>
        <w:pStyle w:val="Index1"/>
        <w:pBdr>
          <w:bottom w:val="single" w:sz="12" w:space="1" w:color="auto"/>
        </w:pBdr>
        <w:spacing w:before="0"/>
        <w:rPr>
          <w:color w:val="000000"/>
          <w:sz w:val="16"/>
          <w:szCs w:val="16"/>
          <w:lang w:val="es-AR"/>
        </w:rPr>
      </w:pPr>
    </w:p>
    <w:p w:rsidR="007577F0" w:rsidRPr="006B3D9A" w:rsidRDefault="007577F0" w:rsidP="0081201A">
      <w:pPr>
        <w:pStyle w:val="BodyText"/>
        <w:rPr>
          <w:color w:val="000000"/>
          <w:sz w:val="22"/>
          <w:szCs w:val="22"/>
          <w:lang w:val="es-ES"/>
        </w:rPr>
      </w:pPr>
      <w:r w:rsidRPr="006B3D9A">
        <w:rPr>
          <w:b/>
          <w:i/>
          <w:color w:val="000000"/>
          <w:sz w:val="22"/>
          <w:szCs w:val="22"/>
          <w:lang w:val="es-ES"/>
        </w:rPr>
        <w:t>Propuesta:</w:t>
      </w:r>
      <w:r w:rsidRPr="006B3D9A">
        <w:rPr>
          <w:color w:val="000000"/>
          <w:sz w:val="22"/>
          <w:szCs w:val="22"/>
          <w:lang w:val="es-ES"/>
        </w:rPr>
        <w:t xml:space="preserve"> Examinar los servicios en la banda de los 460-470 MHz con miras a mejorar el servicio meteorológico por satélite a título coprimario mientras se protegen los servicios primarios existentes en la banda, sin imponer restricciones adicionales a estos servicios primarios de acuerdo con la Resolución</w:t>
      </w:r>
      <w:r w:rsidR="0081201A">
        <w:rPr>
          <w:color w:val="000000"/>
          <w:sz w:val="22"/>
          <w:szCs w:val="22"/>
          <w:lang w:val="es-ES"/>
        </w:rPr>
        <w:t> </w:t>
      </w:r>
      <w:r w:rsidRPr="006B3D9A">
        <w:rPr>
          <w:b/>
          <w:bCs/>
          <w:color w:val="000000"/>
          <w:sz w:val="22"/>
          <w:szCs w:val="22"/>
          <w:lang w:val="es-ES"/>
        </w:rPr>
        <w:t>[</w:t>
      </w:r>
      <w:r w:rsidRPr="006B3D9A">
        <w:rPr>
          <w:b/>
          <w:bCs/>
          <w:sz w:val="22"/>
          <w:szCs w:val="22"/>
          <w:lang w:val="es-ES_tradnl"/>
        </w:rPr>
        <w:t>IAP</w:t>
      </w:r>
      <w:r w:rsidR="0081201A">
        <w:rPr>
          <w:b/>
          <w:bCs/>
          <w:sz w:val="22"/>
          <w:szCs w:val="22"/>
          <w:lang w:val="es-ES_tradnl"/>
        </w:rPr>
        <w:noBreakHyphen/>
      </w:r>
      <w:r w:rsidRPr="006B3D9A">
        <w:rPr>
          <w:b/>
          <w:bCs/>
          <w:sz w:val="22"/>
          <w:szCs w:val="22"/>
          <w:lang w:val="es-ES_tradnl"/>
        </w:rPr>
        <w:t>10</w:t>
      </w:r>
      <w:r w:rsidR="00D85985" w:rsidRPr="006B3D9A">
        <w:rPr>
          <w:b/>
          <w:bCs/>
          <w:sz w:val="22"/>
          <w:szCs w:val="22"/>
          <w:lang w:val="es-ES_tradnl"/>
        </w:rPr>
        <w:t>A</w:t>
      </w:r>
      <w:r w:rsidRPr="006B3D9A">
        <w:rPr>
          <w:b/>
          <w:bCs/>
          <w:sz w:val="22"/>
          <w:szCs w:val="22"/>
          <w:lang w:val="es-ES_tradnl"/>
        </w:rPr>
        <w:t>-460-470</w:t>
      </w:r>
      <w:r w:rsidRPr="006B3D9A">
        <w:rPr>
          <w:b/>
          <w:bCs/>
          <w:color w:val="000000"/>
          <w:sz w:val="22"/>
          <w:szCs w:val="22"/>
          <w:lang w:val="es-ES"/>
        </w:rPr>
        <w:t>] (CMR-15)</w:t>
      </w:r>
      <w:r w:rsidRPr="006B3D9A">
        <w:rPr>
          <w:color w:val="000000"/>
          <w:sz w:val="22"/>
          <w:szCs w:val="22"/>
          <w:lang w:val="es-ES"/>
        </w:rPr>
        <w:t>.</w:t>
      </w:r>
    </w:p>
    <w:p w:rsidR="00CF0470" w:rsidRPr="006B3D9A" w:rsidRDefault="00CF0470" w:rsidP="00CF0470">
      <w:pPr>
        <w:pStyle w:val="Index1"/>
        <w:pBdr>
          <w:bottom w:val="single" w:sz="12" w:space="1" w:color="auto"/>
        </w:pBdr>
        <w:spacing w:before="0"/>
        <w:rPr>
          <w:color w:val="000000"/>
          <w:sz w:val="16"/>
          <w:szCs w:val="16"/>
        </w:rPr>
      </w:pPr>
    </w:p>
    <w:p w:rsidR="00CF0470" w:rsidRPr="006B3D9A" w:rsidRDefault="00CF0470" w:rsidP="007577F0">
      <w:pPr>
        <w:rPr>
          <w:b/>
          <w:bCs/>
          <w:i/>
          <w:iCs/>
          <w:sz w:val="22"/>
          <w:szCs w:val="22"/>
          <w:lang w:val="es-ES"/>
        </w:rPr>
      </w:pPr>
      <w:r w:rsidRPr="006B3D9A">
        <w:rPr>
          <w:b/>
          <w:bCs/>
          <w:i/>
          <w:iCs/>
          <w:sz w:val="22"/>
          <w:szCs w:val="22"/>
          <w:lang w:val="es-ES"/>
        </w:rPr>
        <w:t>Antecedentes/motivos:</w:t>
      </w:r>
    </w:p>
    <w:p w:rsidR="007577F0" w:rsidRPr="006B3D9A" w:rsidRDefault="007577F0" w:rsidP="00D85985">
      <w:pPr>
        <w:spacing w:before="0"/>
        <w:rPr>
          <w:sz w:val="22"/>
          <w:szCs w:val="22"/>
          <w:lang w:val="es-ES"/>
        </w:rPr>
      </w:pPr>
      <w:r w:rsidRPr="006B3D9A">
        <w:rPr>
          <w:sz w:val="22"/>
          <w:szCs w:val="22"/>
          <w:lang w:val="es-ES"/>
        </w:rPr>
        <w:t xml:space="preserve">La banda de 460-470 MHz es atribuida a título primario a los servicios fijos y móviles. Actualmente, en esta banda el servicio meteorológico por satélite cuenta con una atribución secundaria. Dentro de dicha banda, se emplea en los satélites meteorológicos los equipos del </w:t>
      </w:r>
      <w:r w:rsidRPr="006B3D9A">
        <w:rPr>
          <w:i/>
          <w:iCs/>
          <w:sz w:val="22"/>
          <w:szCs w:val="22"/>
          <w:lang w:val="es-ES"/>
        </w:rPr>
        <w:t>Argos Data Collection System</w:t>
      </w:r>
      <w:r w:rsidRPr="006B3D9A">
        <w:rPr>
          <w:sz w:val="22"/>
          <w:szCs w:val="22"/>
          <w:lang w:val="es-ES"/>
        </w:rPr>
        <w:t xml:space="preserve"> (ADCS) para monitorear más de 21</w:t>
      </w:r>
      <w:r w:rsidR="00D85985" w:rsidRPr="006B3D9A">
        <w:rPr>
          <w:sz w:val="22"/>
          <w:szCs w:val="22"/>
          <w:lang w:val="es-ES"/>
        </w:rPr>
        <w:t> </w:t>
      </w:r>
      <w:r w:rsidRPr="006B3D9A">
        <w:rPr>
          <w:sz w:val="22"/>
          <w:szCs w:val="22"/>
          <w:lang w:val="es-ES"/>
        </w:rPr>
        <w:t>000 plataformas individuales alrededor del mundo para 1</w:t>
      </w:r>
      <w:r w:rsidR="00D85985" w:rsidRPr="006B3D9A">
        <w:rPr>
          <w:sz w:val="22"/>
          <w:szCs w:val="22"/>
          <w:lang w:val="es-ES"/>
        </w:rPr>
        <w:t> </w:t>
      </w:r>
      <w:r w:rsidRPr="006B3D9A">
        <w:rPr>
          <w:sz w:val="22"/>
          <w:szCs w:val="22"/>
          <w:lang w:val="es-ES"/>
        </w:rPr>
        <w:t>900 operadores en 118 países. Entre las aplicaciones vitales del ADCS se incluye el monitoreo y la investigación atmosférica y oceánica, el pronóstico de los ciclones tropicales, la gestión de la industria pesquera, el rastreo de los derrames de petróleo, la localización de los navíos pesqueros, el modelado de la búsqueda y el rescate (en el mar), las alertas antipiratería, el seguimiento de la importación/exportación y de materiales peligrosos, la investigación de especies en peligro de extinción, el mapeo de las migraciones, así como el rastreo y la gestión de la vida silvestre.</w:t>
      </w:r>
    </w:p>
    <w:p w:rsidR="007577F0" w:rsidRPr="0081201A" w:rsidRDefault="007577F0" w:rsidP="00CF0470">
      <w:pPr>
        <w:pBdr>
          <w:bottom w:val="single" w:sz="12" w:space="1" w:color="auto"/>
        </w:pBdr>
        <w:spacing w:before="0"/>
        <w:rPr>
          <w:color w:val="000000"/>
          <w:sz w:val="16"/>
          <w:szCs w:val="16"/>
          <w:lang w:val="es-ES"/>
        </w:rPr>
      </w:pPr>
    </w:p>
    <w:p w:rsidR="007577F0" w:rsidRPr="006B3D9A" w:rsidRDefault="007577F0" w:rsidP="007577F0">
      <w:pPr>
        <w:rPr>
          <w:bCs/>
          <w:color w:val="000000"/>
          <w:sz w:val="22"/>
          <w:szCs w:val="22"/>
          <w:lang w:val="es-ES"/>
        </w:rPr>
      </w:pPr>
      <w:r w:rsidRPr="006B3D9A">
        <w:rPr>
          <w:b/>
          <w:i/>
          <w:color w:val="000000"/>
          <w:sz w:val="22"/>
          <w:szCs w:val="22"/>
          <w:lang w:val="es-ES"/>
        </w:rPr>
        <w:t>Servicios de radiocomunicaciones en cuestión</w:t>
      </w:r>
      <w:r w:rsidRPr="006B3D9A">
        <w:rPr>
          <w:b/>
          <w:bCs/>
          <w:i/>
          <w:iCs/>
          <w:color w:val="000000"/>
          <w:sz w:val="22"/>
          <w:szCs w:val="22"/>
          <w:lang w:val="es-ES"/>
        </w:rPr>
        <w:t xml:space="preserve">: </w:t>
      </w:r>
      <w:r w:rsidRPr="006B3D9A">
        <w:rPr>
          <w:color w:val="000000"/>
          <w:sz w:val="22"/>
          <w:szCs w:val="22"/>
          <w:lang w:val="es-ES"/>
        </w:rPr>
        <w:t>Servicio Meteorológico por Satélite, Servicio Fijo, Servicio Móvil, Servicio de Exploración de la Tierra por Satélite</w:t>
      </w:r>
    </w:p>
    <w:p w:rsidR="007577F0" w:rsidRPr="006B3D9A" w:rsidRDefault="007577F0" w:rsidP="00CF0470">
      <w:pPr>
        <w:pBdr>
          <w:bottom w:val="single" w:sz="12" w:space="1" w:color="auto"/>
        </w:pBdr>
        <w:spacing w:before="0"/>
        <w:rPr>
          <w:color w:val="000000"/>
          <w:sz w:val="16"/>
          <w:szCs w:val="16"/>
          <w:lang w:val="es-ES"/>
        </w:rPr>
      </w:pPr>
    </w:p>
    <w:p w:rsidR="007577F0" w:rsidRPr="006B3D9A" w:rsidRDefault="007577F0" w:rsidP="007577F0">
      <w:pPr>
        <w:rPr>
          <w:b/>
          <w:bCs/>
          <w:i/>
          <w:color w:val="000000"/>
          <w:sz w:val="22"/>
          <w:szCs w:val="22"/>
          <w:lang w:val="es-ES"/>
        </w:rPr>
      </w:pPr>
      <w:r w:rsidRPr="006B3D9A">
        <w:rPr>
          <w:b/>
          <w:i/>
          <w:color w:val="000000"/>
          <w:sz w:val="22"/>
          <w:szCs w:val="22"/>
          <w:lang w:val="es-ES"/>
        </w:rPr>
        <w:t>Indicación de posibles dificultades</w:t>
      </w:r>
      <w:r w:rsidRPr="006B3D9A">
        <w:rPr>
          <w:b/>
          <w:bCs/>
          <w:i/>
          <w:iCs/>
          <w:color w:val="000000"/>
          <w:sz w:val="22"/>
          <w:szCs w:val="22"/>
          <w:lang w:val="es-ES"/>
        </w:rPr>
        <w:t>:</w:t>
      </w:r>
      <w:r w:rsidRPr="006B3D9A">
        <w:rPr>
          <w:bCs/>
          <w:iCs/>
          <w:color w:val="000000"/>
          <w:sz w:val="22"/>
          <w:szCs w:val="22"/>
          <w:lang w:val="es-ES"/>
        </w:rPr>
        <w:t xml:space="preserve"> Ninguna prevista</w:t>
      </w:r>
    </w:p>
    <w:p w:rsidR="007577F0" w:rsidRPr="006B3D9A" w:rsidRDefault="007577F0" w:rsidP="00CF0470">
      <w:pPr>
        <w:pBdr>
          <w:bottom w:val="single" w:sz="12" w:space="1" w:color="auto"/>
        </w:pBdr>
        <w:spacing w:before="0"/>
        <w:rPr>
          <w:color w:val="000000"/>
          <w:sz w:val="22"/>
          <w:szCs w:val="22"/>
          <w:lang w:val="es-ES"/>
        </w:rPr>
      </w:pPr>
    </w:p>
    <w:p w:rsidR="007577F0" w:rsidRPr="006B3D9A" w:rsidRDefault="007577F0" w:rsidP="007577F0">
      <w:pPr>
        <w:rPr>
          <w:b/>
          <w:bCs/>
          <w:i/>
          <w:color w:val="000000"/>
          <w:sz w:val="22"/>
          <w:szCs w:val="22"/>
          <w:lang w:val="es-ES"/>
        </w:rPr>
      </w:pPr>
      <w:r w:rsidRPr="006B3D9A">
        <w:rPr>
          <w:b/>
          <w:i/>
          <w:color w:val="000000"/>
          <w:sz w:val="22"/>
          <w:szCs w:val="22"/>
          <w:lang w:val="es-ES"/>
        </w:rPr>
        <w:t>Estudios previos o en curso sobre el tema</w:t>
      </w:r>
      <w:r w:rsidRPr="006B3D9A">
        <w:rPr>
          <w:b/>
          <w:bCs/>
          <w:i/>
          <w:iCs/>
          <w:color w:val="000000"/>
          <w:sz w:val="22"/>
          <w:szCs w:val="22"/>
          <w:lang w:val="es-ES"/>
        </w:rPr>
        <w:t>:</w:t>
      </w:r>
      <w:r w:rsidRPr="006B3D9A">
        <w:rPr>
          <w:bCs/>
          <w:iCs/>
          <w:color w:val="000000"/>
          <w:sz w:val="22"/>
          <w:szCs w:val="22"/>
          <w:lang w:val="es-ES"/>
        </w:rPr>
        <w:t xml:space="preserve"> Ninguno hasta la fecha</w:t>
      </w:r>
    </w:p>
    <w:p w:rsidR="007577F0" w:rsidRPr="006B3D9A" w:rsidRDefault="007577F0" w:rsidP="00CF0470">
      <w:pPr>
        <w:pBdr>
          <w:bottom w:val="single" w:sz="12" w:space="1" w:color="auto"/>
        </w:pBdr>
        <w:spacing w:before="0"/>
        <w:rPr>
          <w:color w:val="000000"/>
          <w:sz w:val="22"/>
          <w:szCs w:val="22"/>
          <w:lang w:val="es-ES"/>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7577F0" w:rsidRPr="006B3D9A" w:rsidTr="000B3DF0">
        <w:trPr>
          <w:jc w:val="center"/>
        </w:trPr>
        <w:tc>
          <w:tcPr>
            <w:tcW w:w="3979" w:type="dxa"/>
          </w:tcPr>
          <w:p w:rsidR="007577F0" w:rsidRPr="006B3D9A" w:rsidRDefault="007577F0" w:rsidP="00D85985">
            <w:pPr>
              <w:framePr w:hSpace="181" w:wrap="notBeside" w:vAnchor="text" w:hAnchor="text" w:xAlign="center" w:y="1"/>
              <w:tabs>
                <w:tab w:val="left" w:pos="4366"/>
              </w:tabs>
              <w:spacing w:before="0"/>
              <w:rPr>
                <w:b/>
                <w:bCs/>
                <w:i/>
                <w:iCs/>
                <w:color w:val="000000"/>
                <w:sz w:val="22"/>
                <w:szCs w:val="22"/>
                <w:lang w:val="es-ES"/>
              </w:rPr>
            </w:pPr>
            <w:r w:rsidRPr="006B3D9A">
              <w:rPr>
                <w:b/>
                <w:i/>
                <w:color w:val="000000"/>
                <w:sz w:val="22"/>
                <w:szCs w:val="22"/>
                <w:lang w:val="es-ES"/>
              </w:rPr>
              <w:t>Estudios que han de efectuarse a cargo de</w:t>
            </w:r>
            <w:r w:rsidRPr="006B3D9A">
              <w:rPr>
                <w:b/>
                <w:bCs/>
                <w:i/>
                <w:iCs/>
                <w:color w:val="000000"/>
                <w:sz w:val="22"/>
                <w:szCs w:val="22"/>
                <w:lang w:val="es-ES"/>
              </w:rPr>
              <w:t>:</w:t>
            </w:r>
            <w:r w:rsidR="00D85985" w:rsidRPr="006B3D9A">
              <w:rPr>
                <w:b/>
                <w:bCs/>
                <w:i/>
                <w:iCs/>
                <w:color w:val="000000"/>
                <w:sz w:val="22"/>
                <w:szCs w:val="22"/>
                <w:lang w:val="es-ES"/>
              </w:rPr>
              <w:t xml:space="preserve"> </w:t>
            </w:r>
            <w:r w:rsidRPr="006B3D9A">
              <w:rPr>
                <w:color w:val="000000"/>
                <w:sz w:val="22"/>
                <w:szCs w:val="22"/>
                <w:lang w:val="es-ES"/>
              </w:rPr>
              <w:t>CE</w:t>
            </w:r>
            <w:r w:rsidR="00D85985" w:rsidRPr="006B3D9A">
              <w:rPr>
                <w:color w:val="000000"/>
                <w:sz w:val="22"/>
                <w:szCs w:val="22"/>
                <w:lang w:val="es-ES"/>
              </w:rPr>
              <w:t> </w:t>
            </w:r>
            <w:r w:rsidRPr="006B3D9A">
              <w:rPr>
                <w:bCs/>
                <w:iCs/>
                <w:color w:val="000000"/>
                <w:sz w:val="22"/>
                <w:szCs w:val="22"/>
                <w:lang w:val="es-ES"/>
              </w:rPr>
              <w:t>7</w:t>
            </w:r>
          </w:p>
        </w:tc>
        <w:tc>
          <w:tcPr>
            <w:tcW w:w="5357" w:type="dxa"/>
          </w:tcPr>
          <w:p w:rsidR="007577F0" w:rsidRPr="006B3D9A" w:rsidRDefault="007577F0" w:rsidP="000B3DF0">
            <w:pPr>
              <w:pStyle w:val="BodyText"/>
              <w:framePr w:hSpace="181" w:wrap="notBeside" w:vAnchor="text" w:hAnchor="text" w:xAlign="center" w:y="1"/>
              <w:tabs>
                <w:tab w:val="left" w:pos="4366"/>
              </w:tabs>
              <w:ind w:left="113"/>
              <w:rPr>
                <w:b/>
                <w:i/>
                <w:color w:val="000000"/>
                <w:sz w:val="22"/>
                <w:szCs w:val="22"/>
                <w:lang w:val="es-ES"/>
              </w:rPr>
            </w:pPr>
            <w:r w:rsidRPr="006B3D9A">
              <w:rPr>
                <w:b/>
                <w:i/>
                <w:color w:val="000000"/>
                <w:sz w:val="22"/>
                <w:szCs w:val="22"/>
                <w:lang w:val="es-ES"/>
              </w:rPr>
              <w:t xml:space="preserve">con la participación de: </w:t>
            </w:r>
          </w:p>
          <w:p w:rsidR="007577F0" w:rsidRPr="006B3D9A" w:rsidRDefault="007577F0" w:rsidP="000B3DF0">
            <w:pPr>
              <w:framePr w:hSpace="181" w:wrap="notBeside" w:vAnchor="text" w:hAnchor="text" w:xAlign="center" w:y="1"/>
              <w:tabs>
                <w:tab w:val="left" w:pos="4366"/>
              </w:tabs>
              <w:rPr>
                <w:b/>
                <w:bCs/>
                <w:i/>
                <w:iCs/>
                <w:color w:val="000000"/>
                <w:sz w:val="22"/>
                <w:szCs w:val="22"/>
                <w:lang w:val="es-ES"/>
              </w:rPr>
            </w:pPr>
          </w:p>
        </w:tc>
      </w:tr>
    </w:tbl>
    <w:p w:rsidR="007577F0" w:rsidRPr="006B3D9A" w:rsidRDefault="007577F0" w:rsidP="007577F0">
      <w:pPr>
        <w:rPr>
          <w:bCs/>
          <w:color w:val="000000"/>
          <w:sz w:val="22"/>
          <w:szCs w:val="22"/>
          <w:lang w:val="es-ES"/>
        </w:rPr>
      </w:pPr>
      <w:r w:rsidRPr="006B3D9A">
        <w:rPr>
          <w:b/>
          <w:i/>
          <w:color w:val="000000"/>
          <w:sz w:val="22"/>
          <w:szCs w:val="22"/>
          <w:lang w:val="es-ES"/>
        </w:rPr>
        <w:t>Comisiones de Estudio del UIT-R interesados</w:t>
      </w:r>
      <w:r w:rsidRPr="006B3D9A">
        <w:rPr>
          <w:b/>
          <w:bCs/>
          <w:i/>
          <w:iCs/>
          <w:color w:val="000000"/>
          <w:sz w:val="22"/>
          <w:szCs w:val="22"/>
          <w:lang w:val="es-ES"/>
        </w:rPr>
        <w:t xml:space="preserve">: </w:t>
      </w:r>
      <w:r w:rsidRPr="006B3D9A">
        <w:rPr>
          <w:bCs/>
          <w:iCs/>
          <w:color w:val="000000"/>
          <w:sz w:val="22"/>
          <w:szCs w:val="22"/>
          <w:lang w:val="es-ES"/>
        </w:rPr>
        <w:t>CE</w:t>
      </w:r>
      <w:r w:rsidR="00D85985" w:rsidRPr="006B3D9A">
        <w:rPr>
          <w:bCs/>
          <w:iCs/>
          <w:color w:val="000000"/>
          <w:sz w:val="22"/>
          <w:szCs w:val="22"/>
          <w:lang w:val="es-ES"/>
        </w:rPr>
        <w:t> </w:t>
      </w:r>
      <w:r w:rsidRPr="006B3D9A">
        <w:rPr>
          <w:bCs/>
          <w:iCs/>
          <w:color w:val="000000"/>
          <w:sz w:val="22"/>
          <w:szCs w:val="22"/>
          <w:lang w:val="es-ES"/>
        </w:rPr>
        <w:t>5</w:t>
      </w:r>
    </w:p>
    <w:p w:rsidR="007577F0" w:rsidRPr="0081201A" w:rsidRDefault="007577F0" w:rsidP="00CF0470">
      <w:pPr>
        <w:pBdr>
          <w:bottom w:val="single" w:sz="12" w:space="1" w:color="auto"/>
        </w:pBdr>
        <w:spacing w:before="0"/>
        <w:rPr>
          <w:color w:val="000000"/>
          <w:sz w:val="16"/>
          <w:szCs w:val="16"/>
          <w:lang w:val="es-ES"/>
        </w:rPr>
      </w:pPr>
    </w:p>
    <w:p w:rsidR="007577F0" w:rsidRDefault="007577F0" w:rsidP="007577F0">
      <w:pPr>
        <w:pStyle w:val="BodyText"/>
        <w:rPr>
          <w:bCs/>
          <w:iCs/>
          <w:color w:val="000000"/>
          <w:sz w:val="22"/>
          <w:szCs w:val="22"/>
          <w:lang w:val="es-ES"/>
        </w:rPr>
      </w:pPr>
      <w:r w:rsidRPr="006B3D9A">
        <w:rPr>
          <w:b/>
          <w:i/>
          <w:color w:val="000000"/>
          <w:sz w:val="22"/>
          <w:szCs w:val="22"/>
          <w:lang w:val="es-ES"/>
        </w:rPr>
        <w:t>Consecuencias en los recursos de la UIT, incluidas las implicaciones financieras (véase el CV126):</w:t>
      </w:r>
      <w:r w:rsidRPr="006B3D9A">
        <w:rPr>
          <w:color w:val="000000"/>
          <w:sz w:val="22"/>
          <w:szCs w:val="22"/>
          <w:lang w:val="es-ES"/>
        </w:rPr>
        <w:t xml:space="preserve"> </w:t>
      </w:r>
      <w:r w:rsidRPr="006B3D9A">
        <w:rPr>
          <w:bCs/>
          <w:iCs/>
          <w:color w:val="000000"/>
          <w:sz w:val="22"/>
          <w:szCs w:val="22"/>
          <w:lang w:val="es-ES"/>
        </w:rPr>
        <w:t>Mínimas</w:t>
      </w:r>
    </w:p>
    <w:p w:rsidR="0081201A" w:rsidRPr="0081201A" w:rsidRDefault="0081201A" w:rsidP="007577F0">
      <w:pPr>
        <w:pStyle w:val="BodyText"/>
        <w:rPr>
          <w:bCs/>
          <w:iCs/>
          <w:color w:val="000000"/>
          <w:sz w:val="16"/>
          <w:szCs w:val="16"/>
          <w:lang w:val="es-ES"/>
        </w:rPr>
      </w:pPr>
    </w:p>
    <w:p w:rsidR="007577F0" w:rsidRPr="006B3D9A" w:rsidRDefault="007577F0" w:rsidP="0081201A">
      <w:pPr>
        <w:pBdr>
          <w:top w:val="single" w:sz="12" w:space="1" w:color="auto"/>
        </w:pBdr>
        <w:rPr>
          <w:sz w:val="22"/>
          <w:szCs w:val="22"/>
          <w:lang w:val="es-ES"/>
        </w:rPr>
      </w:pPr>
      <w:r w:rsidRPr="006B3D9A">
        <w:rPr>
          <w:b/>
          <w:i/>
          <w:sz w:val="22"/>
          <w:szCs w:val="22"/>
          <w:lang w:val="es-ES"/>
        </w:rPr>
        <w:t>Propuesta regional común</w:t>
      </w:r>
      <w:r w:rsidRPr="006B3D9A">
        <w:rPr>
          <w:b/>
          <w:bCs/>
          <w:i/>
          <w:iCs/>
          <w:sz w:val="22"/>
          <w:szCs w:val="22"/>
          <w:lang w:val="es-ES"/>
        </w:rPr>
        <w:t>:</w:t>
      </w:r>
      <w:r w:rsidRPr="006B3D9A">
        <w:rPr>
          <w:sz w:val="22"/>
          <w:szCs w:val="22"/>
          <w:lang w:val="es-ES"/>
        </w:rPr>
        <w:t xml:space="preserve"> Sí/No</w:t>
      </w:r>
      <w:r w:rsidRPr="006B3D9A">
        <w:rPr>
          <w:sz w:val="22"/>
          <w:szCs w:val="22"/>
          <w:lang w:val="es-ES"/>
        </w:rPr>
        <w:tab/>
      </w:r>
      <w:r w:rsidRPr="006B3D9A">
        <w:rPr>
          <w:b/>
          <w:i/>
          <w:sz w:val="22"/>
          <w:szCs w:val="22"/>
          <w:lang w:val="es-ES"/>
        </w:rPr>
        <w:t>Propuesta presentada por más de un país</w:t>
      </w:r>
      <w:r w:rsidRPr="006B3D9A">
        <w:rPr>
          <w:b/>
          <w:bCs/>
          <w:i/>
          <w:iCs/>
          <w:sz w:val="22"/>
          <w:szCs w:val="22"/>
          <w:lang w:val="es-ES"/>
        </w:rPr>
        <w:t xml:space="preserve">: </w:t>
      </w:r>
      <w:r w:rsidRPr="006B3D9A">
        <w:rPr>
          <w:sz w:val="22"/>
          <w:szCs w:val="22"/>
          <w:lang w:val="es-ES"/>
        </w:rPr>
        <w:t>Sí/No</w:t>
      </w:r>
    </w:p>
    <w:p w:rsidR="007577F0" w:rsidRPr="006B3D9A" w:rsidRDefault="007577F0" w:rsidP="007577F0">
      <w:pPr>
        <w:pStyle w:val="BodyText"/>
        <w:tabs>
          <w:tab w:val="left" w:pos="4366"/>
        </w:tabs>
        <w:rPr>
          <w:b/>
          <w:bCs/>
          <w:i/>
          <w:iCs/>
          <w:color w:val="000000"/>
          <w:sz w:val="22"/>
          <w:szCs w:val="22"/>
          <w:lang w:val="es-ES"/>
        </w:rPr>
      </w:pPr>
      <w:r w:rsidRPr="006B3D9A">
        <w:rPr>
          <w:color w:val="000000"/>
          <w:sz w:val="22"/>
          <w:szCs w:val="22"/>
          <w:lang w:val="es-ES"/>
        </w:rPr>
        <w:tab/>
      </w:r>
      <w:r w:rsidRPr="006B3D9A">
        <w:rPr>
          <w:b/>
          <w:bCs/>
          <w:i/>
          <w:iCs/>
          <w:color w:val="000000"/>
          <w:sz w:val="22"/>
          <w:szCs w:val="22"/>
          <w:lang w:val="es-ES"/>
        </w:rPr>
        <w:t>Número de países:</w:t>
      </w:r>
    </w:p>
    <w:p w:rsidR="007577F0" w:rsidRPr="006B3D9A" w:rsidRDefault="007577F0" w:rsidP="00CF0470">
      <w:pPr>
        <w:pBdr>
          <w:bottom w:val="single" w:sz="12" w:space="1" w:color="auto"/>
        </w:pBdr>
        <w:spacing w:before="0"/>
        <w:rPr>
          <w:color w:val="000000"/>
          <w:sz w:val="16"/>
          <w:szCs w:val="16"/>
          <w:lang w:val="es-ES"/>
        </w:rPr>
      </w:pPr>
    </w:p>
    <w:p w:rsidR="00CF0470" w:rsidRDefault="007577F0" w:rsidP="006B3D9A">
      <w:pPr>
        <w:rPr>
          <w:b/>
          <w:bCs/>
          <w:i/>
          <w:iCs/>
          <w:color w:val="000000"/>
          <w:sz w:val="22"/>
          <w:szCs w:val="22"/>
          <w:lang w:val="es-ES"/>
        </w:rPr>
      </w:pPr>
      <w:r w:rsidRPr="006B3D9A">
        <w:rPr>
          <w:b/>
          <w:bCs/>
          <w:i/>
          <w:iCs/>
          <w:color w:val="000000"/>
          <w:sz w:val="22"/>
          <w:szCs w:val="22"/>
          <w:lang w:val="es-ES"/>
        </w:rPr>
        <w:t>Observaciones</w:t>
      </w:r>
    </w:p>
    <w:p w:rsidR="006B3D9A" w:rsidRPr="0081201A" w:rsidRDefault="006B3D9A" w:rsidP="006B3D9A">
      <w:pPr>
        <w:pStyle w:val="Reasons"/>
        <w:spacing w:before="0"/>
        <w:rPr>
          <w:sz w:val="16"/>
          <w:szCs w:val="16"/>
        </w:rPr>
      </w:pPr>
    </w:p>
    <w:p w:rsidR="006B3D9A" w:rsidRPr="006B3D9A" w:rsidRDefault="006B3D9A" w:rsidP="006B3D9A">
      <w:pPr>
        <w:jc w:val="center"/>
        <w:rPr>
          <w:sz w:val="16"/>
          <w:szCs w:val="16"/>
        </w:rPr>
      </w:pPr>
      <w:r>
        <w:t>______________</w:t>
      </w:r>
    </w:p>
    <w:sectPr w:rsidR="006B3D9A" w:rsidRPr="006B3D9A">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C7BED">
      <w:rPr>
        <w:noProof/>
      </w:rPr>
      <w:t>20.10.15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4AB" w:rsidRPr="008B24AB" w:rsidRDefault="008B24AB" w:rsidP="008B24AB">
    <w:pPr>
      <w:pStyle w:val="Footer"/>
      <w:rPr>
        <w:lang w:val="en-GB"/>
      </w:rPr>
    </w:pPr>
    <w:r>
      <w:fldChar w:fldCharType="begin"/>
    </w:r>
    <w:r w:rsidRPr="00780548">
      <w:rPr>
        <w:lang w:val="en-GB"/>
      </w:rPr>
      <w:instrText xml:space="preserve"> FILENAME \p  \* MERGEFORMAT </w:instrText>
    </w:r>
    <w:r>
      <w:fldChar w:fldCharType="separate"/>
    </w:r>
    <w:r>
      <w:rPr>
        <w:lang w:val="en-GB"/>
      </w:rPr>
      <w:t>P:\ESP\ITU-R\CONF-R\CMR15\000\007ADD24ADD01S.docx</w:t>
    </w:r>
    <w:r>
      <w:fldChar w:fldCharType="end"/>
    </w:r>
    <w:r w:rsidRPr="00E45D00">
      <w:rPr>
        <w:lang w:val="en-GB"/>
      </w:rPr>
      <w:t xml:space="preserve"> </w:t>
    </w:r>
    <w:r>
      <w:rPr>
        <w:lang w:val="en-GB"/>
      </w:rPr>
      <w:t>(</w:t>
    </w:r>
    <w:r w:rsidRPr="00E45D00">
      <w:rPr>
        <w:lang w:val="en-GB"/>
      </w:rPr>
      <w:t>387562)</w:t>
    </w:r>
    <w:r w:rsidRPr="00780548">
      <w:rPr>
        <w:lang w:val="en-GB"/>
      </w:rPr>
      <w:tab/>
    </w:r>
    <w:r>
      <w:fldChar w:fldCharType="begin"/>
    </w:r>
    <w:r>
      <w:instrText xml:space="preserve"> SAVEDATE \@ DD.MM.YY </w:instrText>
    </w:r>
    <w:r>
      <w:fldChar w:fldCharType="separate"/>
    </w:r>
    <w:r w:rsidR="005C7BED">
      <w:t>20.10.15</w:t>
    </w:r>
    <w:r>
      <w:fldChar w:fldCharType="end"/>
    </w:r>
    <w:r w:rsidRPr="00780548">
      <w:rPr>
        <w:lang w:val="en-GB"/>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D6" w:rsidRPr="008B24AB" w:rsidRDefault="008165D6" w:rsidP="008165D6">
    <w:pPr>
      <w:pStyle w:val="Footer"/>
      <w:rPr>
        <w:lang w:val="en-GB"/>
      </w:rPr>
    </w:pPr>
    <w:r>
      <w:fldChar w:fldCharType="begin"/>
    </w:r>
    <w:r w:rsidRPr="00780548">
      <w:rPr>
        <w:lang w:val="en-GB"/>
      </w:rPr>
      <w:instrText xml:space="preserve"> FILENAME \p  \* MERGEFORMAT </w:instrText>
    </w:r>
    <w:r>
      <w:fldChar w:fldCharType="separate"/>
    </w:r>
    <w:r w:rsidR="008B24AB">
      <w:rPr>
        <w:lang w:val="en-GB"/>
      </w:rPr>
      <w:t>P:\ESP\ITU-R\CONF-R\CMR15\000\007ADD24ADD01S.docx</w:t>
    </w:r>
    <w:r>
      <w:fldChar w:fldCharType="end"/>
    </w:r>
    <w:r w:rsidRPr="00E45D00">
      <w:rPr>
        <w:lang w:val="en-GB"/>
      </w:rPr>
      <w:t xml:space="preserve"> </w:t>
    </w:r>
    <w:r>
      <w:rPr>
        <w:lang w:val="en-GB"/>
      </w:rPr>
      <w:t>(</w:t>
    </w:r>
    <w:r w:rsidRPr="00E45D00">
      <w:rPr>
        <w:lang w:val="en-GB"/>
      </w:rPr>
      <w:t>387562)</w:t>
    </w:r>
    <w:r w:rsidRPr="00780548">
      <w:rPr>
        <w:lang w:val="en-GB"/>
      </w:rPr>
      <w:tab/>
    </w:r>
    <w:r>
      <w:fldChar w:fldCharType="begin"/>
    </w:r>
    <w:r>
      <w:instrText xml:space="preserve"> SAVEDATE \@ DD.MM.YY </w:instrText>
    </w:r>
    <w:r>
      <w:fldChar w:fldCharType="separate"/>
    </w:r>
    <w:r w:rsidR="005C7BED">
      <w:t>20.10.15</w:t>
    </w:r>
    <w:r>
      <w:fldChar w:fldCharType="end"/>
    </w:r>
    <w:r w:rsidRPr="00780548">
      <w:rPr>
        <w:lang w:val="en-GB"/>
      </w:rPr>
      <w:tab/>
    </w:r>
    <w:r>
      <w:fldChar w:fldCharType="begin"/>
    </w:r>
    <w:r>
      <w:instrText xml:space="preserve"> PRINTDATE \@ DD.MM.YY </w:instrText>
    </w:r>
    <w:r>
      <w:fldChar w:fldCharType="separate"/>
    </w:r>
    <w:r w:rsidR="008B24AB">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C7BED">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7(Add.24)(Add.1)-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71E3A"/>
    <w:rsid w:val="00087AE8"/>
    <w:rsid w:val="000A5B9A"/>
    <w:rsid w:val="000E5BF9"/>
    <w:rsid w:val="000E727D"/>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94CA8"/>
    <w:rsid w:val="002A791F"/>
    <w:rsid w:val="002C1B26"/>
    <w:rsid w:val="002C5D6C"/>
    <w:rsid w:val="002D249E"/>
    <w:rsid w:val="002E701F"/>
    <w:rsid w:val="003248A9"/>
    <w:rsid w:val="00324FFA"/>
    <w:rsid w:val="0032680B"/>
    <w:rsid w:val="00335AA3"/>
    <w:rsid w:val="00363A65"/>
    <w:rsid w:val="003B1E8C"/>
    <w:rsid w:val="003C2508"/>
    <w:rsid w:val="003D0AA3"/>
    <w:rsid w:val="00440B3A"/>
    <w:rsid w:val="0045384C"/>
    <w:rsid w:val="00454553"/>
    <w:rsid w:val="004B124A"/>
    <w:rsid w:val="005133B5"/>
    <w:rsid w:val="00532097"/>
    <w:rsid w:val="005517CD"/>
    <w:rsid w:val="0058350F"/>
    <w:rsid w:val="00583C7E"/>
    <w:rsid w:val="005C7BED"/>
    <w:rsid w:val="005D46FB"/>
    <w:rsid w:val="005F2605"/>
    <w:rsid w:val="005F3B0E"/>
    <w:rsid w:val="005F559C"/>
    <w:rsid w:val="00662BA0"/>
    <w:rsid w:val="006914C6"/>
    <w:rsid w:val="00692AAE"/>
    <w:rsid w:val="00694B62"/>
    <w:rsid w:val="006B3D9A"/>
    <w:rsid w:val="006D6E67"/>
    <w:rsid w:val="006E1A13"/>
    <w:rsid w:val="00701C20"/>
    <w:rsid w:val="00702F3D"/>
    <w:rsid w:val="0070518E"/>
    <w:rsid w:val="007236CB"/>
    <w:rsid w:val="007354E9"/>
    <w:rsid w:val="00737F6C"/>
    <w:rsid w:val="007577F0"/>
    <w:rsid w:val="00765578"/>
    <w:rsid w:val="0077084A"/>
    <w:rsid w:val="00780548"/>
    <w:rsid w:val="007952C7"/>
    <w:rsid w:val="007C0B95"/>
    <w:rsid w:val="007C2317"/>
    <w:rsid w:val="007D330A"/>
    <w:rsid w:val="0081201A"/>
    <w:rsid w:val="008165D6"/>
    <w:rsid w:val="00866AE6"/>
    <w:rsid w:val="008750A8"/>
    <w:rsid w:val="008B24AB"/>
    <w:rsid w:val="008E5AF2"/>
    <w:rsid w:val="0090121B"/>
    <w:rsid w:val="009144C9"/>
    <w:rsid w:val="0094091F"/>
    <w:rsid w:val="00973754"/>
    <w:rsid w:val="009C0BED"/>
    <w:rsid w:val="009E11EC"/>
    <w:rsid w:val="00A118DB"/>
    <w:rsid w:val="00A4450C"/>
    <w:rsid w:val="00A949FC"/>
    <w:rsid w:val="00AA5E6C"/>
    <w:rsid w:val="00AE5677"/>
    <w:rsid w:val="00AE658F"/>
    <w:rsid w:val="00AF2F78"/>
    <w:rsid w:val="00B239FA"/>
    <w:rsid w:val="00B52D55"/>
    <w:rsid w:val="00B8288C"/>
    <w:rsid w:val="00BE2E80"/>
    <w:rsid w:val="00BE5EDD"/>
    <w:rsid w:val="00BE6A1F"/>
    <w:rsid w:val="00C10FC9"/>
    <w:rsid w:val="00C126C4"/>
    <w:rsid w:val="00C62BB3"/>
    <w:rsid w:val="00C63EB5"/>
    <w:rsid w:val="00C70DA1"/>
    <w:rsid w:val="00CA6CBF"/>
    <w:rsid w:val="00CC01E0"/>
    <w:rsid w:val="00CD5FEE"/>
    <w:rsid w:val="00CE60D2"/>
    <w:rsid w:val="00CE7431"/>
    <w:rsid w:val="00CF0470"/>
    <w:rsid w:val="00D0288A"/>
    <w:rsid w:val="00D72A5D"/>
    <w:rsid w:val="00D85985"/>
    <w:rsid w:val="00DC629B"/>
    <w:rsid w:val="00E05BFF"/>
    <w:rsid w:val="00E1541F"/>
    <w:rsid w:val="00E262F1"/>
    <w:rsid w:val="00E3176A"/>
    <w:rsid w:val="00E45D00"/>
    <w:rsid w:val="00E52CEF"/>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5B68181-1CFC-4E19-9681-61465158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uiPriority w:val="99"/>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uiPriority w:val="99"/>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uiPriority w:val="99"/>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link w:val="ProposalChar"/>
    <w:uiPriority w:val="99"/>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uiPriority w:val="99"/>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RestitleChar">
    <w:name w:val="Res_title Char"/>
    <w:link w:val="Restitle"/>
    <w:uiPriority w:val="99"/>
    <w:locked/>
    <w:rsid w:val="00CA6CBF"/>
    <w:rPr>
      <w:rFonts w:ascii="Times New Roman Bold" w:hAnsi="Times New Roman Bold"/>
      <w:b/>
      <w:sz w:val="28"/>
      <w:lang w:val="es-ES_tradnl" w:eastAsia="en-US"/>
    </w:rPr>
  </w:style>
  <w:style w:type="character" w:customStyle="1" w:styleId="NormalaftertitleChar">
    <w:name w:val="Normal after title Char"/>
    <w:link w:val="Normalaftertitle"/>
    <w:uiPriority w:val="99"/>
    <w:locked/>
    <w:rsid w:val="00CA6CBF"/>
    <w:rPr>
      <w:rFonts w:ascii="Times New Roman" w:hAnsi="Times New Roman"/>
      <w:sz w:val="24"/>
      <w:lang w:val="es-ES_tradnl" w:eastAsia="en-US"/>
    </w:rPr>
  </w:style>
  <w:style w:type="character" w:customStyle="1" w:styleId="ProposalChar">
    <w:name w:val="Proposal Char"/>
    <w:link w:val="Proposal"/>
    <w:uiPriority w:val="99"/>
    <w:locked/>
    <w:rsid w:val="00CA6CBF"/>
    <w:rPr>
      <w:rFonts w:ascii="Times New Roman" w:hAnsi="Times New Roman Bold"/>
      <w:b/>
      <w:sz w:val="24"/>
      <w:lang w:val="es-ES_tradnl" w:eastAsia="en-US"/>
    </w:rPr>
  </w:style>
  <w:style w:type="paragraph" w:customStyle="1" w:styleId="ResTitle0">
    <w:name w:val="Res_Title"/>
    <w:basedOn w:val="Normal"/>
    <w:next w:val="Normal"/>
    <w:rsid w:val="00C62BB3"/>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sz w:val="28"/>
      <w:lang w:val="en-GB"/>
    </w:rPr>
  </w:style>
  <w:style w:type="character" w:customStyle="1" w:styleId="CallChar">
    <w:name w:val="Call Char"/>
    <w:link w:val="Call"/>
    <w:uiPriority w:val="99"/>
    <w:locked/>
    <w:rsid w:val="00C62BB3"/>
    <w:rPr>
      <w:rFonts w:ascii="Times New Roman" w:hAnsi="Times New Roman"/>
      <w:i/>
      <w:sz w:val="24"/>
      <w:lang w:val="es-ES_tradnl" w:eastAsia="en-US"/>
    </w:rPr>
  </w:style>
  <w:style w:type="character" w:customStyle="1" w:styleId="ReasonsChar">
    <w:name w:val="Reasons Char"/>
    <w:link w:val="Reasons"/>
    <w:uiPriority w:val="99"/>
    <w:locked/>
    <w:rsid w:val="00C62BB3"/>
    <w:rPr>
      <w:rFonts w:ascii="Times New Roman" w:hAnsi="Times New Roman"/>
      <w:sz w:val="24"/>
      <w:lang w:val="es-ES_tradnl" w:eastAsia="en-US"/>
    </w:rPr>
  </w:style>
  <w:style w:type="character" w:customStyle="1" w:styleId="HeadingbChar">
    <w:name w:val="Heading_b Char"/>
    <w:link w:val="Headingb"/>
    <w:uiPriority w:val="99"/>
    <w:locked/>
    <w:rsid w:val="007577F0"/>
    <w:rPr>
      <w:b/>
      <w:sz w:val="24"/>
      <w:lang w:val="es-ES_tradnl" w:eastAsia="en-US"/>
    </w:rPr>
  </w:style>
  <w:style w:type="character" w:customStyle="1" w:styleId="ResNoChar">
    <w:name w:val="Res_No Char"/>
    <w:link w:val="ResNo"/>
    <w:uiPriority w:val="99"/>
    <w:locked/>
    <w:rsid w:val="007577F0"/>
    <w:rPr>
      <w:rFonts w:ascii="Times New Roman" w:hAnsi="Times New Roman"/>
      <w:caps/>
      <w:sz w:val="28"/>
      <w:lang w:val="es-ES_tradnl" w:eastAsia="en-US"/>
    </w:rPr>
  </w:style>
  <w:style w:type="paragraph" w:styleId="BodyText">
    <w:name w:val="Body Text"/>
    <w:basedOn w:val="Normal"/>
    <w:link w:val="BodyTextChar"/>
    <w:rsid w:val="007577F0"/>
    <w:pPr>
      <w:tabs>
        <w:tab w:val="clear" w:pos="1134"/>
        <w:tab w:val="clear" w:pos="1871"/>
        <w:tab w:val="clear" w:pos="2268"/>
      </w:tabs>
      <w:overflowPunct/>
      <w:autoSpaceDE/>
      <w:autoSpaceDN/>
      <w:adjustRightInd/>
      <w:spacing w:before="0" w:after="120"/>
      <w:textAlignment w:val="auto"/>
    </w:pPr>
    <w:rPr>
      <w:sz w:val="20"/>
      <w:lang w:val="en-US"/>
    </w:rPr>
  </w:style>
  <w:style w:type="character" w:customStyle="1" w:styleId="BodyTextChar">
    <w:name w:val="Body Text Char"/>
    <w:basedOn w:val="DefaultParagraphFont"/>
    <w:link w:val="BodyText"/>
    <w:rsid w:val="007577F0"/>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R15-WRC15-C-0007!A24-A1!MSW-S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515BE-D5B3-44F2-A207-68026F586488}">
  <ds:schemaRef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950C9DA8-081B-4754-AF21-2A195945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1503</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R15-WRC15-C-0007!A24-A1!MSW-S</vt:lpstr>
    </vt:vector>
  </TitlesOfParts>
  <Manager>Secretaría General - Pool</Manager>
  <Company>Unión Internacional de Telecomunicaciones (UIT)</Company>
  <LinksUpToDate>false</LinksUpToDate>
  <CharactersWithSpaces>9792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R15-WRC15-C-0007!A24-A1!MSW-S</dc:title>
  <dc:subject>Conferencia Mundial de Radiocomunicaciones - 2015</dc:subject>
  <dc:creator>Documents Proposals Manager (DPM)</dc:creator>
  <cp:keywords>DPM_v5.2015.10.8_prod</cp:keywords>
  <dc:description/>
  <cp:lastModifiedBy>Spanish</cp:lastModifiedBy>
  <cp:revision>10</cp:revision>
  <cp:lastPrinted>2003-02-19T20:20:00Z</cp:lastPrinted>
  <dcterms:created xsi:type="dcterms:W3CDTF">2015-10-20T08:09:00Z</dcterms:created>
  <dcterms:modified xsi:type="dcterms:W3CDTF">2015-10-20T08:54:00Z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