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bookmarkStart w:id="0" w:name="_GoBack"/>
            <w:bookmarkEnd w:id="0"/>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1" w:name="ditulogo"/>
            <w:bookmarkEnd w:id="1"/>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53EFC" w:rsidRDefault="006D4724" w:rsidP="00BA5BD0">
            <w:pPr>
              <w:spacing w:before="0"/>
              <w:rPr>
                <w:rFonts w:ascii="Verdana" w:hAnsi="Verdana"/>
                <w:sz w:val="20"/>
                <w:lang w:val="fr-CH"/>
              </w:rPr>
            </w:pPr>
            <w:r w:rsidRPr="00253EFC">
              <w:rPr>
                <w:rFonts w:ascii="Verdana" w:eastAsia="SimSun" w:hAnsi="Verdana" w:cs="Traditional Arabic"/>
                <w:b/>
                <w:sz w:val="20"/>
                <w:lang w:val="fr-CH"/>
              </w:rPr>
              <w:t>Addendum 3 au</w:t>
            </w:r>
            <w:r w:rsidRPr="00253EFC">
              <w:rPr>
                <w:rFonts w:ascii="Verdana" w:eastAsia="SimSun" w:hAnsi="Verdana" w:cs="Traditional Arabic"/>
                <w:b/>
                <w:sz w:val="20"/>
                <w:lang w:val="fr-CH"/>
              </w:rPr>
              <w:br/>
              <w:t>Document 7(Add.24)</w:t>
            </w:r>
            <w:r w:rsidR="00BB1D82" w:rsidRPr="00253EFC">
              <w:rPr>
                <w:rFonts w:ascii="Verdana" w:hAnsi="Verdana"/>
                <w:b/>
                <w:sz w:val="20"/>
                <w:lang w:val="fr-CH"/>
              </w:rPr>
              <w:t>-</w:t>
            </w:r>
            <w:r w:rsidRPr="00253EFC">
              <w:rPr>
                <w:rFonts w:ascii="Verdana" w:hAnsi="Verdana"/>
                <w:b/>
                <w:sz w:val="20"/>
                <w:lang w:val="fr-CH"/>
              </w:rPr>
              <w:t>F</w:t>
            </w:r>
          </w:p>
        </w:tc>
      </w:tr>
      <w:bookmarkEnd w:id="2"/>
      <w:tr w:rsidR="00690C7B" w:rsidRPr="002A6F8F" w:rsidTr="00BB1D82">
        <w:trPr>
          <w:cantSplit/>
        </w:trPr>
        <w:tc>
          <w:tcPr>
            <w:tcW w:w="6911" w:type="dxa"/>
            <w:shd w:val="clear" w:color="auto" w:fill="auto"/>
          </w:tcPr>
          <w:p w:rsidR="00690C7B" w:rsidRPr="00253EFC"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29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53EFC" w:rsidRDefault="00690C7B" w:rsidP="00690C7B">
            <w:pPr>
              <w:pStyle w:val="Source"/>
              <w:rPr>
                <w:lang w:val="fr-CH"/>
              </w:rPr>
            </w:pPr>
            <w:bookmarkStart w:id="3" w:name="dsource" w:colFirst="0" w:colLast="0"/>
            <w:r w:rsidRPr="00253EFC">
              <w:rPr>
                <w:lang w:val="fr-CH"/>
              </w:rPr>
              <w:t>Etats Membres de la Commission interaméricaine des télécommunications (CITEL)</w:t>
            </w:r>
          </w:p>
        </w:tc>
      </w:tr>
      <w:tr w:rsidR="00690C7B" w:rsidRPr="002A6F8F" w:rsidTr="0050008E">
        <w:trPr>
          <w:cantSplit/>
        </w:trPr>
        <w:tc>
          <w:tcPr>
            <w:tcW w:w="10031" w:type="dxa"/>
            <w:gridSpan w:val="2"/>
          </w:tcPr>
          <w:p w:rsidR="00690C7B" w:rsidRPr="00253EFC" w:rsidRDefault="00690C7B" w:rsidP="00690C7B">
            <w:pPr>
              <w:pStyle w:val="Title1"/>
              <w:rPr>
                <w:lang w:val="fr-CH"/>
              </w:rPr>
            </w:pPr>
            <w:bookmarkStart w:id="4" w:name="dtitle1" w:colFirst="0" w:colLast="0"/>
            <w:bookmarkEnd w:id="3"/>
            <w:r w:rsidRPr="00253EFC">
              <w:rPr>
                <w:lang w:val="fr-CH"/>
              </w:rPr>
              <w:t>Propositions pour les travaux de la conférence</w:t>
            </w:r>
          </w:p>
        </w:tc>
      </w:tr>
      <w:tr w:rsidR="00690C7B" w:rsidRPr="002A6F8F" w:rsidTr="0050008E">
        <w:trPr>
          <w:cantSplit/>
        </w:trPr>
        <w:tc>
          <w:tcPr>
            <w:tcW w:w="10031" w:type="dxa"/>
            <w:gridSpan w:val="2"/>
          </w:tcPr>
          <w:p w:rsidR="00690C7B" w:rsidRPr="00253EFC" w:rsidRDefault="00690C7B" w:rsidP="00690C7B">
            <w:pPr>
              <w:pStyle w:val="Title2"/>
              <w:rPr>
                <w:lang w:val="fr-CH"/>
              </w:rPr>
            </w:pPr>
            <w:bookmarkStart w:id="5" w:name="dtitle2" w:colFirst="0" w:colLast="0"/>
            <w:bookmarkEnd w:id="4"/>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10 de l'ordre du jour</w:t>
            </w:r>
          </w:p>
        </w:tc>
      </w:tr>
    </w:tbl>
    <w:bookmarkEnd w:id="6"/>
    <w:p w:rsidR="001C0E40" w:rsidRPr="000F2DBF" w:rsidRDefault="004F1FE0" w:rsidP="00B27401">
      <w:pPr>
        <w:rPr>
          <w:lang w:val="fr-CA"/>
        </w:rPr>
      </w:pPr>
      <w:r w:rsidRPr="000F2DBF">
        <w:rPr>
          <w:lang w:val="fr-CA"/>
        </w:rPr>
        <w:t>10</w:t>
      </w:r>
      <w:r w:rsidRPr="000F2DBF">
        <w:rPr>
          <w:lang w:val="fr-CA"/>
        </w:rPr>
        <w:tab/>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p>
    <w:p w:rsidR="003A583E" w:rsidRDefault="003A583E" w:rsidP="00C62F25"/>
    <w:p w:rsidR="00253EFC" w:rsidRDefault="00253EFC" w:rsidP="00C62F25">
      <w:pPr>
        <w:pStyle w:val="Headingb"/>
      </w:pPr>
      <w:r>
        <w:t>Considérations générales</w:t>
      </w:r>
    </w:p>
    <w:p w:rsidR="006D236E" w:rsidRDefault="009D7F73" w:rsidP="00C62F25">
      <w:pPr>
        <w:rPr>
          <w:rFonts w:eastAsia="SimSun"/>
          <w:bCs/>
          <w:szCs w:val="22"/>
        </w:rPr>
      </w:pPr>
      <w:r>
        <w:t>L’OACI a tenu</w:t>
      </w:r>
      <w:r w:rsidR="00253EFC" w:rsidRPr="0078369D">
        <w:rPr>
          <w:rFonts w:eastAsia="SimSun"/>
          <w:bCs/>
          <w:szCs w:val="22"/>
        </w:rPr>
        <w:t xml:space="preserve"> </w:t>
      </w:r>
      <w:r w:rsidR="00BC46E9" w:rsidRPr="0078369D">
        <w:rPr>
          <w:rFonts w:eastAsia="SimSun"/>
          <w:bCs/>
          <w:szCs w:val="22"/>
        </w:rPr>
        <w:t>à Montréal en mai 2014</w:t>
      </w:r>
      <w:r w:rsidR="00BC46E9">
        <w:rPr>
          <w:rFonts w:eastAsia="SimSun"/>
          <w:bCs/>
          <w:szCs w:val="22"/>
        </w:rPr>
        <w:t xml:space="preserve"> </w:t>
      </w:r>
      <w:r w:rsidR="00253EFC" w:rsidRPr="0078369D">
        <w:rPr>
          <w:rFonts w:eastAsia="SimSun"/>
          <w:bCs/>
          <w:szCs w:val="22"/>
        </w:rPr>
        <w:t xml:space="preserve">une réunion spéciale sur le suivi des vols à l’échelle mondiale pour l’aviation </w:t>
      </w:r>
      <w:r w:rsidR="00BC46E9">
        <w:rPr>
          <w:rFonts w:eastAsia="SimSun"/>
          <w:bCs/>
          <w:szCs w:val="22"/>
        </w:rPr>
        <w:t>et a constitué un G</w:t>
      </w:r>
      <w:r>
        <w:rPr>
          <w:rFonts w:eastAsia="SimSun"/>
          <w:bCs/>
          <w:szCs w:val="22"/>
        </w:rPr>
        <w:t xml:space="preserve">roupe de travail (GT) ad hoc chargé d’élaborer un </w:t>
      </w:r>
      <w:r w:rsidR="00BC46E9">
        <w:rPr>
          <w:rFonts w:eastAsia="SimSun"/>
          <w:bCs/>
          <w:szCs w:val="22"/>
        </w:rPr>
        <w:t>concept d’exploitation en vue d'un</w:t>
      </w:r>
      <w:r>
        <w:rPr>
          <w:rFonts w:eastAsia="SimSun"/>
          <w:bCs/>
          <w:szCs w:val="22"/>
        </w:rPr>
        <w:t xml:space="preserve"> futur</w:t>
      </w:r>
      <w:r w:rsidR="00253EFC" w:rsidRPr="0078369D">
        <w:rPr>
          <w:rFonts w:eastAsia="SimSun"/>
          <w:bCs/>
          <w:szCs w:val="22"/>
        </w:rPr>
        <w:t xml:space="preserve"> Système mondial de détresse et de sécurité aéronautique</w:t>
      </w:r>
      <w:r>
        <w:rPr>
          <w:rFonts w:eastAsia="SimSun"/>
          <w:bCs/>
          <w:szCs w:val="22"/>
        </w:rPr>
        <w:t xml:space="preserve"> (GADSS). Une version préliminaire de ce concept d’exploitation pour le GADSS a été élaborée par </w:t>
      </w:r>
      <w:r w:rsidR="00BC46E9">
        <w:rPr>
          <w:rFonts w:eastAsia="SimSun"/>
          <w:bCs/>
          <w:szCs w:val="22"/>
        </w:rPr>
        <w:t>ce</w:t>
      </w:r>
      <w:r>
        <w:rPr>
          <w:rFonts w:eastAsia="SimSun"/>
          <w:bCs/>
          <w:szCs w:val="22"/>
        </w:rPr>
        <w:t xml:space="preserve"> </w:t>
      </w:r>
      <w:r w:rsidR="001B6856">
        <w:rPr>
          <w:rFonts w:eastAsia="SimSun"/>
          <w:bCs/>
          <w:szCs w:val="22"/>
        </w:rPr>
        <w:t>G</w:t>
      </w:r>
      <w:r>
        <w:rPr>
          <w:rFonts w:eastAsia="SimSun"/>
          <w:bCs/>
          <w:szCs w:val="22"/>
        </w:rPr>
        <w:t xml:space="preserve">roupe de travail ad hoc des vols et présentée à la deuxième </w:t>
      </w:r>
      <w:r w:rsidR="00982539">
        <w:rPr>
          <w:rFonts w:eastAsia="SimSun"/>
          <w:bCs/>
          <w:szCs w:val="22"/>
        </w:rPr>
        <w:t>C</w:t>
      </w:r>
      <w:r>
        <w:rPr>
          <w:rFonts w:eastAsia="SimSun"/>
          <w:bCs/>
          <w:szCs w:val="22"/>
        </w:rPr>
        <w:t>onférence de haut niveau sur la sécurité (HLSC) de l’OACI qui s’est tenue du 2 au 5 février 2015. Cette Conférence a recommandé que l’OACI finalise</w:t>
      </w:r>
      <w:r w:rsidR="006D236E">
        <w:rPr>
          <w:rFonts w:eastAsia="SimSun"/>
          <w:bCs/>
          <w:szCs w:val="22"/>
        </w:rPr>
        <w:t xml:space="preserve"> rapidement et utilise le système GADSS à différente</w:t>
      </w:r>
      <w:r w:rsidR="00BC46E9">
        <w:rPr>
          <w:rFonts w:eastAsia="SimSun"/>
          <w:bCs/>
          <w:szCs w:val="22"/>
        </w:rPr>
        <w:t>s</w:t>
      </w:r>
      <w:r w:rsidR="006D236E">
        <w:rPr>
          <w:rFonts w:eastAsia="SimSun"/>
          <w:bCs/>
          <w:szCs w:val="22"/>
        </w:rPr>
        <w:t xml:space="preserve"> fin</w:t>
      </w:r>
      <w:r w:rsidR="00BC46E9">
        <w:rPr>
          <w:rFonts w:eastAsia="SimSun"/>
          <w:bCs/>
          <w:szCs w:val="22"/>
        </w:rPr>
        <w:t>s</w:t>
      </w:r>
      <w:r w:rsidR="008E1041">
        <w:rPr>
          <w:rFonts w:eastAsia="SimSun"/>
          <w:bCs/>
          <w:szCs w:val="22"/>
        </w:rPr>
        <w:t>:</w:t>
      </w:r>
      <w:r w:rsidR="006D236E">
        <w:rPr>
          <w:rFonts w:eastAsia="SimSun"/>
          <w:bCs/>
          <w:szCs w:val="22"/>
        </w:rPr>
        <w:t xml:space="preserve"> mise en œuvre de la poursuite d’aéronefs </w:t>
      </w:r>
      <w:r w:rsidR="00982539">
        <w:rPr>
          <w:rFonts w:eastAsia="SimSun"/>
          <w:bCs/>
          <w:szCs w:val="22"/>
        </w:rPr>
        <w:t>dans des conditions normales ou anormales</w:t>
      </w:r>
      <w:r w:rsidR="008E1041">
        <w:rPr>
          <w:rFonts w:eastAsia="SimSun"/>
          <w:bCs/>
          <w:szCs w:val="22"/>
        </w:rPr>
        <w:t>;</w:t>
      </w:r>
      <w:r w:rsidR="00BC46E9">
        <w:rPr>
          <w:rFonts w:eastAsia="SimSun"/>
          <w:bCs/>
          <w:szCs w:val="22"/>
        </w:rPr>
        <w:t xml:space="preserve"> suivi autonome</w:t>
      </w:r>
      <w:r w:rsidR="006D236E">
        <w:rPr>
          <w:rFonts w:eastAsia="SimSun"/>
          <w:bCs/>
          <w:szCs w:val="22"/>
        </w:rPr>
        <w:t xml:space="preserve"> des vols en situation de détresse</w:t>
      </w:r>
      <w:r w:rsidR="008E1041">
        <w:rPr>
          <w:rFonts w:eastAsia="SimSun"/>
          <w:bCs/>
          <w:szCs w:val="22"/>
        </w:rPr>
        <w:t>;</w:t>
      </w:r>
      <w:r w:rsidR="006D236E">
        <w:rPr>
          <w:rFonts w:eastAsia="SimSun"/>
          <w:bCs/>
          <w:szCs w:val="22"/>
        </w:rPr>
        <w:t xml:space="preserve"> activités de recherche et de sauvetage (SAR)</w:t>
      </w:r>
      <w:r w:rsidR="008E1041">
        <w:rPr>
          <w:rFonts w:eastAsia="SimSun"/>
          <w:bCs/>
          <w:szCs w:val="22"/>
        </w:rPr>
        <w:t>;</w:t>
      </w:r>
      <w:r w:rsidR="006D236E">
        <w:rPr>
          <w:rFonts w:eastAsia="SimSun"/>
          <w:bCs/>
          <w:szCs w:val="22"/>
        </w:rPr>
        <w:t xml:space="preserve"> extraction automatique de données provenant des enregistreurs de données de vol et de données vocales dans le cockpit</w:t>
      </w:r>
      <w:r w:rsidR="008E1041">
        <w:rPr>
          <w:rFonts w:eastAsia="SimSun"/>
          <w:bCs/>
          <w:szCs w:val="22"/>
        </w:rPr>
        <w:t>;</w:t>
      </w:r>
      <w:r w:rsidR="006D236E">
        <w:rPr>
          <w:rFonts w:eastAsia="SimSun"/>
          <w:bCs/>
          <w:szCs w:val="22"/>
        </w:rPr>
        <w:t xml:space="preserve"> et procédures connexes y compris la gestion de</w:t>
      </w:r>
      <w:r w:rsidR="00BC46E9">
        <w:rPr>
          <w:rFonts w:eastAsia="SimSun"/>
          <w:bCs/>
          <w:szCs w:val="22"/>
        </w:rPr>
        <w:t xml:space="preserve"> ces données. En juin 2015, le G</w:t>
      </w:r>
      <w:r w:rsidR="006D236E">
        <w:rPr>
          <w:rFonts w:eastAsia="SimSun"/>
          <w:bCs/>
          <w:szCs w:val="22"/>
        </w:rPr>
        <w:t>roupe de travail ad hoc a fourni à l’OACI une version finale du concept d’exploitation du système GADSS, pour qu’elle l’examine en vue de sa publication comme document de l’OACI sous l’autorité du Secrétaire général. Le document final relatif au concept d’exploitation pour le système GADSS devrait être publié et disponible au cours du dernier trimestre de l’année 2015.</w:t>
      </w:r>
    </w:p>
    <w:p w:rsidR="00253EFC" w:rsidRPr="0078369D" w:rsidRDefault="006D236E" w:rsidP="001B6856">
      <w:pPr>
        <w:rPr>
          <w:rFonts w:eastAsia="SimSun"/>
          <w:bCs/>
          <w:szCs w:val="22"/>
        </w:rPr>
      </w:pPr>
      <w:r>
        <w:rPr>
          <w:rFonts w:eastAsia="SimSun"/>
          <w:bCs/>
          <w:szCs w:val="22"/>
        </w:rPr>
        <w:t xml:space="preserve">Compte tenu des évolutions attendues concernant la mise en œuvre des différents éléments </w:t>
      </w:r>
      <w:r w:rsidR="00BC46E9">
        <w:rPr>
          <w:rFonts w:eastAsia="SimSun"/>
          <w:bCs/>
          <w:szCs w:val="22"/>
        </w:rPr>
        <w:t xml:space="preserve">constitutifs </w:t>
      </w:r>
      <w:r>
        <w:rPr>
          <w:rFonts w:eastAsia="SimSun"/>
          <w:bCs/>
          <w:szCs w:val="22"/>
        </w:rPr>
        <w:t>du système GADSS, il faudra peut-être apporter des modifications au Règlement des radiocommunications pour mieux répondre aux nouveaux besoins de la communauté aéronautique et des organismes connexes de détresse et de sécurité. Il est donc proposé d’inscrire un point à l’ordre du jour de la CMR</w:t>
      </w:r>
      <w:r w:rsidR="001B6856">
        <w:rPr>
          <w:rFonts w:eastAsia="SimSun"/>
          <w:bCs/>
          <w:szCs w:val="22"/>
        </w:rPr>
        <w:t>-</w:t>
      </w:r>
      <w:r>
        <w:rPr>
          <w:rFonts w:eastAsia="SimSun"/>
          <w:bCs/>
          <w:szCs w:val="22"/>
        </w:rPr>
        <w:t xml:space="preserve">19, dont le libellé serait suffisamment souple pour examiner les </w:t>
      </w:r>
      <w:r>
        <w:rPr>
          <w:rFonts w:eastAsia="SimSun"/>
          <w:bCs/>
          <w:szCs w:val="22"/>
        </w:rPr>
        <w:lastRenderedPageBreak/>
        <w:t xml:space="preserve">modifications </w:t>
      </w:r>
      <w:r w:rsidR="00BC46E9">
        <w:rPr>
          <w:rFonts w:eastAsia="SimSun"/>
          <w:bCs/>
          <w:szCs w:val="22"/>
        </w:rPr>
        <w:t xml:space="preserve">qu'il </w:t>
      </w:r>
      <w:r>
        <w:rPr>
          <w:rFonts w:eastAsia="SimSun"/>
          <w:bCs/>
          <w:szCs w:val="22"/>
        </w:rPr>
        <w:t>faudrait éventuellement apporter au Règlement des radiocommunications pour pouvoir mettre en œuvre le système GADSS, compte tenu des services existants qui pourraient être affectés par ces éventuelles modifications.</w:t>
      </w:r>
    </w:p>
    <w:p w:rsidR="00253EFC" w:rsidRPr="00253EFC" w:rsidRDefault="00253EFC" w:rsidP="00C62F25">
      <w:pPr>
        <w:pStyle w:val="Headingb"/>
      </w:pPr>
      <w:r>
        <w:t>Propositions</w:t>
      </w:r>
    </w:p>
    <w:p w:rsidR="00253EFC" w:rsidRDefault="00253EFC" w:rsidP="00C62F25"/>
    <w:p w:rsidR="0015203F" w:rsidRDefault="0015203F" w:rsidP="00C510FB">
      <w:pPr>
        <w:tabs>
          <w:tab w:val="clear" w:pos="1134"/>
          <w:tab w:val="clear" w:pos="1871"/>
          <w:tab w:val="clear" w:pos="2268"/>
        </w:tabs>
        <w:overflowPunct/>
        <w:autoSpaceDE/>
        <w:autoSpaceDN/>
        <w:adjustRightInd/>
        <w:spacing w:before="0" w:line="480" w:lineRule="auto"/>
        <w:textAlignment w:val="auto"/>
      </w:pPr>
      <w:r>
        <w:br w:type="page"/>
      </w:r>
    </w:p>
    <w:p w:rsidR="00FE4474" w:rsidRDefault="004F1FE0" w:rsidP="00EE6450">
      <w:pPr>
        <w:pStyle w:val="Proposal"/>
      </w:pPr>
      <w:r>
        <w:lastRenderedPageBreak/>
        <w:t>SUP</w:t>
      </w:r>
      <w:r>
        <w:tab/>
        <w:t>IAP/7A24A3/1</w:t>
      </w:r>
    </w:p>
    <w:p w:rsidR="00DD4258" w:rsidRPr="00D9123C" w:rsidRDefault="004F1FE0" w:rsidP="00EE6450">
      <w:pPr>
        <w:pStyle w:val="ResNo"/>
      </w:pPr>
      <w:r w:rsidRPr="00D9123C">
        <w:t xml:space="preserve">RÉSOLUTION </w:t>
      </w:r>
      <w:r>
        <w:rPr>
          <w:rStyle w:val="href"/>
        </w:rPr>
        <w:t>808</w:t>
      </w:r>
      <w:r w:rsidRPr="00D9123C">
        <w:t xml:space="preserve"> (CMR-</w:t>
      </w:r>
      <w:r>
        <w:t>12</w:t>
      </w:r>
      <w:r w:rsidRPr="00D9123C">
        <w:t>)</w:t>
      </w:r>
    </w:p>
    <w:p w:rsidR="00DD4258" w:rsidRPr="009C7CEE" w:rsidRDefault="004F1FE0" w:rsidP="00EE6450">
      <w:pPr>
        <w:pStyle w:val="Restitle"/>
      </w:pPr>
      <w:r w:rsidRPr="009C7CEE">
        <w:t>Ordre du jour préliminaire de la Conférence mondiale</w:t>
      </w:r>
      <w:r w:rsidRPr="009C7CEE">
        <w:br/>
        <w:t>des radiocommunications de 2018</w:t>
      </w:r>
    </w:p>
    <w:p w:rsidR="00FE4474" w:rsidRDefault="004F1FE0" w:rsidP="001B6856">
      <w:pPr>
        <w:pStyle w:val="Reasons"/>
      </w:pPr>
      <w:r>
        <w:rPr>
          <w:b/>
        </w:rPr>
        <w:t>Motifs:</w:t>
      </w:r>
      <w:r>
        <w:tab/>
      </w:r>
      <w:r w:rsidR="00C62F25">
        <w:t>Cette R</w:t>
      </w:r>
      <w:r w:rsidR="006D236E">
        <w:t>ésolution doit être supprimée étant donné que la CMR</w:t>
      </w:r>
      <w:r w:rsidR="001B6856">
        <w:t>-</w:t>
      </w:r>
      <w:r w:rsidR="006D236E">
        <w:t>15 élabor</w:t>
      </w:r>
      <w:r w:rsidR="00C62F25">
        <w:t>er</w:t>
      </w:r>
      <w:r w:rsidR="006D236E">
        <w:t>a une nouvelle Résolution qui contiendra l’ordre du jour de la CMR</w:t>
      </w:r>
      <w:r w:rsidR="001B6856">
        <w:t>-</w:t>
      </w:r>
      <w:r w:rsidR="006D236E">
        <w:t>19</w:t>
      </w:r>
      <w:r w:rsidR="00C62F25">
        <w:t>.</w:t>
      </w:r>
    </w:p>
    <w:p w:rsidR="00FE4474" w:rsidRDefault="004F1FE0" w:rsidP="00EE6450">
      <w:pPr>
        <w:pStyle w:val="Proposal"/>
      </w:pPr>
      <w:r>
        <w:t>ADD</w:t>
      </w:r>
      <w:r>
        <w:tab/>
        <w:t>IAP/7A24A3/2</w:t>
      </w:r>
    </w:p>
    <w:p w:rsidR="00FE4474" w:rsidRDefault="004F1FE0" w:rsidP="00EE6450">
      <w:pPr>
        <w:pStyle w:val="ResNo"/>
      </w:pPr>
      <w:r>
        <w:t>Proj</w:t>
      </w:r>
      <w:r w:rsidR="00253EFC">
        <w:t>et de nouvelle Résolution [</w:t>
      </w:r>
      <w:r>
        <w:t>IAP-10C-2019]</w:t>
      </w:r>
      <w:r w:rsidR="00253EFC">
        <w:t xml:space="preserve"> (CMR-15)</w:t>
      </w:r>
    </w:p>
    <w:p w:rsidR="00FE4474" w:rsidRDefault="006D236E" w:rsidP="00EE6450">
      <w:pPr>
        <w:pStyle w:val="Restitle"/>
        <w:rPr>
          <w:rFonts w:ascii="Times New Roman"/>
        </w:rPr>
      </w:pPr>
      <w:r>
        <w:rPr>
          <w:rFonts w:ascii="Times New Roman"/>
        </w:rPr>
        <w:t>Ordre du jour de la Conf</w:t>
      </w:r>
      <w:r>
        <w:rPr>
          <w:rFonts w:ascii="Times New Roman"/>
        </w:rPr>
        <w:t>é</w:t>
      </w:r>
      <w:r>
        <w:rPr>
          <w:rFonts w:ascii="Times New Roman"/>
        </w:rPr>
        <w:t>rence mondiale des radiocommunicat</w:t>
      </w:r>
      <w:r w:rsidR="00C62F25">
        <w:rPr>
          <w:rFonts w:ascii="Times New Roman"/>
        </w:rPr>
        <w:t>ions de 2019</w:t>
      </w:r>
    </w:p>
    <w:p w:rsidR="00253EFC" w:rsidRDefault="006D236E" w:rsidP="00EE6450">
      <w:r>
        <w:t>1.[GADSS]</w:t>
      </w:r>
      <w:r>
        <w:tab/>
      </w:r>
      <w:r>
        <w:tab/>
      </w:r>
      <w:r w:rsidR="00115337">
        <w:t>examiner les mesures réglementaires, y compris les attributions de fréquences, nécessaire</w:t>
      </w:r>
      <w:r w:rsidR="00C62F25">
        <w:t>s</w:t>
      </w:r>
      <w:r w:rsidR="00115337">
        <w:t xml:space="preserve"> pour satisfaire les besoins en constante évolution du Système mondial de détre</w:t>
      </w:r>
      <w:r w:rsidR="00C62F25">
        <w:t>sse et de sécurité aéronautique</w:t>
      </w:r>
      <w:r w:rsidR="00115337">
        <w:t xml:space="preserve"> (GADSS), conformément à la Résolution </w:t>
      </w:r>
      <w:r w:rsidR="00115337" w:rsidRPr="00115337">
        <w:rPr>
          <w:b/>
          <w:bCs/>
        </w:rPr>
        <w:t>[IAP-10C-GADSS] (CMR-15)</w:t>
      </w:r>
    </w:p>
    <w:p w:rsidR="00FE4474" w:rsidRDefault="004F1FE0" w:rsidP="00EE6450">
      <w:pPr>
        <w:pStyle w:val="Reasons"/>
      </w:pPr>
      <w:r>
        <w:rPr>
          <w:b/>
        </w:rPr>
        <w:t>Motifs:</w:t>
      </w:r>
      <w:r>
        <w:tab/>
      </w:r>
      <w:r w:rsidR="00115337">
        <w:t xml:space="preserve">Appuyer les activités de l’Organisation internationale de l’aviation civile </w:t>
      </w:r>
      <w:r w:rsidR="00C62F25">
        <w:t>afin</w:t>
      </w:r>
      <w:r w:rsidR="00115337">
        <w:t xml:space="preserve"> </w:t>
      </w:r>
      <w:r w:rsidR="00C62F25">
        <w:t>d'</w:t>
      </w:r>
      <w:r w:rsidR="00115337">
        <w:t>élaborer les dispositions réglementaires nécessaires dans les domaines suivants</w:t>
      </w:r>
      <w:r w:rsidR="008E1041">
        <w:t>:</w:t>
      </w:r>
      <w:r w:rsidR="00115337">
        <w:t xml:space="preserve"> suivi des aéronefs dans des conditions normales ou anormales</w:t>
      </w:r>
      <w:r w:rsidR="008E1041">
        <w:t>;</w:t>
      </w:r>
      <w:r w:rsidR="00115337">
        <w:t xml:space="preserve"> suivi autonome des aéronefs en </w:t>
      </w:r>
      <w:r w:rsidR="00C62F25">
        <w:t xml:space="preserve">situation de </w:t>
      </w:r>
      <w:r w:rsidR="00115337">
        <w:t>détresse</w:t>
      </w:r>
      <w:r w:rsidR="008E1041">
        <w:t>;</w:t>
      </w:r>
      <w:r w:rsidR="00115337">
        <w:t xml:space="preserve"> activités de recherche et de sauvetage (SAR)</w:t>
      </w:r>
      <w:r w:rsidR="008E1041">
        <w:t>;</w:t>
      </w:r>
      <w:r w:rsidR="00115337">
        <w:t xml:space="preserve"> extraction automatique de données provenant des enregistreurs de données de vol et de données vocales dans le cockpit</w:t>
      </w:r>
      <w:r w:rsidR="008E1041">
        <w:t>;</w:t>
      </w:r>
      <w:r w:rsidR="00C62F25">
        <w:t xml:space="preserve"> et procédures connexes</w:t>
      </w:r>
      <w:r w:rsidR="008E4315">
        <w:t>,</w:t>
      </w:r>
      <w:r w:rsidR="00C62F25">
        <w:t xml:space="preserve"> y compris</w:t>
      </w:r>
      <w:r w:rsidR="00115337">
        <w:t xml:space="preserve"> la gestion de ces données.</w:t>
      </w:r>
    </w:p>
    <w:p w:rsidR="00FE4474" w:rsidRDefault="004F1FE0" w:rsidP="00EE6450">
      <w:pPr>
        <w:pStyle w:val="Proposal"/>
      </w:pPr>
      <w:r>
        <w:t>ADD</w:t>
      </w:r>
      <w:r>
        <w:tab/>
        <w:t>IAP/7A24A3/3</w:t>
      </w:r>
    </w:p>
    <w:p w:rsidR="00FE4474" w:rsidRDefault="004F1FE0" w:rsidP="00EE6450">
      <w:pPr>
        <w:pStyle w:val="ResNo"/>
      </w:pPr>
      <w:r>
        <w:t>Projet de nouvelle Résolution [IAP-</w:t>
      </w:r>
      <w:r w:rsidR="00253EFC">
        <w:t>10C-2019</w:t>
      </w:r>
      <w:r>
        <w:t>]</w:t>
      </w:r>
      <w:r w:rsidR="00253EFC">
        <w:t xml:space="preserve"> (CMR-15)</w:t>
      </w:r>
    </w:p>
    <w:p w:rsidR="00FE4474" w:rsidRPr="00115337" w:rsidRDefault="00115337" w:rsidP="00EE6450">
      <w:pPr>
        <w:pStyle w:val="Restitle"/>
        <w:rPr>
          <w:rFonts w:ascii="Times New Roman"/>
          <w:lang w:val="fr-CH"/>
        </w:rPr>
      </w:pPr>
      <w:r w:rsidRPr="00115337">
        <w:rPr>
          <w:rFonts w:ascii="Times New Roman"/>
          <w:lang w:val="fr-CH"/>
        </w:rPr>
        <w:t>Communication</w:t>
      </w:r>
      <w:r w:rsidR="00290FEF">
        <w:rPr>
          <w:rFonts w:ascii="Times New Roman"/>
          <w:lang w:val="fr-CH"/>
        </w:rPr>
        <w:t>s</w:t>
      </w:r>
      <w:r w:rsidRPr="00115337">
        <w:rPr>
          <w:rFonts w:ascii="Times New Roman"/>
          <w:lang w:val="fr-CH"/>
        </w:rPr>
        <w:t xml:space="preserve"> du Syst</w:t>
      </w:r>
      <w:r w:rsidRPr="00115337">
        <w:rPr>
          <w:rFonts w:ascii="Times New Roman"/>
          <w:lang w:val="fr-CH"/>
        </w:rPr>
        <w:t>è</w:t>
      </w:r>
      <w:r w:rsidRPr="00115337">
        <w:rPr>
          <w:rFonts w:ascii="Times New Roman"/>
          <w:lang w:val="fr-CH"/>
        </w:rPr>
        <w:t>me mondial de d</w:t>
      </w:r>
      <w:r w:rsidRPr="00115337">
        <w:rPr>
          <w:rFonts w:ascii="Times New Roman"/>
          <w:lang w:val="fr-CH"/>
        </w:rPr>
        <w:t>é</w:t>
      </w:r>
      <w:r w:rsidRPr="00115337">
        <w:rPr>
          <w:rFonts w:ascii="Times New Roman"/>
          <w:lang w:val="fr-CH"/>
        </w:rPr>
        <w:t>tresse et de s</w:t>
      </w:r>
      <w:r w:rsidRPr="00115337">
        <w:rPr>
          <w:rFonts w:ascii="Times New Roman"/>
          <w:lang w:val="fr-CH"/>
        </w:rPr>
        <w:t>é</w:t>
      </w:r>
      <w:r w:rsidRPr="00115337">
        <w:rPr>
          <w:rFonts w:ascii="Times New Roman"/>
          <w:lang w:val="fr-CH"/>
        </w:rPr>
        <w:t>curit</w:t>
      </w:r>
      <w:r w:rsidRPr="00115337">
        <w:rPr>
          <w:rFonts w:ascii="Times New Roman"/>
          <w:lang w:val="fr-CH"/>
        </w:rPr>
        <w:t>é</w:t>
      </w:r>
      <w:r w:rsidRPr="00115337">
        <w:rPr>
          <w:rFonts w:ascii="Times New Roman"/>
          <w:lang w:val="fr-CH"/>
        </w:rPr>
        <w:t xml:space="preserve"> a</w:t>
      </w:r>
      <w:r w:rsidRPr="00115337">
        <w:rPr>
          <w:rFonts w:ascii="Times New Roman"/>
          <w:lang w:val="fr-CH"/>
        </w:rPr>
        <w:t>é</w:t>
      </w:r>
      <w:r w:rsidRPr="00115337">
        <w:rPr>
          <w:rFonts w:ascii="Times New Roman"/>
          <w:lang w:val="fr-CH"/>
        </w:rPr>
        <w:t>ronautique</w:t>
      </w:r>
    </w:p>
    <w:p w:rsidR="005922D0" w:rsidRPr="005922D0" w:rsidRDefault="005922D0" w:rsidP="00EE6450">
      <w:pPr>
        <w:spacing w:before="360"/>
        <w:rPr>
          <w:szCs w:val="24"/>
          <w:lang w:val="fr-CH"/>
        </w:rPr>
      </w:pPr>
      <w:r w:rsidRPr="005922D0">
        <w:rPr>
          <w:szCs w:val="24"/>
          <w:lang w:val="fr-CH"/>
        </w:rPr>
        <w:t>La Conférence mondiale des radiocommunications (Genève 2015),</w:t>
      </w:r>
    </w:p>
    <w:p w:rsidR="005922D0" w:rsidRPr="00BC46E9" w:rsidRDefault="005922D0" w:rsidP="00EE6450">
      <w:pPr>
        <w:pStyle w:val="Call"/>
        <w:rPr>
          <w:lang w:val="fr-CH"/>
        </w:rPr>
      </w:pPr>
      <w:r w:rsidRPr="00BC46E9">
        <w:rPr>
          <w:lang w:val="fr-CH"/>
        </w:rPr>
        <w:t>considérant</w:t>
      </w:r>
    </w:p>
    <w:p w:rsidR="005922D0" w:rsidRPr="005922D0" w:rsidRDefault="005922D0" w:rsidP="00EE6450">
      <w:pPr>
        <w:rPr>
          <w:i/>
          <w:lang w:val="fr-CH"/>
        </w:rPr>
      </w:pPr>
      <w:r w:rsidRPr="005922D0">
        <w:rPr>
          <w:i/>
          <w:lang w:val="fr-CH"/>
        </w:rPr>
        <w:t>a)</w:t>
      </w:r>
      <w:r w:rsidRPr="005922D0">
        <w:rPr>
          <w:lang w:val="fr-CH"/>
        </w:rPr>
        <w:tab/>
        <w:t>que l’Organisation de l’aviation civile internationale (OACI) élabore actuellement les élém</w:t>
      </w:r>
      <w:r w:rsidR="00290FEF">
        <w:rPr>
          <w:lang w:val="fr-CH"/>
        </w:rPr>
        <w:t>ents en vue de l’exploitation d'un</w:t>
      </w:r>
      <w:r w:rsidRPr="005922D0">
        <w:rPr>
          <w:lang w:val="fr-CH"/>
        </w:rPr>
        <w:t xml:space="preserve"> futur Système mondial de détresse et de sécurité aéronautique</w:t>
      </w:r>
      <w:r>
        <w:rPr>
          <w:lang w:val="fr-CH"/>
        </w:rPr>
        <w:t xml:space="preserve"> (GADSS)</w:t>
      </w:r>
      <w:r w:rsidR="008E1041">
        <w:rPr>
          <w:lang w:val="fr-CH"/>
        </w:rPr>
        <w:t>;</w:t>
      </w:r>
    </w:p>
    <w:p w:rsidR="005922D0" w:rsidRPr="005922D0" w:rsidRDefault="005922D0" w:rsidP="00EE6450">
      <w:pPr>
        <w:rPr>
          <w:lang w:val="fr-CH"/>
        </w:rPr>
      </w:pPr>
      <w:r w:rsidRPr="005922D0">
        <w:rPr>
          <w:i/>
          <w:lang w:val="fr-CH"/>
        </w:rPr>
        <w:t>b)</w:t>
      </w:r>
      <w:r w:rsidRPr="005922D0">
        <w:rPr>
          <w:lang w:val="fr-CH"/>
        </w:rPr>
        <w:tab/>
      </w:r>
      <w:r>
        <w:rPr>
          <w:lang w:val="fr-CH"/>
        </w:rPr>
        <w:t xml:space="preserve">que des communications supplémentaires </w:t>
      </w:r>
      <w:r w:rsidR="00290FEF">
        <w:rPr>
          <w:lang w:val="fr-CH"/>
        </w:rPr>
        <w:t xml:space="preserve">peuvent </w:t>
      </w:r>
      <w:r>
        <w:rPr>
          <w:lang w:val="fr-CH"/>
        </w:rPr>
        <w:t>être nécessaires</w:t>
      </w:r>
      <w:r w:rsidR="00290FEF" w:rsidRPr="00290FEF">
        <w:rPr>
          <w:lang w:val="fr-CH"/>
        </w:rPr>
        <w:t xml:space="preserve"> </w:t>
      </w:r>
      <w:r w:rsidR="00290FEF">
        <w:rPr>
          <w:lang w:val="fr-CH"/>
        </w:rPr>
        <w:t>lorsqu’un aéronef se trouve en situation de détresse</w:t>
      </w:r>
      <w:r w:rsidRPr="005922D0">
        <w:rPr>
          <w:lang w:val="fr-CH"/>
        </w:rPr>
        <w:t>;</w:t>
      </w:r>
    </w:p>
    <w:p w:rsidR="005922D0" w:rsidRPr="005922D0" w:rsidRDefault="005922D0" w:rsidP="00EE6450">
      <w:pPr>
        <w:rPr>
          <w:lang w:val="fr-CH"/>
        </w:rPr>
      </w:pPr>
      <w:r w:rsidRPr="005922D0">
        <w:rPr>
          <w:i/>
          <w:iCs/>
          <w:lang w:val="fr-CH"/>
        </w:rPr>
        <w:t>c)</w:t>
      </w:r>
      <w:r w:rsidRPr="005922D0">
        <w:rPr>
          <w:lang w:val="fr-CH"/>
        </w:rPr>
        <w:tab/>
        <w:t xml:space="preserve">que les </w:t>
      </w:r>
      <w:r w:rsidR="00BF7959">
        <w:rPr>
          <w:lang w:val="fr-CH"/>
        </w:rPr>
        <w:t xml:space="preserve">éventuelles </w:t>
      </w:r>
      <w:r w:rsidRPr="005922D0">
        <w:rPr>
          <w:lang w:val="fr-CH"/>
        </w:rPr>
        <w:t>dispositions réglementaires relatives à la mise en œuvre du système GADSS</w:t>
      </w:r>
      <w:r>
        <w:rPr>
          <w:lang w:val="fr-CH"/>
        </w:rPr>
        <w:t xml:space="preserve"> devrai</w:t>
      </w:r>
      <w:r w:rsidR="00BF7959">
        <w:rPr>
          <w:lang w:val="fr-CH"/>
        </w:rPr>
        <w:t>en</w:t>
      </w:r>
      <w:r>
        <w:rPr>
          <w:lang w:val="fr-CH"/>
        </w:rPr>
        <w:t>t garantir la protection des services existants</w:t>
      </w:r>
      <w:r w:rsidRPr="005922D0">
        <w:rPr>
          <w:lang w:val="fr-CH"/>
        </w:rPr>
        <w:t>,</w:t>
      </w:r>
    </w:p>
    <w:p w:rsidR="005922D0" w:rsidRPr="00BC46E9" w:rsidRDefault="005922D0" w:rsidP="00EE6450">
      <w:pPr>
        <w:pStyle w:val="Call"/>
        <w:rPr>
          <w:lang w:val="fr-CH"/>
        </w:rPr>
      </w:pPr>
      <w:r w:rsidRPr="00BC46E9">
        <w:rPr>
          <w:lang w:val="fr-CH"/>
        </w:rPr>
        <w:t>reconnaissant</w:t>
      </w:r>
    </w:p>
    <w:p w:rsidR="005922D0" w:rsidRPr="005922D0" w:rsidRDefault="005922D0" w:rsidP="00766DA1">
      <w:pPr>
        <w:rPr>
          <w:lang w:val="fr-CH"/>
        </w:rPr>
      </w:pPr>
      <w:r w:rsidRPr="005922D0">
        <w:rPr>
          <w:i/>
          <w:lang w:val="fr-CH"/>
        </w:rPr>
        <w:t>a)</w:t>
      </w:r>
      <w:r w:rsidRPr="005922D0">
        <w:rPr>
          <w:i/>
          <w:lang w:val="fr-CH"/>
        </w:rPr>
        <w:tab/>
      </w:r>
      <w:r w:rsidRPr="005922D0">
        <w:rPr>
          <w:lang w:val="fr-CH"/>
        </w:rPr>
        <w:t xml:space="preserve">que les éléments constitutifs du système GADSS </w:t>
      </w:r>
      <w:r w:rsidR="00BF7959">
        <w:rPr>
          <w:lang w:val="fr-CH"/>
        </w:rPr>
        <w:t>indiqués au</w:t>
      </w:r>
      <w:r w:rsidRPr="005922D0">
        <w:rPr>
          <w:lang w:val="fr-CH"/>
        </w:rPr>
        <w:t xml:space="preserve"> point </w:t>
      </w:r>
      <w:r w:rsidRPr="005922D0">
        <w:rPr>
          <w:i/>
          <w:iCs/>
          <w:lang w:val="fr-CH"/>
        </w:rPr>
        <w:t>a) du considérant</w:t>
      </w:r>
      <w:r w:rsidR="00BF7959">
        <w:rPr>
          <w:lang w:val="fr-CH"/>
        </w:rPr>
        <w:t xml:space="preserve"> ne sont pas encore défini</w:t>
      </w:r>
      <w:r w:rsidRPr="005922D0">
        <w:rPr>
          <w:lang w:val="fr-CH"/>
        </w:rPr>
        <w:t>s par l’OACI mais devrai</w:t>
      </w:r>
      <w:r w:rsidR="00BF7959">
        <w:rPr>
          <w:lang w:val="fr-CH"/>
        </w:rPr>
        <w:t>en</w:t>
      </w:r>
      <w:r w:rsidRPr="005922D0">
        <w:rPr>
          <w:lang w:val="fr-CH"/>
        </w:rPr>
        <w:t>t être disponibles suffisamment tôt pour que l’UIT</w:t>
      </w:r>
      <w:r w:rsidR="001B6856">
        <w:rPr>
          <w:lang w:val="fr-CH"/>
        </w:rPr>
        <w:t>-</w:t>
      </w:r>
      <w:r w:rsidRPr="005922D0">
        <w:rPr>
          <w:lang w:val="fr-CH"/>
        </w:rPr>
        <w:t>R puisse entreprendre des études</w:t>
      </w:r>
      <w:r>
        <w:rPr>
          <w:lang w:val="fr-CH"/>
        </w:rPr>
        <w:t xml:space="preserve"> et les achever pour la CMR</w:t>
      </w:r>
      <w:r w:rsidR="00766DA1">
        <w:rPr>
          <w:lang w:val="fr-CH"/>
        </w:rPr>
        <w:t>-</w:t>
      </w:r>
      <w:r>
        <w:rPr>
          <w:lang w:val="fr-CH"/>
        </w:rPr>
        <w:t>19</w:t>
      </w:r>
      <w:r w:rsidRPr="005922D0">
        <w:rPr>
          <w:lang w:val="fr-CH"/>
        </w:rPr>
        <w:t>;</w:t>
      </w:r>
    </w:p>
    <w:p w:rsidR="005922D0" w:rsidRPr="005922D0" w:rsidRDefault="005922D0" w:rsidP="001B6856">
      <w:pPr>
        <w:rPr>
          <w:lang w:val="fr-CH"/>
        </w:rPr>
      </w:pPr>
      <w:r w:rsidRPr="005922D0">
        <w:rPr>
          <w:i/>
          <w:lang w:val="fr-CH"/>
        </w:rPr>
        <w:lastRenderedPageBreak/>
        <w:t>b)</w:t>
      </w:r>
      <w:r w:rsidRPr="005922D0">
        <w:rPr>
          <w:lang w:val="fr-CH"/>
        </w:rPr>
        <w:tab/>
        <w:t>que la CMR</w:t>
      </w:r>
      <w:r w:rsidR="001B6856">
        <w:rPr>
          <w:lang w:val="fr-CH"/>
        </w:rPr>
        <w:t>-</w:t>
      </w:r>
      <w:r w:rsidRPr="005922D0">
        <w:rPr>
          <w:lang w:val="fr-CH"/>
        </w:rPr>
        <w:t xml:space="preserve">15 </w:t>
      </w:r>
      <w:r w:rsidR="00BF7959">
        <w:rPr>
          <w:lang w:val="fr-CH"/>
        </w:rPr>
        <w:t>a adopté</w:t>
      </w:r>
      <w:r w:rsidRPr="005922D0">
        <w:rPr>
          <w:lang w:val="fr-CH"/>
        </w:rPr>
        <w:t xml:space="preserve"> le numéro</w:t>
      </w:r>
      <w:r w:rsidRPr="005922D0">
        <w:rPr>
          <w:b/>
          <w:lang w:val="fr-CH"/>
        </w:rPr>
        <w:t xml:space="preserve"> 5.AGFT</w:t>
      </w:r>
      <w:r w:rsidRPr="005922D0">
        <w:rPr>
          <w:lang w:val="fr-CH"/>
        </w:rPr>
        <w:t xml:space="preserve"> </w:t>
      </w:r>
      <w:r w:rsidR="00BF7959">
        <w:rPr>
          <w:lang w:val="fr-CH"/>
        </w:rPr>
        <w:t>par lequel elle a attribué</w:t>
      </w:r>
      <w:r w:rsidRPr="005922D0">
        <w:rPr>
          <w:lang w:val="fr-CH"/>
        </w:rPr>
        <w:t xml:space="preserve"> la bande de fréquences 1 087,7-1 092,3 MHz t au service mobile aéronautique (R) (Terre vers espace</w:t>
      </w:r>
      <w:r>
        <w:rPr>
          <w:lang w:val="fr-CH"/>
        </w:rPr>
        <w:t>) à titre primaire</w:t>
      </w:r>
      <w:r w:rsidR="00D846C7">
        <w:rPr>
          <w:lang w:val="fr-CH"/>
        </w:rPr>
        <w:t>, limité</w:t>
      </w:r>
      <w:r w:rsidR="00BF7959">
        <w:rPr>
          <w:lang w:val="fr-CH"/>
        </w:rPr>
        <w:t>e</w:t>
      </w:r>
      <w:r w:rsidR="00D846C7">
        <w:rPr>
          <w:lang w:val="fr-CH"/>
        </w:rPr>
        <w:t xml:space="preserve"> à la réception par les stations spatiales des signaux</w:t>
      </w:r>
      <w:r w:rsidR="00A92940">
        <w:rPr>
          <w:lang w:val="fr-CH"/>
        </w:rPr>
        <w:t xml:space="preserve"> ADS-B</w:t>
      </w:r>
      <w:r w:rsidR="00A92940" w:rsidRPr="00A92940">
        <w:rPr>
          <w:lang w:val="fr-CH"/>
        </w:rPr>
        <w:t xml:space="preserve"> </w:t>
      </w:r>
      <w:r w:rsidR="00A92940">
        <w:rPr>
          <w:lang w:val="fr-CH"/>
        </w:rPr>
        <w:t>conformément aux normes aéronautiques internationales reconnues, afin d’élargir les capacités de surveillance de l’infrastructure de gestion d</w:t>
      </w:r>
      <w:r w:rsidR="00BF7959">
        <w:rPr>
          <w:lang w:val="fr-CH"/>
        </w:rPr>
        <w:t>u trafic aérien pour localiser l</w:t>
      </w:r>
      <w:r w:rsidR="00A92940">
        <w:rPr>
          <w:lang w:val="fr-CH"/>
        </w:rPr>
        <w:t>es aéronefs</w:t>
      </w:r>
      <w:r w:rsidR="00BF7959">
        <w:rPr>
          <w:lang w:val="fr-CH"/>
        </w:rPr>
        <w:t>,</w:t>
      </w:r>
      <w:r w:rsidR="00A92940">
        <w:rPr>
          <w:lang w:val="fr-CH"/>
        </w:rPr>
        <w:t xml:space="preserve"> en particulier ceux évoluant dans </w:t>
      </w:r>
      <w:r w:rsidR="00BF7959">
        <w:rPr>
          <w:lang w:val="fr-CH"/>
        </w:rPr>
        <w:t>l'espace aérien au-dessus des</w:t>
      </w:r>
      <w:r w:rsidR="00A92940">
        <w:rPr>
          <w:lang w:val="fr-CH"/>
        </w:rPr>
        <w:t xml:space="preserve"> zones océaniques, polaires ou isolées,</w:t>
      </w:r>
    </w:p>
    <w:p w:rsidR="005922D0" w:rsidRPr="00BC46E9" w:rsidRDefault="00A92940" w:rsidP="00EE6450">
      <w:pPr>
        <w:pStyle w:val="Call"/>
        <w:rPr>
          <w:lang w:val="fr-CH"/>
        </w:rPr>
      </w:pPr>
      <w:r w:rsidRPr="00BC46E9">
        <w:rPr>
          <w:lang w:val="fr-CH"/>
        </w:rPr>
        <w:t>décide d’inviter la CMR</w:t>
      </w:r>
      <w:r w:rsidR="005922D0" w:rsidRPr="00BC46E9">
        <w:rPr>
          <w:lang w:val="fr-CH"/>
        </w:rPr>
        <w:t>-19</w:t>
      </w:r>
    </w:p>
    <w:p w:rsidR="005922D0" w:rsidRPr="00A92940" w:rsidRDefault="00A92940" w:rsidP="001B6856">
      <w:pPr>
        <w:rPr>
          <w:lang w:val="fr-CH"/>
        </w:rPr>
      </w:pPr>
      <w:r w:rsidRPr="00A92940">
        <w:rPr>
          <w:lang w:val="fr-CH"/>
        </w:rPr>
        <w:t>compte tenu des résultats des études de l’UIT</w:t>
      </w:r>
      <w:r w:rsidR="001B6856">
        <w:rPr>
          <w:lang w:val="fr-CH"/>
        </w:rPr>
        <w:t>-</w:t>
      </w:r>
      <w:r w:rsidRPr="00A92940">
        <w:rPr>
          <w:lang w:val="fr-CH"/>
        </w:rPr>
        <w:t>R</w:t>
      </w:r>
      <w:r w:rsidR="00BF7959">
        <w:rPr>
          <w:lang w:val="fr-CH"/>
        </w:rPr>
        <w:t>,</w:t>
      </w:r>
      <w:r w:rsidRPr="00A92940">
        <w:rPr>
          <w:lang w:val="fr-CH"/>
        </w:rPr>
        <w:t xml:space="preserve"> à </w:t>
      </w:r>
      <w:r w:rsidR="00BF7959">
        <w:rPr>
          <w:lang w:val="fr-CH"/>
        </w:rPr>
        <w:t>examiner les</w:t>
      </w:r>
      <w:r w:rsidRPr="00A92940">
        <w:rPr>
          <w:lang w:val="fr-CH"/>
        </w:rPr>
        <w:t xml:space="preserve"> mesures réglementaires qui pourraient être nécessaires, y compris les attributions de fréquences, pour fournir les éléments </w:t>
      </w:r>
      <w:r w:rsidR="00BF7959">
        <w:rPr>
          <w:lang w:val="fr-CH"/>
        </w:rPr>
        <w:t>indiqués</w:t>
      </w:r>
      <w:r>
        <w:rPr>
          <w:lang w:val="fr-CH"/>
        </w:rPr>
        <w:t xml:space="preserve"> au point </w:t>
      </w:r>
      <w:r w:rsidRPr="00BF7959">
        <w:rPr>
          <w:i/>
          <w:iCs/>
          <w:lang w:val="fr-CH"/>
        </w:rPr>
        <w:t xml:space="preserve">a) du </w:t>
      </w:r>
      <w:r w:rsidR="00BF7959" w:rsidRPr="00BF7959">
        <w:rPr>
          <w:i/>
          <w:iCs/>
          <w:lang w:val="fr-CH"/>
        </w:rPr>
        <w:t>considérant</w:t>
      </w:r>
      <w:r>
        <w:rPr>
          <w:lang w:val="fr-CH"/>
        </w:rPr>
        <w:t xml:space="preserve"> sans imposer de contraintes excessives aux systèmes existants</w:t>
      </w:r>
      <w:r w:rsidR="005922D0" w:rsidRPr="00A92940">
        <w:rPr>
          <w:lang w:val="fr-CH"/>
        </w:rPr>
        <w:t>,</w:t>
      </w:r>
    </w:p>
    <w:p w:rsidR="005922D0" w:rsidRPr="00BC46E9" w:rsidRDefault="00A92940" w:rsidP="001B6856">
      <w:pPr>
        <w:pStyle w:val="Call"/>
        <w:rPr>
          <w:lang w:val="fr-CH"/>
        </w:rPr>
      </w:pPr>
      <w:r w:rsidRPr="00BC46E9">
        <w:rPr>
          <w:lang w:val="fr-CH"/>
        </w:rPr>
        <w:t>décide d’inviter l’UIT</w:t>
      </w:r>
      <w:r w:rsidR="001B6856">
        <w:rPr>
          <w:lang w:val="fr-CH"/>
        </w:rPr>
        <w:t>-</w:t>
      </w:r>
      <w:r w:rsidRPr="00BC46E9">
        <w:rPr>
          <w:lang w:val="fr-CH"/>
        </w:rPr>
        <w:t>R</w:t>
      </w:r>
    </w:p>
    <w:p w:rsidR="005922D0" w:rsidRPr="00A92940" w:rsidRDefault="00A92940" w:rsidP="001B6856">
      <w:pPr>
        <w:rPr>
          <w:lang w:val="fr-CH"/>
        </w:rPr>
      </w:pPr>
      <w:r w:rsidRPr="00A92940">
        <w:rPr>
          <w:lang w:val="fr-CH"/>
        </w:rPr>
        <w:t>à mener, à temps pour la CMR</w:t>
      </w:r>
      <w:r w:rsidR="001B6856">
        <w:rPr>
          <w:lang w:val="fr-CH"/>
        </w:rPr>
        <w:t>-</w:t>
      </w:r>
      <w:r w:rsidRPr="00A92940">
        <w:rPr>
          <w:lang w:val="fr-CH"/>
        </w:rPr>
        <w:t>19, les études de partage et de compatibilité nécessaire</w:t>
      </w:r>
      <w:r w:rsidR="007A42EF">
        <w:rPr>
          <w:lang w:val="fr-CH"/>
        </w:rPr>
        <w:t>s</w:t>
      </w:r>
      <w:r w:rsidRPr="00A92940">
        <w:rPr>
          <w:lang w:val="fr-CH"/>
        </w:rPr>
        <w:t xml:space="preserve"> pour assurer la protection des services existants dans les bandes de fréquences susceptibles d’être identifiés pour les éléments </w:t>
      </w:r>
      <w:r w:rsidR="007A42EF">
        <w:rPr>
          <w:lang w:val="fr-CH"/>
        </w:rPr>
        <w:t>indiqués</w:t>
      </w:r>
      <w:r w:rsidRPr="00A92940">
        <w:rPr>
          <w:lang w:val="fr-CH"/>
        </w:rPr>
        <w:t xml:space="preserve"> au point</w:t>
      </w:r>
      <w:r w:rsidRPr="00A92940">
        <w:rPr>
          <w:i/>
          <w:iCs/>
          <w:lang w:val="fr-CH"/>
        </w:rPr>
        <w:t xml:space="preserve"> </w:t>
      </w:r>
      <w:r w:rsidRPr="005922D0">
        <w:rPr>
          <w:i/>
          <w:iCs/>
          <w:lang w:val="fr-CH"/>
        </w:rPr>
        <w:t>a) du considérant</w:t>
      </w:r>
      <w:r w:rsidR="005922D0" w:rsidRPr="00A92940">
        <w:rPr>
          <w:lang w:val="fr-CH"/>
        </w:rPr>
        <w:t>,</w:t>
      </w:r>
    </w:p>
    <w:p w:rsidR="005922D0" w:rsidRPr="00BC46E9" w:rsidRDefault="007A42EF" w:rsidP="00EE6450">
      <w:pPr>
        <w:pStyle w:val="Call"/>
        <w:rPr>
          <w:lang w:val="fr-CH"/>
        </w:rPr>
      </w:pPr>
      <w:r>
        <w:rPr>
          <w:lang w:val="fr-CH"/>
        </w:rPr>
        <w:t>invite les administrations</w:t>
      </w:r>
    </w:p>
    <w:p w:rsidR="005922D0" w:rsidRPr="00A92940" w:rsidRDefault="007A42EF" w:rsidP="001B6856">
      <w:pPr>
        <w:rPr>
          <w:szCs w:val="24"/>
          <w:lang w:val="fr-CH"/>
        </w:rPr>
      </w:pPr>
      <w:r>
        <w:rPr>
          <w:lang w:val="fr-CH"/>
        </w:rPr>
        <w:t>à participer</w:t>
      </w:r>
      <w:r w:rsidR="00A92940" w:rsidRPr="00A92940">
        <w:rPr>
          <w:lang w:val="fr-CH"/>
        </w:rPr>
        <w:t xml:space="preserve"> activement aux études et à fournir les caractéristiques techniques et opérationnelles des systèmes concernés en soumettant des contributions à l’UIT</w:t>
      </w:r>
      <w:r w:rsidR="001B6856">
        <w:rPr>
          <w:lang w:val="fr-CH"/>
        </w:rPr>
        <w:t>-</w:t>
      </w:r>
      <w:r w:rsidR="00A92940" w:rsidRPr="00A92940">
        <w:rPr>
          <w:lang w:val="fr-CH"/>
        </w:rPr>
        <w:t>R</w:t>
      </w:r>
      <w:r w:rsidR="005922D0" w:rsidRPr="00A92940">
        <w:rPr>
          <w:szCs w:val="24"/>
          <w:lang w:val="fr-CH"/>
        </w:rPr>
        <w:t>,</w:t>
      </w:r>
    </w:p>
    <w:p w:rsidR="005922D0" w:rsidRPr="00A92940" w:rsidRDefault="00A92940" w:rsidP="00EE6450">
      <w:pPr>
        <w:pStyle w:val="Call"/>
        <w:rPr>
          <w:lang w:val="fr-CH"/>
        </w:rPr>
      </w:pPr>
      <w:r w:rsidRPr="00A92940">
        <w:rPr>
          <w:lang w:val="fr-CH"/>
        </w:rPr>
        <w:t>invit</w:t>
      </w:r>
      <w:r w:rsidR="007A42EF">
        <w:rPr>
          <w:lang w:val="fr-CH"/>
        </w:rPr>
        <w:t>e en outre</w:t>
      </w:r>
    </w:p>
    <w:p w:rsidR="005922D0" w:rsidRPr="00A92940" w:rsidRDefault="00A92940" w:rsidP="001B6856">
      <w:pPr>
        <w:rPr>
          <w:lang w:val="fr-CH"/>
        </w:rPr>
      </w:pPr>
      <w:r w:rsidRPr="00A92940">
        <w:rPr>
          <w:lang w:val="fr-CH"/>
        </w:rPr>
        <w:t xml:space="preserve">l’Organisation de l’aviation civile internationale (OACI), </w:t>
      </w:r>
      <w:r>
        <w:rPr>
          <w:lang w:val="fr-CH"/>
        </w:rPr>
        <w:t xml:space="preserve">l’Association </w:t>
      </w:r>
      <w:r w:rsidR="00C510FB">
        <w:rPr>
          <w:lang w:val="fr-CH"/>
        </w:rPr>
        <w:t>du transport aérien internationale</w:t>
      </w:r>
      <w:r>
        <w:rPr>
          <w:lang w:val="fr-CH"/>
        </w:rPr>
        <w:t xml:space="preserve"> (</w:t>
      </w:r>
      <w:r w:rsidR="007A42EF">
        <w:rPr>
          <w:lang w:val="fr-CH"/>
        </w:rPr>
        <w:t xml:space="preserve">IATA), les administrations et les </w:t>
      </w:r>
      <w:r>
        <w:rPr>
          <w:lang w:val="fr-CH"/>
        </w:rPr>
        <w:t xml:space="preserve">autres organisations concernées à participer aux études visées dans le point </w:t>
      </w:r>
      <w:r w:rsidRPr="00A92940">
        <w:rPr>
          <w:i/>
          <w:iCs/>
          <w:lang w:val="fr-CH"/>
        </w:rPr>
        <w:t>invite l’UIT</w:t>
      </w:r>
      <w:r w:rsidR="001B6856">
        <w:rPr>
          <w:i/>
          <w:iCs/>
          <w:lang w:val="fr-CH"/>
        </w:rPr>
        <w:t>-</w:t>
      </w:r>
      <w:r w:rsidRPr="00A92940">
        <w:rPr>
          <w:i/>
          <w:iCs/>
          <w:lang w:val="fr-CH"/>
        </w:rPr>
        <w:t xml:space="preserve">R </w:t>
      </w:r>
      <w:r>
        <w:rPr>
          <w:lang w:val="fr-CH"/>
        </w:rPr>
        <w:t>ci-dessus</w:t>
      </w:r>
      <w:r w:rsidR="005922D0" w:rsidRPr="00A92940">
        <w:rPr>
          <w:lang w:val="fr-CH"/>
        </w:rPr>
        <w:t>,</w:t>
      </w:r>
    </w:p>
    <w:p w:rsidR="005922D0" w:rsidRPr="00BC46E9" w:rsidRDefault="00501FC5" w:rsidP="00EE6450">
      <w:pPr>
        <w:pStyle w:val="Call"/>
        <w:rPr>
          <w:lang w:val="fr-CH"/>
        </w:rPr>
      </w:pPr>
      <w:r>
        <w:rPr>
          <w:lang w:val="fr-CH"/>
        </w:rPr>
        <w:t>charge le Secrétaire général</w:t>
      </w:r>
    </w:p>
    <w:p w:rsidR="005922D0" w:rsidRPr="00A92940" w:rsidRDefault="00A92940" w:rsidP="001B6856">
      <w:pPr>
        <w:rPr>
          <w:b/>
          <w:lang w:val="fr-CH"/>
        </w:rPr>
      </w:pPr>
      <w:r w:rsidRPr="00A92940">
        <w:rPr>
          <w:lang w:val="fr-CH"/>
        </w:rPr>
        <w:t xml:space="preserve">de porter la présente Résolution à l’attention de l’Organisation de l’aviation civile internationale et de </w:t>
      </w:r>
      <w:r w:rsidR="007A42EF">
        <w:rPr>
          <w:lang w:val="fr-CH"/>
        </w:rPr>
        <w:t>souligner</w:t>
      </w:r>
      <w:r w:rsidRPr="00A92940">
        <w:rPr>
          <w:lang w:val="fr-CH"/>
        </w:rPr>
        <w:t xml:space="preserve"> la nécessité de disposer d’informations sur les caractéristiques techniques et les besoins de spectre lié à la mise en œuvre du système GADSS dans les meilleurs délais, de préférence avant le 31 décembre 2016, </w:t>
      </w:r>
      <w:r w:rsidR="00D46454">
        <w:rPr>
          <w:lang w:val="fr-CH"/>
        </w:rPr>
        <w:t>pour que les études de l’UIT</w:t>
      </w:r>
      <w:r w:rsidR="001B6856">
        <w:rPr>
          <w:lang w:val="fr-CH"/>
        </w:rPr>
        <w:t>-</w:t>
      </w:r>
      <w:r w:rsidR="00D46454">
        <w:rPr>
          <w:lang w:val="fr-CH"/>
        </w:rPr>
        <w:t>R puissent être achevées avant la CMR</w:t>
      </w:r>
      <w:r w:rsidR="001B6856">
        <w:rPr>
          <w:lang w:val="fr-CH"/>
        </w:rPr>
        <w:t>-</w:t>
      </w:r>
      <w:r w:rsidR="00D46454">
        <w:rPr>
          <w:lang w:val="fr-CH"/>
        </w:rPr>
        <w:t>19</w:t>
      </w:r>
      <w:r w:rsidR="005922D0" w:rsidRPr="00A92940">
        <w:rPr>
          <w:lang w:val="fr-CH"/>
        </w:rPr>
        <w:t>.</w:t>
      </w:r>
    </w:p>
    <w:p w:rsidR="005922D0" w:rsidRPr="00D46454" w:rsidRDefault="00D46454" w:rsidP="001B6856">
      <w:pPr>
        <w:pStyle w:val="Reasons"/>
        <w:rPr>
          <w:szCs w:val="24"/>
          <w:lang w:val="fr-CH"/>
        </w:rPr>
      </w:pPr>
      <w:r w:rsidRPr="00D46454">
        <w:rPr>
          <w:b/>
          <w:lang w:val="fr-CH"/>
        </w:rPr>
        <w:t>Motifs</w:t>
      </w:r>
      <w:r w:rsidR="005922D0" w:rsidRPr="00D46454">
        <w:rPr>
          <w:b/>
          <w:lang w:val="fr-CH"/>
        </w:rPr>
        <w:t>:</w:t>
      </w:r>
      <w:r w:rsidR="005922D0" w:rsidRPr="00D46454">
        <w:rPr>
          <w:lang w:val="fr-CH"/>
        </w:rPr>
        <w:tab/>
      </w:r>
      <w:r w:rsidR="00501FC5">
        <w:rPr>
          <w:lang w:val="fr-CH"/>
        </w:rPr>
        <w:t>E</w:t>
      </w:r>
      <w:r>
        <w:rPr>
          <w:lang w:val="fr-CH"/>
        </w:rPr>
        <w:t>laborer une R</w:t>
      </w:r>
      <w:r w:rsidRPr="00D46454">
        <w:rPr>
          <w:lang w:val="fr-CH"/>
        </w:rPr>
        <w:t>ésolution à l’appui des études de l’UIT</w:t>
      </w:r>
      <w:r w:rsidR="001B6856">
        <w:rPr>
          <w:lang w:val="fr-CH"/>
        </w:rPr>
        <w:t>-</w:t>
      </w:r>
      <w:r w:rsidRPr="00D46454">
        <w:rPr>
          <w:lang w:val="fr-CH"/>
        </w:rPr>
        <w:t>R nécessaire</w:t>
      </w:r>
      <w:r>
        <w:rPr>
          <w:lang w:val="fr-CH"/>
        </w:rPr>
        <w:t>s</w:t>
      </w:r>
      <w:r w:rsidRPr="00D46454">
        <w:rPr>
          <w:lang w:val="fr-CH"/>
        </w:rPr>
        <w:t xml:space="preserve"> au titre du point </w:t>
      </w:r>
      <w:r>
        <w:rPr>
          <w:lang w:val="fr-CH"/>
        </w:rPr>
        <w:t>de l’ordre</w:t>
      </w:r>
      <w:r w:rsidR="007A42EF">
        <w:rPr>
          <w:lang w:val="fr-CH"/>
        </w:rPr>
        <w:t xml:space="preserve"> du jour pertinent de la CMR</w:t>
      </w:r>
      <w:r w:rsidR="001B6856">
        <w:rPr>
          <w:lang w:val="fr-CH"/>
        </w:rPr>
        <w:t>-</w:t>
      </w:r>
      <w:r w:rsidR="007A42EF">
        <w:rPr>
          <w:lang w:val="fr-CH"/>
        </w:rPr>
        <w:t>19.</w:t>
      </w:r>
    </w:p>
    <w:p w:rsidR="00253EFC" w:rsidRDefault="00253EFC" w:rsidP="00EE6450">
      <w:pPr>
        <w:pStyle w:val="Reasons"/>
        <w:rPr>
          <w:lang w:val="fr-CH"/>
        </w:rPr>
      </w:pPr>
    </w:p>
    <w:p w:rsidR="002443A7" w:rsidRDefault="002443A7" w:rsidP="00EE6450">
      <w:pPr>
        <w:pStyle w:val="Reasons"/>
        <w:rPr>
          <w:lang w:val="fr-CH"/>
        </w:rPr>
      </w:pPr>
    </w:p>
    <w:p w:rsidR="002443A7" w:rsidRDefault="002443A7" w:rsidP="00EE6450">
      <w:pPr>
        <w:pStyle w:val="Reasons"/>
        <w:rPr>
          <w:lang w:val="fr-CH"/>
        </w:rPr>
      </w:pPr>
    </w:p>
    <w:p w:rsidR="002443A7" w:rsidRDefault="002443A7" w:rsidP="00EE6450">
      <w:pPr>
        <w:pStyle w:val="Reasons"/>
        <w:rPr>
          <w:lang w:val="fr-CH"/>
        </w:rPr>
      </w:pPr>
    </w:p>
    <w:p w:rsidR="002443A7" w:rsidRDefault="002443A7" w:rsidP="00EE6450">
      <w:pPr>
        <w:pStyle w:val="Reasons"/>
        <w:rPr>
          <w:lang w:val="fr-CH"/>
        </w:rPr>
      </w:pPr>
    </w:p>
    <w:p w:rsidR="002443A7" w:rsidRDefault="002443A7" w:rsidP="00EE6450">
      <w:pPr>
        <w:pStyle w:val="Reasons"/>
        <w:rPr>
          <w:lang w:val="fr-CH"/>
        </w:rPr>
      </w:pPr>
    </w:p>
    <w:p w:rsidR="008E581A" w:rsidRPr="00BC46E9" w:rsidRDefault="008E581A" w:rsidP="00EE6450">
      <w:pPr>
        <w:pStyle w:val="Reasons"/>
        <w:rPr>
          <w:lang w:val="fr-CH"/>
        </w:rPr>
      </w:pPr>
      <w:r w:rsidRPr="008E581A">
        <w:rPr>
          <w:b/>
          <w:bCs/>
          <w:lang w:val="fr-CH"/>
        </w:rPr>
        <w:t>Pièce jointe:</w:t>
      </w:r>
      <w:r>
        <w:rPr>
          <w:lang w:val="fr-CH"/>
        </w:rPr>
        <w:t xml:space="preserve"> 1</w:t>
      </w:r>
    </w:p>
    <w:p w:rsidR="009D033C" w:rsidRPr="00BC46E9" w:rsidRDefault="009D033C" w:rsidP="00EE6450">
      <w:pPr>
        <w:tabs>
          <w:tab w:val="clear" w:pos="1134"/>
          <w:tab w:val="clear" w:pos="1871"/>
          <w:tab w:val="clear" w:pos="2268"/>
        </w:tabs>
        <w:overflowPunct/>
        <w:autoSpaceDE/>
        <w:autoSpaceDN/>
        <w:adjustRightInd/>
        <w:spacing w:before="0"/>
        <w:textAlignment w:val="auto"/>
        <w:rPr>
          <w:lang w:val="fr-CH"/>
        </w:rPr>
      </w:pPr>
      <w:r w:rsidRPr="00BC46E9">
        <w:rPr>
          <w:lang w:val="fr-CH"/>
        </w:rPr>
        <w:br w:type="page"/>
      </w:r>
    </w:p>
    <w:p w:rsidR="009D033C" w:rsidRPr="00BC46E9" w:rsidRDefault="00D46454" w:rsidP="00EE6450">
      <w:pPr>
        <w:pStyle w:val="AnnexNo"/>
        <w:rPr>
          <w:lang w:val="fr-CH"/>
        </w:rPr>
      </w:pPr>
      <w:r w:rsidRPr="00BC46E9">
        <w:rPr>
          <w:lang w:val="fr-CH"/>
        </w:rPr>
        <w:lastRenderedPageBreak/>
        <w:t>PIECE JOINTE</w:t>
      </w:r>
    </w:p>
    <w:p w:rsidR="009D033C" w:rsidRPr="00CA771A" w:rsidRDefault="00CA771A" w:rsidP="00766DA1">
      <w:pPr>
        <w:pStyle w:val="Annextitle"/>
        <w:spacing w:before="80" w:after="80"/>
        <w:rPr>
          <w:lang w:val="fr-CH"/>
        </w:rPr>
      </w:pPr>
      <w:r w:rsidRPr="00CA771A">
        <w:rPr>
          <w:lang w:val="fr-CH"/>
        </w:rPr>
        <w:t xml:space="preserve">Proposition de point de l’ordre du jour supplémentaire relatif au </w:t>
      </w:r>
      <w:r w:rsidR="00D62B79">
        <w:rPr>
          <w:lang w:val="fr-CH"/>
        </w:rPr>
        <w:br/>
      </w:r>
      <w:r w:rsidRPr="00CA771A">
        <w:rPr>
          <w:lang w:val="fr-CH"/>
        </w:rPr>
        <w:t>Système mondial de détresse et de sécurité aéronautique</w:t>
      </w:r>
    </w:p>
    <w:p w:rsidR="009D033C" w:rsidRDefault="00C64A9B" w:rsidP="00766DA1">
      <w:pPr>
        <w:keepNext/>
        <w:spacing w:before="80"/>
        <w:rPr>
          <w:bCs/>
          <w:color w:val="000000"/>
          <w:szCs w:val="24"/>
          <w:lang w:val="fr-CH"/>
        </w:rPr>
      </w:pPr>
      <w:r w:rsidRPr="00CA771A">
        <w:rPr>
          <w:b/>
          <w:i/>
          <w:color w:val="000000"/>
          <w:szCs w:val="24"/>
          <w:lang w:val="fr-CH"/>
        </w:rPr>
        <w:t>Objet</w:t>
      </w:r>
      <w:r w:rsidR="009D033C" w:rsidRPr="00CA771A">
        <w:rPr>
          <w:b/>
          <w:i/>
          <w:color w:val="000000"/>
          <w:szCs w:val="24"/>
          <w:lang w:val="fr-CH"/>
        </w:rPr>
        <w:t>:</w:t>
      </w:r>
      <w:r w:rsidR="009D033C" w:rsidRPr="00CA771A">
        <w:rPr>
          <w:b/>
          <w:color w:val="000000"/>
          <w:szCs w:val="24"/>
          <w:lang w:val="fr-CH"/>
        </w:rPr>
        <w:t xml:space="preserve"> </w:t>
      </w:r>
      <w:r w:rsidR="00CA771A" w:rsidRPr="00CA771A">
        <w:rPr>
          <w:bCs/>
          <w:color w:val="000000"/>
          <w:szCs w:val="24"/>
          <w:lang w:val="fr-CH"/>
        </w:rPr>
        <w:t>Proposer l’inscription</w:t>
      </w:r>
      <w:r w:rsidR="00CA771A">
        <w:rPr>
          <w:bCs/>
          <w:color w:val="000000"/>
          <w:szCs w:val="24"/>
          <w:lang w:val="fr-CH"/>
        </w:rPr>
        <w:t xml:space="preserve"> d’un po</w:t>
      </w:r>
      <w:r w:rsidR="008B514F">
        <w:rPr>
          <w:bCs/>
          <w:color w:val="000000"/>
          <w:szCs w:val="24"/>
          <w:lang w:val="fr-CH"/>
        </w:rPr>
        <w:t>int à l’ordre du jour de la CMR-</w:t>
      </w:r>
      <w:r w:rsidR="00CA771A">
        <w:rPr>
          <w:bCs/>
          <w:color w:val="000000"/>
          <w:szCs w:val="24"/>
          <w:lang w:val="fr-CH"/>
        </w:rPr>
        <w:t xml:space="preserve">19 </w:t>
      </w:r>
      <w:r w:rsidR="008E581A">
        <w:rPr>
          <w:bCs/>
          <w:color w:val="000000"/>
          <w:szCs w:val="24"/>
          <w:lang w:val="fr-CH"/>
        </w:rPr>
        <w:t>afin d'</w:t>
      </w:r>
      <w:r w:rsidR="00CA771A">
        <w:rPr>
          <w:bCs/>
          <w:color w:val="000000"/>
          <w:szCs w:val="24"/>
          <w:lang w:val="fr-CH"/>
        </w:rPr>
        <w:t>appuyer les activ</w:t>
      </w:r>
      <w:r w:rsidR="008E581A">
        <w:rPr>
          <w:bCs/>
          <w:color w:val="000000"/>
          <w:szCs w:val="24"/>
          <w:lang w:val="fr-CH"/>
        </w:rPr>
        <w:t>ités actuellement menées par l’O</w:t>
      </w:r>
      <w:r w:rsidR="00CA771A">
        <w:rPr>
          <w:bCs/>
          <w:color w:val="000000"/>
          <w:szCs w:val="24"/>
          <w:lang w:val="fr-CH"/>
        </w:rPr>
        <w:t>rganisation de l’aviation civile internationale pour faciliter les communications</w:t>
      </w:r>
      <w:r w:rsidR="001F51BB">
        <w:rPr>
          <w:bCs/>
          <w:color w:val="000000"/>
          <w:szCs w:val="24"/>
          <w:lang w:val="fr-CH"/>
        </w:rPr>
        <w:t xml:space="preserve"> entre aéronefs dans des situations d’urgence</w:t>
      </w:r>
    </w:p>
    <w:p w:rsidR="00D62B79" w:rsidRPr="00FF107A" w:rsidRDefault="00D62B79" w:rsidP="00766DA1">
      <w:pPr>
        <w:pBdr>
          <w:bottom w:val="single" w:sz="12" w:space="1" w:color="auto"/>
        </w:pBdr>
        <w:tabs>
          <w:tab w:val="left" w:pos="794"/>
          <w:tab w:val="left" w:pos="1191"/>
          <w:tab w:val="left" w:pos="1588"/>
          <w:tab w:val="left" w:pos="1985"/>
        </w:tabs>
        <w:spacing w:before="0"/>
        <w:rPr>
          <w:color w:val="000000"/>
          <w:szCs w:val="24"/>
        </w:rPr>
      </w:pPr>
    </w:p>
    <w:p w:rsidR="009D033C" w:rsidRPr="00CA771A" w:rsidRDefault="009D033C" w:rsidP="00766DA1">
      <w:pPr>
        <w:spacing w:before="40"/>
        <w:rPr>
          <w:color w:val="000000"/>
          <w:szCs w:val="24"/>
          <w:lang w:val="fr-CH"/>
        </w:rPr>
      </w:pPr>
      <w:r w:rsidRPr="00CA771A">
        <w:rPr>
          <w:b/>
          <w:i/>
          <w:color w:val="000000"/>
          <w:szCs w:val="24"/>
          <w:lang w:val="fr-CH"/>
        </w:rPr>
        <w:t>Origin</w:t>
      </w:r>
      <w:r w:rsidR="00C64A9B" w:rsidRPr="00CA771A">
        <w:rPr>
          <w:b/>
          <w:i/>
          <w:color w:val="000000"/>
          <w:szCs w:val="24"/>
          <w:lang w:val="fr-CH"/>
        </w:rPr>
        <w:t>e</w:t>
      </w:r>
      <w:r w:rsidRPr="00CA771A">
        <w:rPr>
          <w:b/>
          <w:i/>
          <w:color w:val="000000"/>
          <w:szCs w:val="24"/>
          <w:lang w:val="fr-CH"/>
        </w:rPr>
        <w:t>:</w:t>
      </w:r>
      <w:r w:rsidRPr="00CA771A">
        <w:rPr>
          <w:color w:val="000000"/>
          <w:szCs w:val="24"/>
          <w:lang w:val="fr-CH"/>
        </w:rPr>
        <w:t xml:space="preserve"> </w:t>
      </w:r>
      <w:r w:rsidR="00CA771A" w:rsidRPr="00CA771A">
        <w:rPr>
          <w:color w:val="000000"/>
          <w:szCs w:val="24"/>
          <w:lang w:val="fr-CH"/>
        </w:rPr>
        <w:t>Etats Membres de la Commission interaméricaine des télécommunications</w:t>
      </w:r>
      <w:r w:rsidRPr="00CA771A">
        <w:rPr>
          <w:lang w:val="fr-CH"/>
        </w:rPr>
        <w:t xml:space="preserve"> (CITEL)</w:t>
      </w:r>
    </w:p>
    <w:p w:rsidR="009D033C" w:rsidRPr="00CA771A" w:rsidRDefault="009D033C" w:rsidP="00EE6450">
      <w:pPr>
        <w:pBdr>
          <w:bottom w:val="single" w:sz="12" w:space="1" w:color="auto"/>
        </w:pBdr>
        <w:tabs>
          <w:tab w:val="left" w:pos="794"/>
          <w:tab w:val="left" w:pos="1191"/>
          <w:tab w:val="left" w:pos="1588"/>
          <w:tab w:val="left" w:pos="1985"/>
        </w:tabs>
        <w:spacing w:before="0"/>
        <w:rPr>
          <w:color w:val="000000"/>
          <w:szCs w:val="24"/>
          <w:lang w:val="fr-CH"/>
        </w:rPr>
      </w:pPr>
    </w:p>
    <w:p w:rsidR="009D033C" w:rsidRPr="00CA771A" w:rsidRDefault="009D033C" w:rsidP="00766DA1">
      <w:pPr>
        <w:spacing w:before="40"/>
        <w:rPr>
          <w:b/>
          <w:iCs/>
          <w:color w:val="000000"/>
          <w:szCs w:val="24"/>
          <w:lang w:val="fr-CH"/>
        </w:rPr>
      </w:pPr>
      <w:r w:rsidRPr="00CA771A">
        <w:rPr>
          <w:b/>
          <w:bCs/>
          <w:i/>
          <w:color w:val="000000"/>
          <w:szCs w:val="24"/>
          <w:lang w:val="fr-CH"/>
        </w:rPr>
        <w:t>Propo</w:t>
      </w:r>
      <w:r w:rsidR="008E581A">
        <w:rPr>
          <w:b/>
          <w:bCs/>
          <w:i/>
          <w:color w:val="000000"/>
          <w:szCs w:val="24"/>
          <w:lang w:val="fr-CH"/>
        </w:rPr>
        <w:t>s</w:t>
      </w:r>
      <w:r w:rsidR="00C64A9B" w:rsidRPr="00CA771A">
        <w:rPr>
          <w:b/>
          <w:bCs/>
          <w:i/>
          <w:color w:val="000000"/>
          <w:szCs w:val="24"/>
          <w:lang w:val="fr-CH"/>
        </w:rPr>
        <w:t>ition</w:t>
      </w:r>
      <w:r w:rsidRPr="00CA771A">
        <w:rPr>
          <w:b/>
          <w:i/>
          <w:iCs/>
          <w:color w:val="000000"/>
          <w:szCs w:val="24"/>
          <w:lang w:val="fr-CH"/>
        </w:rPr>
        <w:t>:</w:t>
      </w:r>
      <w:r w:rsidRPr="00CA771A">
        <w:rPr>
          <w:i/>
          <w:iCs/>
          <w:color w:val="000000"/>
          <w:szCs w:val="24"/>
          <w:lang w:val="fr-CH"/>
        </w:rPr>
        <w:t xml:space="preserve"> </w:t>
      </w:r>
      <w:r w:rsidR="00CA771A" w:rsidRPr="00766DA1">
        <w:rPr>
          <w:b/>
          <w:i/>
          <w:color w:val="000000"/>
          <w:szCs w:val="24"/>
          <w:lang w:val="fr-CH"/>
        </w:rPr>
        <w:t>répondre</w:t>
      </w:r>
      <w:r w:rsidR="00CA771A" w:rsidRPr="00CA771A">
        <w:rPr>
          <w:color w:val="000000"/>
          <w:szCs w:val="24"/>
          <w:lang w:val="fr-CH"/>
        </w:rPr>
        <w:t xml:space="preserve"> aux besoins en constante évolution du Système mondial de détresse et de sécurité aéronautique</w:t>
      </w:r>
    </w:p>
    <w:p w:rsidR="009D033C" w:rsidRPr="00CA771A" w:rsidRDefault="009D033C" w:rsidP="00EE6450">
      <w:pPr>
        <w:pBdr>
          <w:bottom w:val="single" w:sz="12" w:space="1" w:color="auto"/>
        </w:pBdr>
        <w:tabs>
          <w:tab w:val="left" w:pos="794"/>
          <w:tab w:val="left" w:pos="1191"/>
          <w:tab w:val="left" w:pos="1588"/>
          <w:tab w:val="left" w:pos="1985"/>
        </w:tabs>
        <w:spacing w:before="0"/>
        <w:rPr>
          <w:color w:val="000000"/>
          <w:szCs w:val="24"/>
          <w:lang w:val="fr-CH"/>
        </w:rPr>
      </w:pPr>
    </w:p>
    <w:p w:rsidR="009D033C" w:rsidRPr="00433589" w:rsidRDefault="00C64A9B" w:rsidP="00766DA1">
      <w:pPr>
        <w:spacing w:before="40"/>
        <w:rPr>
          <w:szCs w:val="24"/>
          <w:lang w:val="fr-CH"/>
        </w:rPr>
      </w:pPr>
      <w:r w:rsidRPr="00433589">
        <w:rPr>
          <w:b/>
          <w:i/>
          <w:color w:val="000000"/>
          <w:szCs w:val="24"/>
          <w:lang w:val="fr-CH"/>
        </w:rPr>
        <w:t>Contexte/motif</w:t>
      </w:r>
      <w:r w:rsidR="009D033C" w:rsidRPr="00433589">
        <w:rPr>
          <w:b/>
          <w:bCs/>
          <w:i/>
          <w:iCs/>
          <w:color w:val="000000"/>
          <w:szCs w:val="24"/>
          <w:lang w:val="fr-CH"/>
        </w:rPr>
        <w:t>:</w:t>
      </w:r>
    </w:p>
    <w:p w:rsidR="009D033C" w:rsidRPr="00CA771A" w:rsidRDefault="00433589" w:rsidP="00766DA1">
      <w:pPr>
        <w:spacing w:before="60"/>
        <w:rPr>
          <w:szCs w:val="24"/>
          <w:lang w:val="fr-CH"/>
        </w:rPr>
      </w:pPr>
      <w:r>
        <w:rPr>
          <w:rFonts w:eastAsia="SimSun"/>
          <w:bCs/>
          <w:szCs w:val="22"/>
        </w:rPr>
        <w:t xml:space="preserve">L’Organisation de l’aviation civile internationale </w:t>
      </w:r>
      <w:r w:rsidR="008E581A">
        <w:rPr>
          <w:rFonts w:eastAsia="SimSun"/>
          <w:bCs/>
          <w:szCs w:val="22"/>
        </w:rPr>
        <w:t xml:space="preserve">(OACI) </w:t>
      </w:r>
      <w:r>
        <w:rPr>
          <w:rFonts w:eastAsia="SimSun"/>
          <w:bCs/>
          <w:szCs w:val="22"/>
        </w:rPr>
        <w:t>a</w:t>
      </w:r>
      <w:r w:rsidR="00CA771A">
        <w:rPr>
          <w:rFonts w:eastAsia="SimSun"/>
          <w:bCs/>
          <w:szCs w:val="22"/>
        </w:rPr>
        <w:t xml:space="preserve"> </w:t>
      </w:r>
      <w:r>
        <w:rPr>
          <w:rFonts w:eastAsia="SimSun"/>
          <w:bCs/>
          <w:szCs w:val="22"/>
        </w:rPr>
        <w:t>élabor</w:t>
      </w:r>
      <w:r w:rsidR="00CA771A">
        <w:rPr>
          <w:rFonts w:eastAsia="SimSun"/>
          <w:bCs/>
          <w:szCs w:val="22"/>
        </w:rPr>
        <w:t>é</w:t>
      </w:r>
      <w:r>
        <w:rPr>
          <w:rFonts w:eastAsia="SimSun"/>
          <w:bCs/>
          <w:szCs w:val="22"/>
        </w:rPr>
        <w:t xml:space="preserve"> un </w:t>
      </w:r>
      <w:r w:rsidR="008E581A">
        <w:rPr>
          <w:rFonts w:eastAsia="SimSun"/>
          <w:bCs/>
          <w:szCs w:val="22"/>
        </w:rPr>
        <w:t>concept d’exploitation en vue d'un</w:t>
      </w:r>
      <w:r>
        <w:rPr>
          <w:rFonts w:eastAsia="SimSun"/>
          <w:bCs/>
          <w:szCs w:val="22"/>
        </w:rPr>
        <w:t xml:space="preserve"> futur</w:t>
      </w:r>
      <w:r w:rsidRPr="0078369D">
        <w:rPr>
          <w:rFonts w:eastAsia="SimSun"/>
          <w:bCs/>
          <w:szCs w:val="22"/>
        </w:rPr>
        <w:t xml:space="preserve"> Système mondial de détresse et de sécurité aéronautique</w:t>
      </w:r>
      <w:r>
        <w:rPr>
          <w:rFonts w:eastAsia="SimSun"/>
          <w:bCs/>
          <w:szCs w:val="22"/>
        </w:rPr>
        <w:t xml:space="preserve"> (GADSS). </w:t>
      </w:r>
      <w:r w:rsidR="00CA771A">
        <w:rPr>
          <w:rFonts w:eastAsia="SimSun"/>
          <w:bCs/>
          <w:szCs w:val="22"/>
        </w:rPr>
        <w:t>L</w:t>
      </w:r>
      <w:r>
        <w:rPr>
          <w:rFonts w:eastAsia="SimSun"/>
          <w:bCs/>
          <w:szCs w:val="22"/>
        </w:rPr>
        <w:t xml:space="preserve">a deuxième </w:t>
      </w:r>
      <w:r w:rsidR="00CA771A">
        <w:rPr>
          <w:rFonts w:eastAsia="SimSun"/>
          <w:bCs/>
          <w:szCs w:val="22"/>
        </w:rPr>
        <w:t>C</w:t>
      </w:r>
      <w:r>
        <w:rPr>
          <w:rFonts w:eastAsia="SimSun"/>
          <w:bCs/>
          <w:szCs w:val="22"/>
        </w:rPr>
        <w:t>onférence de haut niveau sur la sécurité (HLSC) de l’OACI a recommandé que l’OACI finalise rapidement et utilise le système GADSS à différente</w:t>
      </w:r>
      <w:r w:rsidR="00CA771A">
        <w:rPr>
          <w:rFonts w:eastAsia="SimSun"/>
          <w:bCs/>
          <w:szCs w:val="22"/>
        </w:rPr>
        <w:t>s</w:t>
      </w:r>
      <w:r>
        <w:rPr>
          <w:rFonts w:eastAsia="SimSun"/>
          <w:bCs/>
          <w:szCs w:val="22"/>
        </w:rPr>
        <w:t xml:space="preserve"> fin</w:t>
      </w:r>
      <w:r w:rsidR="00CA771A">
        <w:rPr>
          <w:rFonts w:eastAsia="SimSun"/>
          <w:bCs/>
          <w:szCs w:val="22"/>
        </w:rPr>
        <w:t>s</w:t>
      </w:r>
      <w:r w:rsidR="008E1041">
        <w:rPr>
          <w:rFonts w:eastAsia="SimSun"/>
          <w:bCs/>
          <w:szCs w:val="22"/>
        </w:rPr>
        <w:t>:</w:t>
      </w:r>
      <w:r>
        <w:rPr>
          <w:rFonts w:eastAsia="SimSun"/>
          <w:bCs/>
          <w:szCs w:val="22"/>
        </w:rPr>
        <w:t xml:space="preserve"> mise en œuvre de la poursuite d’aéronefs </w:t>
      </w:r>
      <w:r w:rsidR="00CA771A">
        <w:rPr>
          <w:rFonts w:eastAsia="SimSun"/>
          <w:bCs/>
          <w:szCs w:val="22"/>
        </w:rPr>
        <w:t>dans des conditions normales ou anormales</w:t>
      </w:r>
      <w:r>
        <w:rPr>
          <w:rFonts w:eastAsia="SimSun"/>
          <w:bCs/>
          <w:szCs w:val="22"/>
        </w:rPr>
        <w:t>; suivi automatique des vols en situation de détresse</w:t>
      </w:r>
      <w:r w:rsidR="008E1041">
        <w:rPr>
          <w:rFonts w:eastAsia="SimSun"/>
          <w:bCs/>
          <w:szCs w:val="22"/>
        </w:rPr>
        <w:t>;</w:t>
      </w:r>
      <w:r>
        <w:rPr>
          <w:rFonts w:eastAsia="SimSun"/>
          <w:bCs/>
          <w:szCs w:val="22"/>
        </w:rPr>
        <w:t xml:space="preserve"> activités de recherche et de sauvetage (SAR)</w:t>
      </w:r>
      <w:r w:rsidR="008E1041">
        <w:rPr>
          <w:rFonts w:eastAsia="SimSun"/>
          <w:bCs/>
          <w:szCs w:val="22"/>
        </w:rPr>
        <w:t>;</w:t>
      </w:r>
      <w:r>
        <w:rPr>
          <w:rFonts w:eastAsia="SimSun"/>
          <w:bCs/>
          <w:szCs w:val="22"/>
        </w:rPr>
        <w:t xml:space="preserve"> extraction automatique de données provenant des enregistreurs de données de vol et de données vocales dans le cockpit</w:t>
      </w:r>
      <w:r w:rsidR="008E1041">
        <w:rPr>
          <w:rFonts w:eastAsia="SimSun"/>
          <w:bCs/>
          <w:szCs w:val="22"/>
        </w:rPr>
        <w:t>;</w:t>
      </w:r>
      <w:r>
        <w:rPr>
          <w:rFonts w:eastAsia="SimSun"/>
          <w:bCs/>
          <w:szCs w:val="22"/>
        </w:rPr>
        <w:t xml:space="preserve"> et procédures connexes</w:t>
      </w:r>
      <w:r w:rsidR="008E1041">
        <w:rPr>
          <w:rFonts w:eastAsia="SimSun"/>
          <w:bCs/>
          <w:szCs w:val="22"/>
        </w:rPr>
        <w:t>,</w:t>
      </w:r>
      <w:r>
        <w:rPr>
          <w:rFonts w:eastAsia="SimSun"/>
          <w:bCs/>
          <w:szCs w:val="22"/>
        </w:rPr>
        <w:t xml:space="preserve"> y compris la gestion de ces données. </w:t>
      </w:r>
      <w:r w:rsidR="00CA771A">
        <w:rPr>
          <w:rFonts w:eastAsia="SimSun"/>
          <w:bCs/>
          <w:szCs w:val="22"/>
        </w:rPr>
        <w:t xml:space="preserve">Compte tenu de la complexité des questions en jeu, les dispositions règlementaires complémentaires </w:t>
      </w:r>
      <w:r w:rsidR="008E1041">
        <w:rPr>
          <w:rFonts w:eastAsia="SimSun"/>
          <w:bCs/>
          <w:szCs w:val="22"/>
        </w:rPr>
        <w:t>nécessaires pour la mise en oeuvre du</w:t>
      </w:r>
      <w:r w:rsidR="00CA771A">
        <w:rPr>
          <w:rFonts w:eastAsia="SimSun"/>
          <w:bCs/>
          <w:szCs w:val="22"/>
        </w:rPr>
        <w:t xml:space="preserve"> système GADSS de l’OACI n’ont pas pu être examinées </w:t>
      </w:r>
      <w:r w:rsidR="00C959E3">
        <w:rPr>
          <w:rFonts w:eastAsia="SimSun"/>
          <w:bCs/>
          <w:szCs w:val="22"/>
        </w:rPr>
        <w:t xml:space="preserve">sous tous leurs aspects </w:t>
      </w:r>
      <w:r w:rsidR="00CA771A">
        <w:rPr>
          <w:rFonts w:eastAsia="SimSun"/>
          <w:bCs/>
          <w:szCs w:val="22"/>
        </w:rPr>
        <w:t>à la CMR-15</w:t>
      </w:r>
      <w:r w:rsidR="00C959E3">
        <w:rPr>
          <w:rFonts w:eastAsia="SimSun"/>
          <w:szCs w:val="24"/>
          <w:lang w:val="fr-CH"/>
        </w:rPr>
        <w:t>.</w:t>
      </w:r>
    </w:p>
    <w:p w:rsidR="009D033C" w:rsidRPr="00CA771A" w:rsidRDefault="009D033C" w:rsidP="00EE6450">
      <w:pPr>
        <w:pBdr>
          <w:bottom w:val="single" w:sz="12" w:space="1" w:color="auto"/>
        </w:pBdr>
        <w:spacing w:before="0"/>
        <w:rPr>
          <w:color w:val="000000"/>
          <w:szCs w:val="24"/>
          <w:lang w:val="fr-CH"/>
        </w:rPr>
      </w:pPr>
    </w:p>
    <w:p w:rsidR="009D033C" w:rsidRPr="00663E12" w:rsidRDefault="00C64A9B" w:rsidP="00766DA1">
      <w:pPr>
        <w:spacing w:before="40"/>
        <w:rPr>
          <w:b/>
          <w:bCs/>
          <w:i/>
          <w:iCs/>
          <w:color w:val="000000"/>
          <w:szCs w:val="24"/>
          <w:lang w:val="fr-CA"/>
        </w:rPr>
      </w:pPr>
      <w:r w:rsidRPr="00766DA1">
        <w:rPr>
          <w:b/>
          <w:i/>
          <w:color w:val="000000"/>
          <w:szCs w:val="24"/>
          <w:lang w:val="fr-CH"/>
        </w:rPr>
        <w:t>Services</w:t>
      </w:r>
      <w:r>
        <w:rPr>
          <w:b/>
          <w:i/>
          <w:color w:val="000000"/>
          <w:szCs w:val="24"/>
          <w:lang w:val="fr-CA"/>
        </w:rPr>
        <w:t xml:space="preserve"> de radiocommunication concernés</w:t>
      </w:r>
      <w:r w:rsidR="009D033C" w:rsidRPr="00663E12">
        <w:rPr>
          <w:b/>
          <w:bCs/>
          <w:i/>
          <w:iCs/>
          <w:color w:val="000000"/>
          <w:szCs w:val="24"/>
          <w:lang w:val="fr-CA"/>
        </w:rPr>
        <w:t>:</w:t>
      </w:r>
    </w:p>
    <w:p w:rsidR="009D033C" w:rsidRPr="00663E12" w:rsidRDefault="00CA771A" w:rsidP="00EE6450">
      <w:pPr>
        <w:rPr>
          <w:bCs/>
          <w:color w:val="000000"/>
          <w:szCs w:val="24"/>
          <w:lang w:val="fr-CA"/>
        </w:rPr>
      </w:pPr>
      <w:r>
        <w:rPr>
          <w:bCs/>
          <w:iCs/>
          <w:color w:val="000000"/>
          <w:szCs w:val="24"/>
          <w:lang w:val="fr-CA"/>
        </w:rPr>
        <w:t>Service fixe par satellite, service mobile par satellite, service mobile</w:t>
      </w:r>
    </w:p>
    <w:p w:rsidR="009D033C" w:rsidRPr="00663E12" w:rsidRDefault="009D033C" w:rsidP="00EE6450">
      <w:pPr>
        <w:pBdr>
          <w:bottom w:val="single" w:sz="12" w:space="1" w:color="auto"/>
        </w:pBdr>
        <w:spacing w:before="0"/>
        <w:rPr>
          <w:color w:val="000000"/>
          <w:szCs w:val="24"/>
          <w:lang w:val="fr-CA"/>
        </w:rPr>
      </w:pPr>
    </w:p>
    <w:p w:rsidR="009D033C" w:rsidRPr="00C64A9B" w:rsidRDefault="009D033C" w:rsidP="00766DA1">
      <w:pPr>
        <w:spacing w:before="40"/>
        <w:rPr>
          <w:b/>
          <w:bCs/>
          <w:i/>
          <w:color w:val="000000"/>
          <w:szCs w:val="24"/>
          <w:lang w:val="fr-CH"/>
        </w:rPr>
      </w:pPr>
      <w:r w:rsidRPr="00C64A9B">
        <w:rPr>
          <w:b/>
          <w:i/>
          <w:color w:val="000000"/>
          <w:szCs w:val="24"/>
          <w:lang w:val="fr-CH"/>
        </w:rPr>
        <w:t>Indication</w:t>
      </w:r>
      <w:r w:rsidR="00C64A9B" w:rsidRPr="00C64A9B">
        <w:rPr>
          <w:b/>
          <w:i/>
          <w:color w:val="000000"/>
          <w:szCs w:val="24"/>
          <w:lang w:val="fr-CH"/>
        </w:rPr>
        <w:t xml:space="preserve"> des difficultés éventuelles</w:t>
      </w:r>
      <w:r w:rsidRPr="00C64A9B">
        <w:rPr>
          <w:b/>
          <w:bCs/>
          <w:i/>
          <w:iCs/>
          <w:color w:val="000000"/>
          <w:szCs w:val="24"/>
          <w:lang w:val="fr-CH"/>
        </w:rPr>
        <w:t>:</w:t>
      </w:r>
      <w:r w:rsidRPr="00C64A9B">
        <w:rPr>
          <w:bCs/>
          <w:iCs/>
          <w:color w:val="000000"/>
          <w:szCs w:val="24"/>
          <w:lang w:val="fr-CH"/>
        </w:rPr>
        <w:t xml:space="preserve"> </w:t>
      </w:r>
      <w:r w:rsidR="00CA771A">
        <w:rPr>
          <w:bCs/>
          <w:iCs/>
          <w:color w:val="000000"/>
          <w:szCs w:val="24"/>
          <w:lang w:val="fr-CH"/>
        </w:rPr>
        <w:t>Aucune prévue</w:t>
      </w:r>
    </w:p>
    <w:p w:rsidR="009D033C" w:rsidRPr="00C64A9B" w:rsidRDefault="009D033C" w:rsidP="00EE6450">
      <w:pPr>
        <w:pBdr>
          <w:bottom w:val="single" w:sz="12" w:space="1" w:color="auto"/>
        </w:pBdr>
        <w:spacing w:before="0"/>
        <w:rPr>
          <w:color w:val="000000"/>
          <w:szCs w:val="24"/>
          <w:lang w:val="fr-CH"/>
        </w:rPr>
      </w:pPr>
    </w:p>
    <w:p w:rsidR="009D033C" w:rsidRPr="00C64A9B" w:rsidRDefault="00C64A9B" w:rsidP="00766DA1">
      <w:pPr>
        <w:spacing w:before="40"/>
        <w:rPr>
          <w:b/>
          <w:bCs/>
          <w:i/>
          <w:color w:val="000000"/>
          <w:szCs w:val="24"/>
          <w:lang w:val="fr-CH"/>
        </w:rPr>
      </w:pPr>
      <w:r w:rsidRPr="00C64A9B">
        <w:rPr>
          <w:b/>
          <w:i/>
          <w:color w:val="000000"/>
          <w:szCs w:val="24"/>
          <w:lang w:val="fr-CH"/>
        </w:rPr>
        <w:t>Etudes précédentes ou en cou</w:t>
      </w:r>
      <w:r w:rsidR="00376290">
        <w:rPr>
          <w:b/>
          <w:i/>
          <w:color w:val="000000"/>
          <w:szCs w:val="24"/>
          <w:lang w:val="fr-CH"/>
        </w:rPr>
        <w:t>r</w:t>
      </w:r>
      <w:r w:rsidRPr="00C64A9B">
        <w:rPr>
          <w:b/>
          <w:i/>
          <w:color w:val="000000"/>
          <w:szCs w:val="24"/>
          <w:lang w:val="fr-CH"/>
        </w:rPr>
        <w:t>s sur la question</w:t>
      </w:r>
      <w:r w:rsidR="009D033C" w:rsidRPr="00C64A9B">
        <w:rPr>
          <w:b/>
          <w:bCs/>
          <w:i/>
          <w:iCs/>
          <w:color w:val="000000"/>
          <w:szCs w:val="24"/>
          <w:lang w:val="fr-CH"/>
        </w:rPr>
        <w:t>:</w:t>
      </w:r>
      <w:r w:rsidR="009D033C" w:rsidRPr="00C64A9B">
        <w:rPr>
          <w:bCs/>
          <w:iCs/>
          <w:color w:val="000000"/>
          <w:szCs w:val="24"/>
          <w:lang w:val="fr-CH"/>
        </w:rPr>
        <w:t xml:space="preserve"> </w:t>
      </w:r>
      <w:r w:rsidR="00CA771A">
        <w:rPr>
          <w:bCs/>
          <w:iCs/>
          <w:color w:val="000000"/>
          <w:szCs w:val="24"/>
          <w:lang w:val="fr-CH"/>
        </w:rPr>
        <w:t>Aucune à ce jour</w:t>
      </w:r>
    </w:p>
    <w:p w:rsidR="009D033C" w:rsidRPr="00C64A9B" w:rsidRDefault="009D033C" w:rsidP="00EE6450">
      <w:pPr>
        <w:pBdr>
          <w:bottom w:val="single" w:sz="12" w:space="1" w:color="auto"/>
        </w:pBdr>
        <w:spacing w:before="0"/>
        <w:rPr>
          <w:color w:val="000000"/>
          <w:szCs w:val="24"/>
          <w:lang w:val="fr-CH"/>
        </w:rPr>
      </w:pPr>
    </w:p>
    <w:tbl>
      <w:tblPr>
        <w:tblW w:w="0" w:type="auto"/>
        <w:jc w:val="center"/>
        <w:tblBorders>
          <w:bottom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4121"/>
        <w:gridCol w:w="5357"/>
      </w:tblGrid>
      <w:tr w:rsidR="009D033C" w:rsidRPr="00CA771A" w:rsidTr="00840238">
        <w:trPr>
          <w:jc w:val="center"/>
        </w:trPr>
        <w:tc>
          <w:tcPr>
            <w:tcW w:w="4121" w:type="dxa"/>
          </w:tcPr>
          <w:p w:rsidR="009D033C" w:rsidRPr="00C64A9B" w:rsidRDefault="00C64A9B" w:rsidP="00766DA1">
            <w:pPr>
              <w:framePr w:hSpace="181" w:wrap="notBeside" w:vAnchor="text" w:hAnchor="text" w:xAlign="center" w:y="1"/>
              <w:tabs>
                <w:tab w:val="left" w:pos="4366"/>
              </w:tabs>
              <w:spacing w:before="40"/>
              <w:jc w:val="center"/>
              <w:rPr>
                <w:b/>
                <w:bCs/>
                <w:i/>
                <w:iCs/>
                <w:color w:val="000000"/>
                <w:szCs w:val="24"/>
                <w:lang w:val="fr-CH"/>
              </w:rPr>
            </w:pPr>
            <w:r>
              <w:rPr>
                <w:b/>
                <w:i/>
                <w:color w:val="000000"/>
                <w:szCs w:val="24"/>
                <w:lang w:val="fr-CH"/>
              </w:rPr>
              <w:t>Etudes devant être réalisées par</w:t>
            </w:r>
            <w:r w:rsidR="009D033C" w:rsidRPr="00C64A9B">
              <w:rPr>
                <w:b/>
                <w:bCs/>
                <w:i/>
                <w:iCs/>
                <w:color w:val="000000"/>
                <w:szCs w:val="24"/>
                <w:lang w:val="fr-CH"/>
              </w:rPr>
              <w:t xml:space="preserve">: </w:t>
            </w:r>
            <w:r w:rsidR="00CA771A">
              <w:rPr>
                <w:bCs/>
                <w:iCs/>
                <w:color w:val="000000"/>
                <w:szCs w:val="24"/>
                <w:lang w:val="fr-CH"/>
              </w:rPr>
              <w:t>CE</w:t>
            </w:r>
            <w:r w:rsidR="009D033C" w:rsidRPr="00C64A9B">
              <w:rPr>
                <w:bCs/>
                <w:iCs/>
                <w:color w:val="000000"/>
                <w:szCs w:val="24"/>
                <w:lang w:val="fr-CH"/>
              </w:rPr>
              <w:t xml:space="preserve"> 5</w:t>
            </w:r>
          </w:p>
        </w:tc>
        <w:tc>
          <w:tcPr>
            <w:tcW w:w="5357" w:type="dxa"/>
          </w:tcPr>
          <w:p w:rsidR="009D033C" w:rsidRPr="00CA771A" w:rsidRDefault="00CA771A" w:rsidP="00766DA1">
            <w:pPr>
              <w:framePr w:hSpace="181" w:wrap="notBeside" w:vAnchor="text" w:hAnchor="text" w:xAlign="center" w:y="1"/>
              <w:tabs>
                <w:tab w:val="left" w:pos="360"/>
                <w:tab w:val="left" w:pos="900"/>
                <w:tab w:val="left" w:pos="4366"/>
              </w:tabs>
              <w:spacing w:before="40"/>
              <w:ind w:left="113"/>
              <w:rPr>
                <w:iCs/>
                <w:color w:val="000000"/>
                <w:szCs w:val="24"/>
                <w:lang w:val="fr-CH"/>
              </w:rPr>
            </w:pPr>
            <w:r w:rsidRPr="00CA771A">
              <w:rPr>
                <w:bCs/>
                <w:i/>
                <w:color w:val="000000"/>
                <w:szCs w:val="24"/>
                <w:lang w:val="fr-CH"/>
              </w:rPr>
              <w:t>Avec la participation de</w:t>
            </w:r>
            <w:r w:rsidR="008E1041">
              <w:rPr>
                <w:bCs/>
                <w:i/>
                <w:color w:val="000000"/>
                <w:szCs w:val="24"/>
                <w:lang w:val="fr-CH"/>
              </w:rPr>
              <w:t>:</w:t>
            </w:r>
            <w:r w:rsidR="009D033C" w:rsidRPr="00CA771A">
              <w:rPr>
                <w:i/>
                <w:iCs/>
                <w:color w:val="000000"/>
                <w:szCs w:val="24"/>
                <w:lang w:val="fr-CH"/>
              </w:rPr>
              <w:t xml:space="preserve"> </w:t>
            </w:r>
            <w:r>
              <w:rPr>
                <w:iCs/>
                <w:color w:val="000000"/>
                <w:szCs w:val="24"/>
                <w:lang w:val="fr-CH"/>
              </w:rPr>
              <w:t>CE</w:t>
            </w:r>
            <w:r w:rsidR="009D033C" w:rsidRPr="00CA771A">
              <w:rPr>
                <w:iCs/>
                <w:color w:val="000000"/>
                <w:szCs w:val="24"/>
                <w:lang w:val="fr-CH"/>
              </w:rPr>
              <w:t xml:space="preserve"> 4</w:t>
            </w:r>
          </w:p>
          <w:p w:rsidR="009D033C" w:rsidRPr="00CA771A" w:rsidRDefault="009D033C" w:rsidP="00766DA1">
            <w:pPr>
              <w:framePr w:hSpace="181" w:wrap="notBeside" w:vAnchor="text" w:hAnchor="text" w:xAlign="center" w:y="1"/>
              <w:tabs>
                <w:tab w:val="left" w:pos="4366"/>
              </w:tabs>
              <w:spacing w:before="40"/>
              <w:rPr>
                <w:b/>
                <w:bCs/>
                <w:i/>
                <w:iCs/>
                <w:color w:val="000000"/>
                <w:szCs w:val="24"/>
                <w:lang w:val="fr-CH"/>
              </w:rPr>
            </w:pPr>
          </w:p>
        </w:tc>
      </w:tr>
    </w:tbl>
    <w:p w:rsidR="009D033C" w:rsidRPr="00C64A9B" w:rsidRDefault="00C64A9B" w:rsidP="00766DA1">
      <w:pPr>
        <w:spacing w:before="40"/>
        <w:rPr>
          <w:bCs/>
          <w:color w:val="000000"/>
          <w:szCs w:val="24"/>
          <w:lang w:val="fr-CH"/>
        </w:rPr>
      </w:pPr>
      <w:r w:rsidRPr="00C64A9B">
        <w:rPr>
          <w:b/>
          <w:i/>
          <w:color w:val="000000"/>
          <w:szCs w:val="24"/>
          <w:lang w:val="fr-CH"/>
        </w:rPr>
        <w:t>Commissions d’études de l’UIT-R concernées</w:t>
      </w:r>
      <w:r w:rsidR="009D033C" w:rsidRPr="00C64A9B">
        <w:rPr>
          <w:b/>
          <w:bCs/>
          <w:i/>
          <w:iCs/>
          <w:color w:val="000000"/>
          <w:szCs w:val="24"/>
          <w:lang w:val="fr-CH"/>
        </w:rPr>
        <w:t xml:space="preserve">: </w:t>
      </w:r>
      <w:r w:rsidR="00CA771A">
        <w:rPr>
          <w:bCs/>
          <w:iCs/>
          <w:color w:val="000000"/>
          <w:szCs w:val="24"/>
          <w:lang w:val="fr-CH"/>
        </w:rPr>
        <w:t>CE</w:t>
      </w:r>
      <w:r w:rsidR="009D033C" w:rsidRPr="00C64A9B">
        <w:rPr>
          <w:bCs/>
          <w:iCs/>
          <w:color w:val="000000"/>
          <w:szCs w:val="24"/>
          <w:lang w:val="fr-CH"/>
        </w:rPr>
        <w:t xml:space="preserve"> 4, </w:t>
      </w:r>
      <w:r w:rsidR="00CA771A">
        <w:rPr>
          <w:bCs/>
          <w:iCs/>
          <w:color w:val="000000"/>
          <w:szCs w:val="24"/>
          <w:lang w:val="fr-CH"/>
        </w:rPr>
        <w:t>CE</w:t>
      </w:r>
      <w:r w:rsidR="009D033C" w:rsidRPr="00C64A9B">
        <w:rPr>
          <w:bCs/>
          <w:iCs/>
          <w:color w:val="000000"/>
          <w:szCs w:val="24"/>
          <w:lang w:val="fr-CH"/>
        </w:rPr>
        <w:t xml:space="preserve"> 5</w:t>
      </w:r>
    </w:p>
    <w:p w:rsidR="009D033C" w:rsidRPr="00C64A9B" w:rsidRDefault="009D033C" w:rsidP="00EE6450">
      <w:pPr>
        <w:pBdr>
          <w:bottom w:val="single" w:sz="12" w:space="1" w:color="auto"/>
        </w:pBdr>
        <w:spacing w:before="0"/>
        <w:rPr>
          <w:color w:val="000000"/>
          <w:szCs w:val="24"/>
          <w:lang w:val="fr-CH"/>
        </w:rPr>
      </w:pPr>
    </w:p>
    <w:p w:rsidR="009D033C" w:rsidRPr="00C64A9B" w:rsidRDefault="00C64A9B" w:rsidP="00766DA1">
      <w:pPr>
        <w:spacing w:before="40"/>
        <w:rPr>
          <w:i/>
          <w:iCs/>
          <w:color w:val="000000"/>
          <w:szCs w:val="24"/>
          <w:lang w:val="fr-CH"/>
        </w:rPr>
      </w:pPr>
      <w:r w:rsidRPr="00766DA1">
        <w:rPr>
          <w:b/>
          <w:i/>
          <w:color w:val="000000"/>
          <w:szCs w:val="24"/>
          <w:lang w:val="fr-CH"/>
        </w:rPr>
        <w:t>Répercussions</w:t>
      </w:r>
      <w:r>
        <w:rPr>
          <w:b/>
          <w:bCs/>
          <w:i/>
          <w:color w:val="000000"/>
          <w:szCs w:val="24"/>
          <w:lang w:val="fr-CH"/>
        </w:rPr>
        <w:t xml:space="preserve"> au niveau des ressources de l’UIT, y compris incidences financières (voir le numéro 126 de la Convention)</w:t>
      </w:r>
      <w:r w:rsidR="009D033C" w:rsidRPr="00C64A9B">
        <w:rPr>
          <w:b/>
          <w:i/>
          <w:iCs/>
          <w:color w:val="000000"/>
          <w:szCs w:val="24"/>
          <w:lang w:val="fr-CH"/>
        </w:rPr>
        <w:t>:</w:t>
      </w:r>
      <w:r w:rsidR="009D033C" w:rsidRPr="00C64A9B">
        <w:rPr>
          <w:i/>
          <w:iCs/>
          <w:color w:val="000000"/>
          <w:szCs w:val="24"/>
          <w:lang w:val="fr-CH"/>
        </w:rPr>
        <w:t xml:space="preserve"> </w:t>
      </w:r>
      <w:r w:rsidR="009D033C" w:rsidRPr="00C64A9B">
        <w:rPr>
          <w:iCs/>
          <w:color w:val="000000"/>
          <w:szCs w:val="24"/>
          <w:lang w:val="fr-CH"/>
        </w:rPr>
        <w:t>Minimal</w:t>
      </w:r>
      <w:r w:rsidR="00CA771A">
        <w:rPr>
          <w:iCs/>
          <w:color w:val="000000"/>
          <w:szCs w:val="24"/>
          <w:lang w:val="fr-CH"/>
        </w:rPr>
        <w:t>es</w:t>
      </w:r>
    </w:p>
    <w:p w:rsidR="009D033C" w:rsidRPr="00C64A9B" w:rsidRDefault="009D033C" w:rsidP="00EE6450">
      <w:pPr>
        <w:pBdr>
          <w:bottom w:val="single" w:sz="12" w:space="1" w:color="auto"/>
        </w:pBdr>
        <w:spacing w:before="0"/>
        <w:rPr>
          <w:color w:val="000000"/>
          <w:szCs w:val="24"/>
          <w:lang w:val="fr-CH"/>
        </w:rPr>
      </w:pPr>
    </w:p>
    <w:p w:rsidR="009D033C" w:rsidRPr="00C64A9B" w:rsidRDefault="00C64A9B" w:rsidP="00766DA1">
      <w:pPr>
        <w:spacing w:before="40"/>
        <w:rPr>
          <w:color w:val="000000"/>
          <w:szCs w:val="24"/>
          <w:lang w:val="fr-CH"/>
        </w:rPr>
      </w:pPr>
      <w:r w:rsidRPr="00C64A9B">
        <w:rPr>
          <w:b/>
          <w:i/>
          <w:color w:val="000000"/>
          <w:szCs w:val="24"/>
          <w:lang w:val="fr-CH"/>
        </w:rPr>
        <w:t>Proposition régionale commune</w:t>
      </w:r>
      <w:r w:rsidR="009D033C" w:rsidRPr="00C64A9B">
        <w:rPr>
          <w:b/>
          <w:bCs/>
          <w:i/>
          <w:iCs/>
          <w:color w:val="000000"/>
          <w:szCs w:val="24"/>
          <w:lang w:val="fr-CH"/>
        </w:rPr>
        <w:t>:</w:t>
      </w:r>
      <w:r w:rsidR="00376290">
        <w:rPr>
          <w:color w:val="000000"/>
          <w:szCs w:val="24"/>
          <w:lang w:val="fr-CH"/>
        </w:rPr>
        <w:t xml:space="preserve"> </w:t>
      </w:r>
      <w:r w:rsidRPr="00C64A9B">
        <w:rPr>
          <w:color w:val="000000"/>
          <w:szCs w:val="24"/>
          <w:lang w:val="fr-CH"/>
        </w:rPr>
        <w:t>Oui</w:t>
      </w:r>
      <w:r w:rsidR="009D033C" w:rsidRPr="00C64A9B">
        <w:rPr>
          <w:color w:val="000000"/>
          <w:szCs w:val="24"/>
          <w:lang w:val="fr-CH"/>
        </w:rPr>
        <w:t>/No</w:t>
      </w:r>
      <w:r w:rsidRPr="00C64A9B">
        <w:rPr>
          <w:color w:val="000000"/>
          <w:szCs w:val="24"/>
          <w:lang w:val="fr-CH"/>
        </w:rPr>
        <w:t>n</w:t>
      </w:r>
      <w:r w:rsidR="009D033C" w:rsidRPr="00C64A9B">
        <w:rPr>
          <w:color w:val="000000"/>
          <w:szCs w:val="24"/>
          <w:lang w:val="fr-CH"/>
        </w:rPr>
        <w:tab/>
      </w:r>
      <w:r w:rsidRPr="00376290">
        <w:rPr>
          <w:b/>
          <w:i/>
          <w:color w:val="000000"/>
          <w:szCs w:val="24"/>
          <w:lang w:val="fr-CH"/>
        </w:rPr>
        <w:t>Proposition soumise par plusieurs pays</w:t>
      </w:r>
      <w:r w:rsidR="009D033C" w:rsidRPr="00C64A9B">
        <w:rPr>
          <w:b/>
          <w:bCs/>
          <w:i/>
          <w:iCs/>
          <w:color w:val="000000"/>
          <w:szCs w:val="24"/>
          <w:lang w:val="fr-CH"/>
        </w:rPr>
        <w:t xml:space="preserve">: </w:t>
      </w:r>
      <w:r>
        <w:rPr>
          <w:color w:val="000000"/>
          <w:szCs w:val="24"/>
          <w:lang w:val="fr-CH"/>
        </w:rPr>
        <w:t>Oui</w:t>
      </w:r>
      <w:r w:rsidR="009D033C" w:rsidRPr="00C64A9B">
        <w:rPr>
          <w:color w:val="000000"/>
          <w:szCs w:val="24"/>
          <w:lang w:val="fr-CH"/>
        </w:rPr>
        <w:t>/No</w:t>
      </w:r>
      <w:r>
        <w:rPr>
          <w:color w:val="000000"/>
          <w:szCs w:val="24"/>
          <w:lang w:val="fr-CH"/>
        </w:rPr>
        <w:t>n</w:t>
      </w:r>
    </w:p>
    <w:p w:rsidR="009D033C" w:rsidRPr="00663E12" w:rsidRDefault="009D033C" w:rsidP="00EE6450">
      <w:pPr>
        <w:tabs>
          <w:tab w:val="left" w:pos="360"/>
          <w:tab w:val="left" w:pos="900"/>
          <w:tab w:val="left" w:pos="4366"/>
        </w:tabs>
        <w:rPr>
          <w:i/>
          <w:iCs/>
          <w:color w:val="000000"/>
          <w:szCs w:val="24"/>
        </w:rPr>
      </w:pPr>
      <w:r w:rsidRPr="00C64A9B">
        <w:rPr>
          <w:i/>
          <w:iCs/>
          <w:color w:val="000000"/>
          <w:szCs w:val="24"/>
          <w:lang w:val="fr-CH"/>
        </w:rPr>
        <w:tab/>
      </w:r>
      <w:r w:rsidR="00376290">
        <w:rPr>
          <w:i/>
          <w:iCs/>
          <w:color w:val="000000"/>
          <w:szCs w:val="24"/>
          <w:lang w:val="fr-CH"/>
        </w:rPr>
        <w:tab/>
      </w:r>
      <w:r w:rsidR="00376290">
        <w:rPr>
          <w:i/>
          <w:iCs/>
          <w:color w:val="000000"/>
          <w:szCs w:val="24"/>
          <w:lang w:val="fr-CH"/>
        </w:rPr>
        <w:tab/>
      </w:r>
      <w:r w:rsidR="00376290">
        <w:rPr>
          <w:i/>
          <w:iCs/>
          <w:color w:val="000000"/>
          <w:szCs w:val="24"/>
          <w:lang w:val="fr-CH"/>
        </w:rPr>
        <w:tab/>
      </w:r>
      <w:r w:rsidR="00376290">
        <w:rPr>
          <w:i/>
          <w:iCs/>
          <w:color w:val="000000"/>
          <w:szCs w:val="24"/>
          <w:lang w:val="fr-CH"/>
        </w:rPr>
        <w:tab/>
      </w:r>
      <w:r w:rsidR="00376290">
        <w:rPr>
          <w:i/>
          <w:iCs/>
          <w:color w:val="000000"/>
          <w:szCs w:val="24"/>
          <w:lang w:val="fr-CH"/>
        </w:rPr>
        <w:tab/>
      </w:r>
      <w:r w:rsidRPr="00663E12">
        <w:rPr>
          <w:i/>
          <w:iCs/>
          <w:color w:val="000000"/>
          <w:szCs w:val="24"/>
        </w:rPr>
        <w:t>N</w:t>
      </w:r>
      <w:r w:rsidR="00C64A9B">
        <w:rPr>
          <w:i/>
          <w:iCs/>
          <w:color w:val="000000"/>
          <w:szCs w:val="24"/>
        </w:rPr>
        <w:t>ombre de pays</w:t>
      </w:r>
      <w:r w:rsidRPr="00663E12">
        <w:rPr>
          <w:i/>
          <w:iCs/>
          <w:color w:val="000000"/>
          <w:szCs w:val="24"/>
        </w:rPr>
        <w:t>:</w:t>
      </w:r>
    </w:p>
    <w:p w:rsidR="009D033C" w:rsidRPr="00663E12" w:rsidRDefault="009D033C" w:rsidP="00EE6450">
      <w:pPr>
        <w:pBdr>
          <w:bottom w:val="single" w:sz="12" w:space="1" w:color="auto"/>
        </w:pBdr>
        <w:spacing w:before="0"/>
        <w:rPr>
          <w:color w:val="000000"/>
          <w:szCs w:val="24"/>
        </w:rPr>
      </w:pPr>
    </w:p>
    <w:p w:rsidR="009D033C" w:rsidRDefault="00C64A9B" w:rsidP="00EE6450">
      <w:pPr>
        <w:rPr>
          <w:b/>
          <w:bCs/>
          <w:i/>
          <w:iCs/>
          <w:color w:val="000000"/>
          <w:szCs w:val="24"/>
        </w:rPr>
      </w:pPr>
      <w:r>
        <w:rPr>
          <w:b/>
          <w:bCs/>
          <w:i/>
          <w:iCs/>
          <w:color w:val="000000"/>
          <w:szCs w:val="24"/>
        </w:rPr>
        <w:t>Observations</w:t>
      </w:r>
    </w:p>
    <w:p w:rsidR="00376290" w:rsidRDefault="00376290" w:rsidP="00766DA1">
      <w:pPr>
        <w:pStyle w:val="Reasons"/>
        <w:spacing w:before="0"/>
      </w:pPr>
    </w:p>
    <w:p w:rsidR="00253EFC" w:rsidRDefault="00376290" w:rsidP="00766DA1">
      <w:pPr>
        <w:jc w:val="center"/>
      </w:pPr>
      <w:r>
        <w:t>______________</w:t>
      </w:r>
    </w:p>
    <w:sectPr w:rsidR="00253EFC">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E47D11">
      <w:rPr>
        <w:noProof/>
        <w:lang w:val="en-US"/>
      </w:rPr>
      <w:t>P:\FRA\ITU-R\CONF-R\CMR15\000\007ADD24ADD03F.docx</w:t>
    </w:r>
    <w:r>
      <w:fldChar w:fldCharType="end"/>
    </w:r>
    <w:r>
      <w:rPr>
        <w:lang w:val="en-US"/>
      </w:rPr>
      <w:tab/>
    </w:r>
    <w:r>
      <w:fldChar w:fldCharType="begin"/>
    </w:r>
    <w:r>
      <w:instrText xml:space="preserve"> SAVEDATE \@ DD.MM.YY </w:instrText>
    </w:r>
    <w:r>
      <w:fldChar w:fldCharType="separate"/>
    </w:r>
    <w:r w:rsidR="00E47D11">
      <w:rPr>
        <w:noProof/>
      </w:rPr>
      <w:t>18.10.15</w:t>
    </w:r>
    <w:r>
      <w:fldChar w:fldCharType="end"/>
    </w:r>
    <w:r>
      <w:rPr>
        <w:lang w:val="en-US"/>
      </w:rPr>
      <w:tab/>
    </w:r>
    <w:r>
      <w:fldChar w:fldCharType="begin"/>
    </w:r>
    <w:r>
      <w:instrText xml:space="preserve"> PRINTDATE \@ DD.MM.YY </w:instrText>
    </w:r>
    <w:r>
      <w:fldChar w:fldCharType="separate"/>
    </w:r>
    <w:r w:rsidR="00E47D11">
      <w:rPr>
        <w:noProof/>
      </w:rPr>
      <w:t>18.10.15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E47D11">
      <w:rPr>
        <w:lang w:val="en-US"/>
      </w:rPr>
      <w:t>P:\FRA\ITU-R\CONF-R\CMR15\000\007ADD24ADD03F.docx</w:t>
    </w:r>
    <w:r>
      <w:fldChar w:fldCharType="end"/>
    </w:r>
    <w:r w:rsidR="00C62F25">
      <w:t xml:space="preserve"> (387564)</w:t>
    </w:r>
    <w:r>
      <w:rPr>
        <w:lang w:val="en-US"/>
      </w:rPr>
      <w:tab/>
    </w:r>
    <w:r>
      <w:fldChar w:fldCharType="begin"/>
    </w:r>
    <w:r>
      <w:instrText xml:space="preserve"> SAVEDATE \@ DD.MM.YY </w:instrText>
    </w:r>
    <w:r>
      <w:fldChar w:fldCharType="separate"/>
    </w:r>
    <w:r w:rsidR="00E47D11">
      <w:t>18.10.15</w:t>
    </w:r>
    <w:r>
      <w:fldChar w:fldCharType="end"/>
    </w:r>
    <w:r>
      <w:rPr>
        <w:lang w:val="en-US"/>
      </w:rPr>
      <w:tab/>
    </w:r>
    <w:r>
      <w:fldChar w:fldCharType="begin"/>
    </w:r>
    <w:r>
      <w:instrText xml:space="preserve"> PRINTDATE \@ DD.MM.YY </w:instrText>
    </w:r>
    <w:r>
      <w:fldChar w:fldCharType="separate"/>
    </w:r>
    <w:r w:rsidR="00E47D11">
      <w:t>18.10.15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E47D11">
      <w:rPr>
        <w:lang w:val="en-US"/>
      </w:rPr>
      <w:t>P:\FRA\ITU-R\CONF-R\CMR15\000\007ADD24ADD03F.docx</w:t>
    </w:r>
    <w:r>
      <w:fldChar w:fldCharType="end"/>
    </w:r>
    <w:r w:rsidR="00C62F25">
      <w:t xml:space="preserve"> (387564)</w:t>
    </w:r>
    <w:r>
      <w:rPr>
        <w:lang w:val="en-US"/>
      </w:rPr>
      <w:tab/>
    </w:r>
    <w:r>
      <w:fldChar w:fldCharType="begin"/>
    </w:r>
    <w:r>
      <w:instrText xml:space="preserve"> SAVEDATE \@ DD.MM.YY </w:instrText>
    </w:r>
    <w:r>
      <w:fldChar w:fldCharType="separate"/>
    </w:r>
    <w:r w:rsidR="00E47D11">
      <w:t>18.10.15</w:t>
    </w:r>
    <w:r>
      <w:fldChar w:fldCharType="end"/>
    </w:r>
    <w:r>
      <w:rPr>
        <w:lang w:val="en-US"/>
      </w:rPr>
      <w:tab/>
    </w:r>
    <w:r>
      <w:fldChar w:fldCharType="begin"/>
    </w:r>
    <w:r>
      <w:instrText xml:space="preserve"> PRINTDATE \@ DD.MM.YY </w:instrText>
    </w:r>
    <w:r>
      <w:fldChar w:fldCharType="separate"/>
    </w:r>
    <w:r w:rsidR="00E47D11">
      <w:t>18.10.15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E47D11">
      <w:rPr>
        <w:noProof/>
      </w:rPr>
      <w:t>5</w:t>
    </w:r>
    <w:r>
      <w:fldChar w:fldCharType="end"/>
    </w:r>
  </w:p>
  <w:p w:rsidR="004F1F8E" w:rsidRDefault="004F1F8E" w:rsidP="002C28A4">
    <w:pPr>
      <w:pStyle w:val="Header"/>
    </w:pPr>
    <w:r>
      <w:t>CMR1</w:t>
    </w:r>
    <w:r w:rsidR="002C28A4">
      <w:t>5</w:t>
    </w:r>
    <w:r>
      <w:t>/</w:t>
    </w:r>
    <w:r w:rsidR="006A4B45">
      <w:t>7(Add.24)(Add.3)-</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5250262-AA31-4F99-BB8F-58FB9CEDC0D4}"/>
    <w:docVar w:name="dgnword-eventsink" w:val="237854272"/>
  </w:docVars>
  <w:rsids>
    <w:rsidRoot w:val="00BB1D82"/>
    <w:rsid w:val="00007EC7"/>
    <w:rsid w:val="00010B43"/>
    <w:rsid w:val="00016648"/>
    <w:rsid w:val="0003522F"/>
    <w:rsid w:val="00080E2C"/>
    <w:rsid w:val="000A4755"/>
    <w:rsid w:val="000B2E0C"/>
    <w:rsid w:val="000B3D0C"/>
    <w:rsid w:val="000F3C61"/>
    <w:rsid w:val="00115337"/>
    <w:rsid w:val="001167B9"/>
    <w:rsid w:val="001267A0"/>
    <w:rsid w:val="0015203F"/>
    <w:rsid w:val="00160C64"/>
    <w:rsid w:val="0018169B"/>
    <w:rsid w:val="0019352B"/>
    <w:rsid w:val="001960D0"/>
    <w:rsid w:val="001B6856"/>
    <w:rsid w:val="001F17E8"/>
    <w:rsid w:val="001F51BB"/>
    <w:rsid w:val="00204306"/>
    <w:rsid w:val="00232FD2"/>
    <w:rsid w:val="002443A7"/>
    <w:rsid w:val="00253EFC"/>
    <w:rsid w:val="0026554E"/>
    <w:rsid w:val="00290FEF"/>
    <w:rsid w:val="002A4622"/>
    <w:rsid w:val="002A6F8F"/>
    <w:rsid w:val="002B17E5"/>
    <w:rsid w:val="002C0EBF"/>
    <w:rsid w:val="002C28A4"/>
    <w:rsid w:val="00315AFE"/>
    <w:rsid w:val="003606A6"/>
    <w:rsid w:val="0036650C"/>
    <w:rsid w:val="00376290"/>
    <w:rsid w:val="00393ACD"/>
    <w:rsid w:val="003952E5"/>
    <w:rsid w:val="003A583E"/>
    <w:rsid w:val="003E112B"/>
    <w:rsid w:val="003E1D1C"/>
    <w:rsid w:val="003E7B05"/>
    <w:rsid w:val="00433589"/>
    <w:rsid w:val="00440E89"/>
    <w:rsid w:val="00466211"/>
    <w:rsid w:val="004834A9"/>
    <w:rsid w:val="004D01FC"/>
    <w:rsid w:val="004E28C3"/>
    <w:rsid w:val="004E30EE"/>
    <w:rsid w:val="004F1F8E"/>
    <w:rsid w:val="004F1FE0"/>
    <w:rsid w:val="00501FC5"/>
    <w:rsid w:val="00512A32"/>
    <w:rsid w:val="00586CF2"/>
    <w:rsid w:val="005922D0"/>
    <w:rsid w:val="005C3768"/>
    <w:rsid w:val="005C6C3F"/>
    <w:rsid w:val="00613635"/>
    <w:rsid w:val="0062093D"/>
    <w:rsid w:val="00637ECF"/>
    <w:rsid w:val="00647B59"/>
    <w:rsid w:val="00690C7B"/>
    <w:rsid w:val="006A4B45"/>
    <w:rsid w:val="006D236E"/>
    <w:rsid w:val="006D4724"/>
    <w:rsid w:val="00701BAE"/>
    <w:rsid w:val="00721F04"/>
    <w:rsid w:val="00730E95"/>
    <w:rsid w:val="007426B9"/>
    <w:rsid w:val="00764342"/>
    <w:rsid w:val="00766DA1"/>
    <w:rsid w:val="00774362"/>
    <w:rsid w:val="00786598"/>
    <w:rsid w:val="007A04E8"/>
    <w:rsid w:val="007A42EF"/>
    <w:rsid w:val="00840345"/>
    <w:rsid w:val="00851625"/>
    <w:rsid w:val="00863C0A"/>
    <w:rsid w:val="008A3120"/>
    <w:rsid w:val="008B514F"/>
    <w:rsid w:val="008D41BE"/>
    <w:rsid w:val="008D58D3"/>
    <w:rsid w:val="008E1041"/>
    <w:rsid w:val="008E4315"/>
    <w:rsid w:val="008E581A"/>
    <w:rsid w:val="00923064"/>
    <w:rsid w:val="00930FFD"/>
    <w:rsid w:val="00936999"/>
    <w:rsid w:val="00936D25"/>
    <w:rsid w:val="00941EA5"/>
    <w:rsid w:val="00964700"/>
    <w:rsid w:val="00966C16"/>
    <w:rsid w:val="00970538"/>
    <w:rsid w:val="00982539"/>
    <w:rsid w:val="0098732F"/>
    <w:rsid w:val="009A045F"/>
    <w:rsid w:val="009C6254"/>
    <w:rsid w:val="009C7E7C"/>
    <w:rsid w:val="009D033C"/>
    <w:rsid w:val="009D7F73"/>
    <w:rsid w:val="00A00473"/>
    <w:rsid w:val="00A03C9B"/>
    <w:rsid w:val="00A37105"/>
    <w:rsid w:val="00A606C3"/>
    <w:rsid w:val="00A83B09"/>
    <w:rsid w:val="00A84541"/>
    <w:rsid w:val="00A92940"/>
    <w:rsid w:val="00AE36A0"/>
    <w:rsid w:val="00B00294"/>
    <w:rsid w:val="00B6020A"/>
    <w:rsid w:val="00B64FD0"/>
    <w:rsid w:val="00BA5BD0"/>
    <w:rsid w:val="00BB1D82"/>
    <w:rsid w:val="00BC46E9"/>
    <w:rsid w:val="00BF26E7"/>
    <w:rsid w:val="00BF7959"/>
    <w:rsid w:val="00C03C5A"/>
    <w:rsid w:val="00C510FB"/>
    <w:rsid w:val="00C53FCA"/>
    <w:rsid w:val="00C62F25"/>
    <w:rsid w:val="00C64A9B"/>
    <w:rsid w:val="00C76BAF"/>
    <w:rsid w:val="00C814B9"/>
    <w:rsid w:val="00C959E3"/>
    <w:rsid w:val="00CA771A"/>
    <w:rsid w:val="00CB465C"/>
    <w:rsid w:val="00CD516F"/>
    <w:rsid w:val="00D119A7"/>
    <w:rsid w:val="00D25FBA"/>
    <w:rsid w:val="00D32B28"/>
    <w:rsid w:val="00D42954"/>
    <w:rsid w:val="00D46454"/>
    <w:rsid w:val="00D62B79"/>
    <w:rsid w:val="00D66EAC"/>
    <w:rsid w:val="00D730DF"/>
    <w:rsid w:val="00D772F0"/>
    <w:rsid w:val="00D77BDC"/>
    <w:rsid w:val="00D846C7"/>
    <w:rsid w:val="00DB7700"/>
    <w:rsid w:val="00DC402B"/>
    <w:rsid w:val="00DE0932"/>
    <w:rsid w:val="00E03A27"/>
    <w:rsid w:val="00E049F1"/>
    <w:rsid w:val="00E37A25"/>
    <w:rsid w:val="00E47D11"/>
    <w:rsid w:val="00E537FF"/>
    <w:rsid w:val="00E6539B"/>
    <w:rsid w:val="00E70A31"/>
    <w:rsid w:val="00EA3F38"/>
    <w:rsid w:val="00EA5AB6"/>
    <w:rsid w:val="00EC7615"/>
    <w:rsid w:val="00ED16AA"/>
    <w:rsid w:val="00EE6450"/>
    <w:rsid w:val="00EF662E"/>
    <w:rsid w:val="00F148F1"/>
    <w:rsid w:val="00FA3BBF"/>
    <w:rsid w:val="00FC41F8"/>
    <w:rsid w:val="00FE4474"/>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4BA2955-B153-4086-8EEA-7B62DBC9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uiPriority w:val="99"/>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character" w:customStyle="1" w:styleId="ReasonsChar">
    <w:name w:val="Reasons Char"/>
    <w:link w:val="Reasons"/>
    <w:uiPriority w:val="99"/>
    <w:locked/>
    <w:rsid w:val="009D033C"/>
    <w:rPr>
      <w:rFonts w:ascii="Times New Roman" w:hAnsi="Times New Roman"/>
      <w:sz w:val="24"/>
      <w:lang w:val="fr-FR" w:eastAsia="en-US"/>
    </w:rPr>
  </w:style>
  <w:style w:type="character" w:customStyle="1" w:styleId="apple-converted-space">
    <w:name w:val="apple-converted-space"/>
    <w:uiPriority w:val="99"/>
    <w:rsid w:val="00592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R15-WRC15-C-0007!A24-A3!MSW-F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247701-ADD9-43FB-82F2-75A8CEEE4D0D}">
  <ds:schemaRefs>
    <ds:schemaRef ds:uri="http://schemas.microsoft.com/office/2006/documentManagement/types"/>
    <ds:schemaRef ds:uri="http://www.w3.org/XML/1998/namespace"/>
    <ds:schemaRef ds:uri="http://purl.org/dc/dcmitype/"/>
    <ds:schemaRef ds:uri="http://purl.org/dc/terms/"/>
    <ds:schemaRef ds:uri="996b2e75-67fd-4955-a3b0-5ab9934cb50b"/>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32a1a8c5-2265-4ebc-b7a0-2071e2c5c9bb"/>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1358</Words>
  <Characters>7940</Characters>
  <Application>Microsoft Office Word</Application>
  <DocSecurity>0</DocSecurity>
  <Lines>167</Lines>
  <Paragraphs>65</Paragraphs>
  <ScaleCrop>false</ScaleCrop>
  <HeadingPairs>
    <vt:vector size="2" baseType="variant">
      <vt:variant>
        <vt:lpstr>Title</vt:lpstr>
      </vt:variant>
      <vt:variant>
        <vt:i4>1</vt:i4>
      </vt:variant>
    </vt:vector>
  </HeadingPairs>
  <TitlesOfParts>
    <vt:vector size="1" baseType="lpstr">
      <vt:lpstr>R15-WRC15-C-0007!A24-A3!MSW-F</vt:lpstr>
    </vt:vector>
  </TitlesOfParts>
  <Manager>Secrétariat général - Pool</Manager>
  <Company>Union internationale des télécommunications (UIT)</Company>
  <LinksUpToDate>false</LinksUpToDate>
  <CharactersWithSpaces>9241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R15-WRC15-C-0007!A24-A3!MSW-F</dc:title>
  <dc:subject>Conférence mondiale des radiocommunications - 2015</dc:subject>
  <dc:creator>Documents Proposals Manager (DPM)</dc:creator>
  <cp:keywords>DPM_v5.2015.9.16_prod</cp:keywords>
  <dc:description/>
  <cp:lastModifiedBy>Jones, Jacqueline</cp:lastModifiedBy>
  <cp:revision>39</cp:revision>
  <cp:lastPrinted>2015-10-18T14:59:00Z</cp:lastPrinted>
  <dcterms:created xsi:type="dcterms:W3CDTF">2015-10-15T06:21:00Z</dcterms:created>
  <dcterms:modified xsi:type="dcterms:W3CDTF">2015-10-18T15:00:00Z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