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4 to</w:t>
            </w:r>
            <w:r>
              <w:rPr>
                <w:rFonts w:ascii="Verdana" w:eastAsia="SimSun" w:hAnsi="Verdana" w:cs="Traditional Arabic"/>
                <w:b/>
                <w:sz w:val="20"/>
              </w:rPr>
              <w:br/>
              <w:t>Document 7(Add.24)</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29 September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Member States of the Inter-American Telecommunication Commission (CITEL)</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10</w:t>
            </w:r>
          </w:p>
        </w:tc>
      </w:tr>
    </w:tbl>
    <w:bookmarkEnd w:id="6"/>
    <w:bookmarkEnd w:id="7"/>
    <w:p w:rsidR="00B02325" w:rsidRPr="000002F2" w:rsidRDefault="00BD640C" w:rsidP="009218EA">
      <w:pPr>
        <w:overflowPunct/>
        <w:autoSpaceDE/>
        <w:autoSpaceDN/>
        <w:adjustRightInd/>
        <w:textAlignment w:val="auto"/>
      </w:pPr>
      <w:r w:rsidRPr="009A2B70">
        <w:t>10</w:t>
      </w:r>
      <w:r w:rsidRPr="009A2B70">
        <w:rPr>
          <w:b/>
          <w:bCs/>
        </w:rPr>
        <w:tab/>
      </w:r>
      <w:r w:rsidRPr="009A2B70">
        <w:t>to recommend to the Council items for inclusion in the agenda for the next WRC, and to give its views on the preliminary agenda for the subsequent conference and on possible agenda items for future conferences, in accordance with Article 7 of the Convention,</w:t>
      </w:r>
    </w:p>
    <w:p w:rsidR="00D82CAD" w:rsidRDefault="00D82CAD" w:rsidP="00D82CAD"/>
    <w:p w:rsidR="000D760B" w:rsidRPr="000D760B" w:rsidRDefault="000D760B" w:rsidP="000D760B">
      <w:pPr>
        <w:pStyle w:val="headingb0"/>
      </w:pPr>
      <w:r w:rsidRPr="000D760B">
        <w:t xml:space="preserve">Background </w:t>
      </w:r>
    </w:p>
    <w:p w:rsidR="000D760B" w:rsidRDefault="000D760B" w:rsidP="00D82CAD">
      <w:r w:rsidRPr="000B666B">
        <w:t>Appendix 30</w:t>
      </w:r>
      <w:r w:rsidRPr="00F376DD">
        <w:t xml:space="preserve"> contains provisions for use of the </w:t>
      </w:r>
      <w:r>
        <w:t>broadcasting-satellite service (</w:t>
      </w:r>
      <w:r w:rsidRPr="00F376DD">
        <w:t>BSS</w:t>
      </w:r>
      <w:r>
        <w:t>)</w:t>
      </w:r>
      <w:r w:rsidRPr="00F376DD">
        <w:t xml:space="preserve"> Plans and Regions 1 and 3 List, as well as for modifying the Plan (in the case of Region 2) or the List (in</w:t>
      </w:r>
      <w:r w:rsidR="00574C2D">
        <w:t xml:space="preserve"> the case of Regions 1 and 3). </w:t>
      </w:r>
      <w:r w:rsidRPr="00F376DD">
        <w:t xml:space="preserve">It is a self-contained Appendix, including provisions for modifying the Plan or List (Article </w:t>
      </w:r>
      <w:r w:rsidRPr="0009623C">
        <w:rPr>
          <w:bCs/>
        </w:rPr>
        <w:t>4</w:t>
      </w:r>
      <w:r w:rsidRPr="00F376DD">
        <w:t xml:space="preserve">), notifying Plan or List assignments and for coordinating other services in the frequency bands vis a vis the Plan and List (Articles </w:t>
      </w:r>
      <w:r w:rsidRPr="0009623C">
        <w:rPr>
          <w:bCs/>
        </w:rPr>
        <w:t>6</w:t>
      </w:r>
      <w:r w:rsidRPr="00D72895">
        <w:t xml:space="preserve"> and </w:t>
      </w:r>
      <w:r w:rsidRPr="0009623C">
        <w:rPr>
          <w:bCs/>
        </w:rPr>
        <w:t>7</w:t>
      </w:r>
      <w:r w:rsidRPr="00F376DD">
        <w:t>).</w:t>
      </w:r>
    </w:p>
    <w:p w:rsidR="000D760B" w:rsidRPr="00574C2D" w:rsidRDefault="000D760B" w:rsidP="00D82CAD">
      <w:pPr>
        <w:rPr>
          <w:noProof/>
        </w:rPr>
      </w:pPr>
      <w:r w:rsidRPr="00574C2D">
        <w:t xml:space="preserve">Appendix 30 also contains detailed criteria for sharing between the Plan/List and other services.  Specifically, Annex 1 to Appendix 30 provides criteria for determining whether the service of an administration is affected by a proposed modification to the Region 2 Plan or by a proposed new or modified assignment in the Regions 1 and 3 List; Annex 4 to Appendix 30 provides criteria to determine the need to coordinate the fixed-satellite service (FSS) (or BSS not subject to a Plan) with the assignments of the Plans; and finally </w:t>
      </w:r>
      <w:r w:rsidRPr="00574C2D">
        <w:rPr>
          <w:noProof/>
        </w:rPr>
        <w:t>Annex 7 to Appendix 30 contains orbital position limitations on modifications to the BSS Plan or List.</w:t>
      </w:r>
    </w:p>
    <w:p w:rsidR="000D760B" w:rsidRPr="00574C2D" w:rsidRDefault="004B2205" w:rsidP="00D82CAD">
      <w:pPr>
        <w:rPr>
          <w:rFonts w:eastAsia="Batang"/>
        </w:rPr>
      </w:pPr>
      <w:r>
        <w:rPr>
          <w:rFonts w:eastAsia="Batang"/>
        </w:rPr>
        <w:t>The Ku-</w:t>
      </w:r>
      <w:r w:rsidR="000D760B" w:rsidRPr="00574C2D">
        <w:rPr>
          <w:rFonts w:eastAsia="Batang"/>
        </w:rPr>
        <w:t>band frequencies are not globally harmonized, so, for example, the range 11.7-12.2 GHz is BSS in Region 1 and FSS in Region 2, the range 12.5-12.7 GHz is FSS in Region 1 and BSS in Region 2, and the range 12.2-12.5 GHz i</w:t>
      </w:r>
      <w:r w:rsidR="00FA776F">
        <w:rPr>
          <w:rFonts w:eastAsia="Batang"/>
        </w:rPr>
        <w:t xml:space="preserve">s BSS in both Regions 1 and 2. </w:t>
      </w:r>
      <w:r w:rsidR="000D760B" w:rsidRPr="00574C2D">
        <w:rPr>
          <w:rFonts w:eastAsia="Batang"/>
        </w:rPr>
        <w:t xml:space="preserve">The Annex 7 </w:t>
      </w:r>
      <w:r w:rsidR="000D760B" w:rsidRPr="00574C2D">
        <w:rPr>
          <w:noProof/>
        </w:rPr>
        <w:t>orbital position limitations</w:t>
      </w:r>
      <w:r w:rsidR="000D760B" w:rsidRPr="00574C2D">
        <w:rPr>
          <w:rFonts w:eastAsia="Batang"/>
        </w:rPr>
        <w:t xml:space="preserve"> </w:t>
      </w:r>
      <w:r w:rsidR="000D760B" w:rsidRPr="00574C2D">
        <w:rPr>
          <w:noProof/>
        </w:rPr>
        <w:t>on modifications to the BSS Plan or List</w:t>
      </w:r>
      <w:r w:rsidR="000D760B" w:rsidRPr="00574C2D">
        <w:rPr>
          <w:rFonts w:eastAsia="Batang"/>
        </w:rPr>
        <w:t xml:space="preserve"> were designed to facilitate BSS sharing with the FSS in the shared part of the orbital arc between Regions 1 and 2, and are </w:t>
      </w:r>
      <w:r w:rsidR="000D760B" w:rsidRPr="00574C2D">
        <w:rPr>
          <w:noProof/>
        </w:rPr>
        <w:t>specifically applicable to Region 2 BSS in 12.2-12.7 GHz and to Region 1 BSS in 11.7-12.2 GHz</w:t>
      </w:r>
      <w:r w:rsidR="000D760B" w:rsidRPr="00574C2D">
        <w:rPr>
          <w:rFonts w:eastAsia="Batang"/>
        </w:rPr>
        <w:t xml:space="preserve">.  </w:t>
      </w:r>
    </w:p>
    <w:p w:rsidR="000D760B" w:rsidRDefault="000D760B" w:rsidP="00D82CAD">
      <w:pPr>
        <w:rPr>
          <w:rFonts w:eastAsia="Batang"/>
        </w:rPr>
      </w:pPr>
      <w:r w:rsidRPr="00574C2D">
        <w:rPr>
          <w:rFonts w:eastAsia="Batang"/>
        </w:rPr>
        <w:t xml:space="preserve">The Annex 7 orbital position limitations were maintained at WRC-2000 (the most recent BSS Planning conference, which focused on Regions 1 and 3) for the reason that during a Planning conference, many new BSS slots could be adopted at once, which could significantly limit the </w:t>
      </w:r>
      <w:r w:rsidRPr="00574C2D">
        <w:rPr>
          <w:rFonts w:eastAsia="Batang"/>
        </w:rPr>
        <w:lastRenderedPageBreak/>
        <w:t>future access of FSS to the shar</w:t>
      </w:r>
      <w:r w:rsidR="00FA776F">
        <w:rPr>
          <w:rFonts w:eastAsia="Batang"/>
        </w:rPr>
        <w:t xml:space="preserve">ed portion of the orbital arc. </w:t>
      </w:r>
      <w:r w:rsidRPr="00574C2D">
        <w:rPr>
          <w:rFonts w:eastAsia="Batang"/>
        </w:rPr>
        <w:t>Some of the criteria of Annex 1 and Annex 4 to Appendix 30</w:t>
      </w:r>
      <w:r w:rsidR="006437D6">
        <w:rPr>
          <w:rFonts w:eastAsia="Batang"/>
        </w:rPr>
        <w:t xml:space="preserve"> were updated at WRC-</w:t>
      </w:r>
      <w:r w:rsidR="00FA776F">
        <w:rPr>
          <w:rFonts w:eastAsia="Batang"/>
        </w:rPr>
        <w:t xml:space="preserve">03. </w:t>
      </w:r>
      <w:r w:rsidRPr="00574C2D">
        <w:rPr>
          <w:rFonts w:eastAsia="Batang"/>
        </w:rPr>
        <w:t>Since then there has been considerable experience in working with the Plans and the criteria of Annexes 1 and 4 to Appendix 30</w:t>
      </w:r>
      <w:r w:rsidR="00FA776F">
        <w:rPr>
          <w:rFonts w:eastAsia="Batang"/>
        </w:rPr>
        <w:t xml:space="preserve">. </w:t>
      </w:r>
      <w:r w:rsidRPr="00574C2D">
        <w:rPr>
          <w:rFonts w:eastAsia="Batang"/>
        </w:rPr>
        <w:t>It is questionable at this point if the constraints of Annex 7 to Appendix 30 are still required, or if they could be removed or modified to provide additional access to this va</w:t>
      </w:r>
      <w:r w:rsidR="000823F6">
        <w:rPr>
          <w:rFonts w:eastAsia="Batang"/>
        </w:rPr>
        <w:t>luable spectrum resource.</w:t>
      </w:r>
    </w:p>
    <w:p w:rsidR="000823F6" w:rsidRDefault="000823F6" w:rsidP="000D760B">
      <w:pPr>
        <w:rPr>
          <w:rFonts w:eastAsia="Batang"/>
        </w:rPr>
      </w:pPr>
    </w:p>
    <w:p w:rsidR="00187BD9" w:rsidRPr="000D760B" w:rsidRDefault="00187BD9" w:rsidP="00187BD9">
      <w:pPr>
        <w:tabs>
          <w:tab w:val="clear" w:pos="1134"/>
          <w:tab w:val="clear" w:pos="1871"/>
          <w:tab w:val="clear" w:pos="2268"/>
        </w:tabs>
        <w:overflowPunct/>
        <w:autoSpaceDE/>
        <w:autoSpaceDN/>
        <w:adjustRightInd/>
        <w:spacing w:before="0"/>
        <w:textAlignment w:val="auto"/>
        <w:rPr>
          <w:lang w:val="en-US"/>
        </w:rPr>
      </w:pPr>
      <w:r w:rsidRPr="000D760B">
        <w:rPr>
          <w:lang w:val="en-US"/>
        </w:rPr>
        <w:br w:type="page"/>
      </w:r>
    </w:p>
    <w:p w:rsidR="000823F6" w:rsidRPr="000823F6" w:rsidRDefault="000823F6" w:rsidP="000823F6">
      <w:pPr>
        <w:pStyle w:val="Headingb"/>
        <w:rPr>
          <w:lang w:val="en-US"/>
        </w:rPr>
      </w:pPr>
      <w:r w:rsidRPr="000823F6">
        <w:rPr>
          <w:lang w:val="en-US"/>
        </w:rPr>
        <w:lastRenderedPageBreak/>
        <w:t>Proposals</w:t>
      </w:r>
    </w:p>
    <w:p w:rsidR="00CF2C79" w:rsidRDefault="00BD640C">
      <w:pPr>
        <w:pStyle w:val="Proposal"/>
      </w:pPr>
      <w:r>
        <w:t>SUP</w:t>
      </w:r>
      <w:r w:rsidR="000823F6">
        <w:tab/>
        <w:t>IAP/7A24A4/1</w:t>
      </w:r>
    </w:p>
    <w:p w:rsidR="004415B9" w:rsidRPr="006905BC" w:rsidRDefault="00BD640C">
      <w:pPr>
        <w:pStyle w:val="ResNo"/>
      </w:pPr>
      <w:bookmarkStart w:id="8" w:name="_Toc327364588"/>
      <w:r w:rsidRPr="006905BC">
        <w:t xml:space="preserve">RESOLUTION </w:t>
      </w:r>
      <w:r w:rsidRPr="006905BC">
        <w:rPr>
          <w:rStyle w:val="href"/>
        </w:rPr>
        <w:t>808</w:t>
      </w:r>
      <w:r w:rsidRPr="006905BC">
        <w:t xml:space="preserve"> (WRC</w:t>
      </w:r>
      <w:r w:rsidRPr="006905BC">
        <w:noBreakHyphen/>
        <w:t>12)</w:t>
      </w:r>
      <w:bookmarkEnd w:id="8"/>
    </w:p>
    <w:p w:rsidR="004415B9" w:rsidRPr="006905BC" w:rsidRDefault="00BD640C" w:rsidP="00651EBE">
      <w:pPr>
        <w:pStyle w:val="Restitle"/>
      </w:pPr>
      <w:bookmarkStart w:id="9" w:name="_Toc327364589"/>
      <w:r w:rsidRPr="006905BC">
        <w:t>Preliminary agenda for the 2018 World Radiocommunication Conference</w:t>
      </w:r>
      <w:bookmarkEnd w:id="9"/>
    </w:p>
    <w:p w:rsidR="00CF2C79" w:rsidRDefault="00BD640C">
      <w:pPr>
        <w:pStyle w:val="Reasons"/>
      </w:pPr>
      <w:r>
        <w:rPr>
          <w:b/>
        </w:rPr>
        <w:t>Reasons:</w:t>
      </w:r>
      <w:r>
        <w:tab/>
      </w:r>
      <w:r w:rsidR="000823F6" w:rsidRPr="00764892">
        <w:rPr>
          <w:szCs w:val="24"/>
        </w:rPr>
        <w:t>This Resolution must be suppressed, as WRC-15 will create a new Resolution that will include the agenda for WRC-19.</w:t>
      </w:r>
    </w:p>
    <w:p w:rsidR="00CF2C79" w:rsidRDefault="00BD640C">
      <w:pPr>
        <w:pStyle w:val="Proposal"/>
      </w:pPr>
      <w:r>
        <w:t>ADD</w:t>
      </w:r>
      <w:r w:rsidR="000823F6">
        <w:tab/>
        <w:t>IAP/7A24A4/2</w:t>
      </w:r>
    </w:p>
    <w:p w:rsidR="00CF2C79" w:rsidRPr="00BD640C" w:rsidRDefault="00BD640C" w:rsidP="00BD640C">
      <w:pPr>
        <w:pStyle w:val="ResNo"/>
      </w:pPr>
      <w:r w:rsidRPr="00BD640C">
        <w:t>Draft New Resolution [IAP-10D-2019] (WRC-15)</w:t>
      </w:r>
    </w:p>
    <w:p w:rsidR="00CF2C79" w:rsidRPr="00BD640C" w:rsidRDefault="000823F6" w:rsidP="00BD640C">
      <w:pPr>
        <w:pStyle w:val="Restitle"/>
      </w:pPr>
      <w:bookmarkStart w:id="10" w:name="_Toc319401924"/>
      <w:bookmarkStart w:id="11" w:name="_Toc327364587"/>
      <w:r w:rsidRPr="00BD640C">
        <w:t>Agenda for the 2019 World Radiocommunication Conference</w:t>
      </w:r>
      <w:bookmarkEnd w:id="10"/>
      <w:bookmarkEnd w:id="11"/>
    </w:p>
    <w:p w:rsidR="00BD640C" w:rsidRPr="00764892" w:rsidRDefault="00BD640C" w:rsidP="00BD640C">
      <w:pPr>
        <w:pStyle w:val="Normalaftertitle"/>
        <w:rPr>
          <w:szCs w:val="24"/>
        </w:rPr>
      </w:pPr>
      <w:r w:rsidRPr="00764892">
        <w:rPr>
          <w:szCs w:val="24"/>
        </w:rPr>
        <w:t>The World Radiocommunication Conference (Geneva, 2015),</w:t>
      </w:r>
    </w:p>
    <w:p w:rsidR="00BD640C" w:rsidRPr="00764892" w:rsidRDefault="00BD640C" w:rsidP="00BD640C">
      <w:pPr>
        <w:pStyle w:val="Call"/>
        <w:rPr>
          <w:szCs w:val="24"/>
        </w:rPr>
      </w:pPr>
      <w:r w:rsidRPr="00764892">
        <w:rPr>
          <w:szCs w:val="24"/>
        </w:rPr>
        <w:t>considering</w:t>
      </w:r>
    </w:p>
    <w:p w:rsidR="00BD640C" w:rsidRPr="00764892" w:rsidRDefault="00BD640C" w:rsidP="00BD640C">
      <w:pPr>
        <w:rPr>
          <w:szCs w:val="24"/>
        </w:rPr>
      </w:pPr>
      <w:r w:rsidRPr="00764892">
        <w:rPr>
          <w:i/>
          <w:iCs/>
          <w:szCs w:val="24"/>
        </w:rPr>
        <w:t>a)</w:t>
      </w:r>
      <w:r w:rsidRPr="00764892">
        <w:rPr>
          <w:szCs w:val="24"/>
        </w:rPr>
        <w:tab/>
        <w:t>that, in accordance with No. 118 of the ITU Convention, the general scope of the agenda for a world radiocommunication conference should be established four to six years in advance and that a final agenda shall be established by the Council two years before the conference;</w:t>
      </w:r>
    </w:p>
    <w:p w:rsidR="00BD640C" w:rsidRPr="00764892" w:rsidRDefault="00BD640C" w:rsidP="00BD640C">
      <w:pPr>
        <w:rPr>
          <w:szCs w:val="24"/>
        </w:rPr>
      </w:pPr>
      <w:r w:rsidRPr="00764892">
        <w:rPr>
          <w:i/>
          <w:iCs/>
          <w:szCs w:val="24"/>
        </w:rPr>
        <w:t>b)</w:t>
      </w:r>
      <w:r w:rsidRPr="00764892">
        <w:rPr>
          <w:szCs w:val="24"/>
        </w:rPr>
        <w:tab/>
        <w:t>Article 13 of the ITU Constitution relating to the competence and scheduling of world radiocommunication conferences and Article 7 of the Convention relating to their agendas;</w:t>
      </w:r>
    </w:p>
    <w:p w:rsidR="00BD640C" w:rsidRPr="00764892" w:rsidRDefault="00BD640C" w:rsidP="00BD640C">
      <w:pPr>
        <w:rPr>
          <w:szCs w:val="24"/>
        </w:rPr>
      </w:pPr>
      <w:r w:rsidRPr="00764892">
        <w:rPr>
          <w:i/>
          <w:iCs/>
          <w:szCs w:val="24"/>
        </w:rPr>
        <w:t>c)</w:t>
      </w:r>
      <w:r w:rsidRPr="00764892">
        <w:rPr>
          <w:szCs w:val="24"/>
        </w:rPr>
        <w:tab/>
        <w:t>the relevant resolutions and recommendations of previous world administrative radio conferences (WARCs) and world radiocommunication conferences (WRCs),</w:t>
      </w:r>
    </w:p>
    <w:p w:rsidR="00BD640C" w:rsidRPr="00764892" w:rsidRDefault="00BD640C" w:rsidP="00BD640C">
      <w:pPr>
        <w:pStyle w:val="Call"/>
        <w:rPr>
          <w:szCs w:val="24"/>
        </w:rPr>
      </w:pPr>
      <w:r w:rsidRPr="00764892">
        <w:rPr>
          <w:szCs w:val="24"/>
        </w:rPr>
        <w:t>recognizing</w:t>
      </w:r>
    </w:p>
    <w:p w:rsidR="00BD640C" w:rsidRPr="00764892" w:rsidRDefault="00BD640C" w:rsidP="00BD640C">
      <w:pPr>
        <w:rPr>
          <w:szCs w:val="24"/>
        </w:rPr>
      </w:pPr>
      <w:r w:rsidRPr="00764892">
        <w:rPr>
          <w:i/>
          <w:iCs/>
          <w:szCs w:val="24"/>
        </w:rPr>
        <w:t>a)</w:t>
      </w:r>
      <w:r w:rsidRPr="00764892">
        <w:rPr>
          <w:szCs w:val="24"/>
        </w:rPr>
        <w:tab/>
        <w:t>that WRC</w:t>
      </w:r>
      <w:r w:rsidRPr="00764892">
        <w:rPr>
          <w:szCs w:val="24"/>
        </w:rPr>
        <w:noBreakHyphen/>
        <w:t>15 has identified a number of urgent issues requiring further examination by WRC</w:t>
      </w:r>
      <w:r w:rsidRPr="00764892">
        <w:rPr>
          <w:szCs w:val="24"/>
        </w:rPr>
        <w:noBreakHyphen/>
        <w:t>19;</w:t>
      </w:r>
    </w:p>
    <w:p w:rsidR="00BD640C" w:rsidRPr="00764892" w:rsidRDefault="00BD640C" w:rsidP="00BD640C">
      <w:pPr>
        <w:rPr>
          <w:szCs w:val="24"/>
        </w:rPr>
      </w:pPr>
      <w:r w:rsidRPr="00764892">
        <w:rPr>
          <w:i/>
          <w:iCs/>
          <w:szCs w:val="24"/>
        </w:rPr>
        <w:t>b)</w:t>
      </w:r>
      <w:r w:rsidRPr="00764892">
        <w:rPr>
          <w:szCs w:val="24"/>
        </w:rPr>
        <w:tab/>
        <w:t>that, in preparing this agenda, some items proposed by administrations could not be included and have had to be deferred to future conference agendas,</w:t>
      </w:r>
    </w:p>
    <w:p w:rsidR="00BD640C" w:rsidRPr="00764892" w:rsidRDefault="00BD640C" w:rsidP="00BD640C">
      <w:pPr>
        <w:pStyle w:val="Call"/>
        <w:rPr>
          <w:szCs w:val="24"/>
        </w:rPr>
      </w:pPr>
      <w:r w:rsidRPr="00764892">
        <w:rPr>
          <w:szCs w:val="24"/>
        </w:rPr>
        <w:t>resolves</w:t>
      </w:r>
    </w:p>
    <w:p w:rsidR="00BD640C" w:rsidRPr="00764892" w:rsidRDefault="00BD640C" w:rsidP="00D82CAD">
      <w:r w:rsidRPr="00764892">
        <w:t>to recommend to the Council that a world radiocommunication conference be held in 2019 for a maximum period of four weeks, with the following agenda:</w:t>
      </w:r>
    </w:p>
    <w:p w:rsidR="00BD640C" w:rsidRPr="00764892" w:rsidRDefault="00BD640C" w:rsidP="00D82CAD">
      <w:r w:rsidRPr="00764892">
        <w:t>1</w:t>
      </w:r>
      <w:r w:rsidRPr="00764892">
        <w:tab/>
        <w:t>on the basis of proposals from administrations, taking account of the results of WRC</w:t>
      </w:r>
      <w:r w:rsidRPr="00764892">
        <w:noBreakHyphen/>
        <w:t>15 and the Report of the Conference Preparatory Meeting, and with due regard to the requirements of existing and future services in the bands under consideration, to consider and take appropriate action in respect of the following items:</w:t>
      </w:r>
    </w:p>
    <w:p w:rsidR="00BD640C" w:rsidRPr="00764892" w:rsidRDefault="00BD640C" w:rsidP="00D82CAD">
      <w:pPr>
        <w:rPr>
          <w:lang w:val="en-US"/>
        </w:rPr>
      </w:pPr>
      <w:r w:rsidRPr="00764892">
        <w:rPr>
          <w:color w:val="000000"/>
        </w:rPr>
        <w:t>1.[</w:t>
      </w:r>
      <w:r w:rsidR="009D12A9">
        <w:rPr>
          <w:color w:val="000000"/>
        </w:rPr>
        <w:t>A</w:t>
      </w:r>
      <w:r w:rsidRPr="00764892">
        <w:rPr>
          <w:color w:val="000000"/>
        </w:rPr>
        <w:t>pp30]</w:t>
      </w:r>
      <w:r w:rsidRPr="00764892">
        <w:rPr>
          <w:b/>
          <w:color w:val="000000"/>
          <w:lang w:val="en-US"/>
        </w:rPr>
        <w:tab/>
      </w:r>
      <w:r w:rsidRPr="00764892">
        <w:rPr>
          <w:color w:val="000000"/>
          <w:lang w:eastAsia="ja-JP"/>
        </w:rPr>
        <w:t xml:space="preserve">to </w:t>
      </w:r>
      <w:r w:rsidRPr="00764892">
        <w:rPr>
          <w:rFonts w:eastAsia="Batang"/>
        </w:rPr>
        <w:t xml:space="preserve">review the need for the orbital position limitations on modifications to the BSS Plans and List contained in Annex 7 to Appendix </w:t>
      </w:r>
      <w:r w:rsidRPr="00764892">
        <w:rPr>
          <w:rFonts w:eastAsia="Batang"/>
          <w:b/>
          <w:bCs/>
        </w:rPr>
        <w:t>30</w:t>
      </w:r>
      <w:r w:rsidRPr="00764892">
        <w:rPr>
          <w:lang w:val="en-US"/>
        </w:rPr>
        <w:t xml:space="preserve">, conduct the necessary studies </w:t>
      </w:r>
      <w:r w:rsidRPr="00764892">
        <w:t xml:space="preserve">and consider possible modifications to Annex 7 to Appendix </w:t>
      </w:r>
      <w:r w:rsidRPr="00764892">
        <w:rPr>
          <w:b/>
        </w:rPr>
        <w:t>30</w:t>
      </w:r>
      <w:r w:rsidRPr="00764892">
        <w:t xml:space="preserve"> </w:t>
      </w:r>
      <w:r w:rsidRPr="00764892">
        <w:rPr>
          <w:lang w:val="en-US"/>
        </w:rPr>
        <w:t>in accordance with</w:t>
      </w:r>
      <w:r w:rsidRPr="00764892">
        <w:rPr>
          <w:b/>
          <w:lang w:val="en-US"/>
        </w:rPr>
        <w:t xml:space="preserve"> </w:t>
      </w:r>
      <w:r w:rsidRPr="00764892">
        <w:rPr>
          <w:lang w:val="en-US"/>
        </w:rPr>
        <w:t>Resolution</w:t>
      </w:r>
      <w:r w:rsidRPr="00764892">
        <w:rPr>
          <w:b/>
          <w:lang w:val="en-US"/>
        </w:rPr>
        <w:t xml:space="preserve"> [</w:t>
      </w:r>
      <w:r w:rsidRPr="00BD640C">
        <w:rPr>
          <w:lang w:val="en-US"/>
        </w:rPr>
        <w:t>IAP-10</w:t>
      </w:r>
      <w:r w:rsidR="009D12A9">
        <w:rPr>
          <w:lang w:val="en-US"/>
        </w:rPr>
        <w:t>D</w:t>
      </w:r>
      <w:r w:rsidRPr="00BD640C">
        <w:rPr>
          <w:lang w:val="en-US"/>
        </w:rPr>
        <w:t>-APPENDIX30</w:t>
      </w:r>
      <w:r w:rsidRPr="00764892">
        <w:rPr>
          <w:b/>
          <w:lang w:val="en-US"/>
        </w:rPr>
        <w:t>] (WRC</w:t>
      </w:r>
      <w:r w:rsidRPr="00764892">
        <w:rPr>
          <w:b/>
          <w:lang w:val="en-US"/>
        </w:rPr>
        <w:noBreakHyphen/>
        <w:t>15)</w:t>
      </w:r>
      <w:r w:rsidRPr="00764892">
        <w:rPr>
          <w:lang w:val="en-US"/>
        </w:rPr>
        <w:t>;</w:t>
      </w:r>
    </w:p>
    <w:p w:rsidR="00BD640C" w:rsidRPr="00764892" w:rsidRDefault="00BD640C" w:rsidP="00D82CAD">
      <w:r w:rsidRPr="00764892">
        <w:lastRenderedPageBreak/>
        <w:t>2</w:t>
      </w:r>
      <w:r w:rsidRPr="00764892">
        <w:tab/>
        <w:t>to examine the revised ITU</w:t>
      </w:r>
      <w:r w:rsidRPr="00764892">
        <w:noBreakHyphen/>
        <w:t>R Recommendations incorporated by reference in the Radio Regulations communicated by the Radiocommunication Assembly, in accordance with Resolution </w:t>
      </w:r>
      <w:r w:rsidRPr="00764892">
        <w:rPr>
          <w:b/>
          <w:bCs/>
        </w:rPr>
        <w:t>28 (Rev.WRC</w:t>
      </w:r>
      <w:r w:rsidRPr="00764892">
        <w:rPr>
          <w:b/>
          <w:bCs/>
        </w:rPr>
        <w:noBreakHyphen/>
        <w:t>03)</w:t>
      </w:r>
      <w:r w:rsidRPr="00764892">
        <w:t>, and to decide whether or not to update the corresponding references in the Radio Regulations, in accordance with the principles contained in Annex 1 to Resolution </w:t>
      </w:r>
      <w:r w:rsidRPr="00764892">
        <w:rPr>
          <w:b/>
          <w:bCs/>
        </w:rPr>
        <w:t>27 (Rev.WRC</w:t>
      </w:r>
      <w:r w:rsidRPr="00764892">
        <w:rPr>
          <w:b/>
          <w:bCs/>
        </w:rPr>
        <w:noBreakHyphen/>
        <w:t>12)</w:t>
      </w:r>
      <w:r w:rsidRPr="00764892">
        <w:t>;</w:t>
      </w:r>
    </w:p>
    <w:p w:rsidR="00BD640C" w:rsidRPr="00764892" w:rsidRDefault="00BD640C" w:rsidP="00D82CAD">
      <w:r w:rsidRPr="00764892">
        <w:t>3</w:t>
      </w:r>
      <w:r w:rsidRPr="00764892">
        <w:tab/>
        <w:t>to consider such consequential changes and amendments to the Radio Regulations as may be necessitated by the decisions of the Conference;</w:t>
      </w:r>
    </w:p>
    <w:p w:rsidR="00BD640C" w:rsidRPr="00764892" w:rsidRDefault="00BD640C" w:rsidP="00D82CAD">
      <w:r w:rsidRPr="00764892">
        <w:t>4</w:t>
      </w:r>
      <w:r w:rsidRPr="00764892">
        <w:tab/>
        <w:t xml:space="preserve">in accordance with Resolution </w:t>
      </w:r>
      <w:r w:rsidRPr="00764892">
        <w:rPr>
          <w:b/>
          <w:bCs/>
        </w:rPr>
        <w:t>95 (Rev.WRC</w:t>
      </w:r>
      <w:r w:rsidRPr="00764892">
        <w:rPr>
          <w:b/>
          <w:bCs/>
        </w:rPr>
        <w:noBreakHyphen/>
        <w:t>07)</w:t>
      </w:r>
      <w:r w:rsidRPr="00764892">
        <w:t>, to review the resolutions and recommendations of previous conferences with a view to their possible revision, replacement or abrogation;</w:t>
      </w:r>
    </w:p>
    <w:p w:rsidR="00BD640C" w:rsidRPr="00764892" w:rsidRDefault="00BD640C" w:rsidP="00D82CAD">
      <w:r w:rsidRPr="00764892">
        <w:t>5</w:t>
      </w:r>
      <w:r w:rsidRPr="00764892">
        <w:tab/>
        <w:t>to review, and take appropriate action on, the Report from the Radiocommunication Assembly submitted in accordance with Nos. 135 and 136 of the Convention;</w:t>
      </w:r>
    </w:p>
    <w:p w:rsidR="00BD640C" w:rsidRPr="00764892" w:rsidRDefault="00BD640C" w:rsidP="00D82CAD">
      <w:r w:rsidRPr="00764892">
        <w:t>6</w:t>
      </w:r>
      <w:r w:rsidRPr="00764892">
        <w:tab/>
        <w:t>to identify those items requiring urgent action by the Radiocommunication Study Groups in preparation for the next world radiocommunication conference;</w:t>
      </w:r>
    </w:p>
    <w:p w:rsidR="00BD640C" w:rsidRPr="00764892" w:rsidRDefault="00BD640C" w:rsidP="00D82CAD">
      <w:r w:rsidRPr="00764892">
        <w:t>7</w:t>
      </w:r>
      <w:r w:rsidRPr="00764892">
        <w:tab/>
        <w:t xml:space="preserve">to consider possible changes, and other options, in response to Resolution </w:t>
      </w:r>
      <w:r w:rsidRPr="004C100E">
        <w:rPr>
          <w:b/>
          <w:bCs/>
        </w:rPr>
        <w:t>86 (Rev. Marrakesh, 2002)</w:t>
      </w:r>
      <w:r w:rsidRPr="00764892">
        <w:t xml:space="preserve"> of the Plenipotentiary Conference, an advance publication, coordination, notification and recording procedures for frequency assignments pertaining to satellite networks, in accordance with Resolution </w:t>
      </w:r>
      <w:r w:rsidRPr="00764892">
        <w:rPr>
          <w:b/>
          <w:bCs/>
        </w:rPr>
        <w:t xml:space="preserve">86 </w:t>
      </w:r>
      <w:r w:rsidRPr="00764892">
        <w:rPr>
          <w:b/>
          <w:bCs/>
          <w:lang w:eastAsia="ja-JP"/>
        </w:rPr>
        <w:t>(Rev.WRC</w:t>
      </w:r>
      <w:r w:rsidRPr="00764892">
        <w:rPr>
          <w:b/>
          <w:bCs/>
          <w:lang w:eastAsia="ja-JP"/>
        </w:rPr>
        <w:noBreakHyphen/>
        <w:t>07)</w:t>
      </w:r>
      <w:r w:rsidRPr="00764892">
        <w:rPr>
          <w:lang w:eastAsia="ja-JP"/>
        </w:rPr>
        <w:t xml:space="preserve"> to facilitate rational, efficient, and economical use of radio frequencies and any associated orbits, including the geostationary</w:t>
      </w:r>
      <w:r w:rsidRPr="00764892">
        <w:rPr>
          <w:lang w:eastAsia="ja-JP"/>
        </w:rPr>
        <w:noBreakHyphen/>
        <w:t>satellite orbit</w:t>
      </w:r>
      <w:r w:rsidRPr="00764892">
        <w:t>;</w:t>
      </w:r>
    </w:p>
    <w:p w:rsidR="00BD640C" w:rsidRPr="00764892" w:rsidRDefault="00BD640C" w:rsidP="00D82CAD">
      <w:r w:rsidRPr="00764892">
        <w:t>8</w:t>
      </w:r>
      <w:r w:rsidRPr="00764892">
        <w:tab/>
        <w:t>to consider and take appropriate action on requests from administrations to delete their country footnotes or to have their country name deleted from footnotes, if no longer required, taking into account Resolution </w:t>
      </w:r>
      <w:r w:rsidRPr="00764892">
        <w:rPr>
          <w:b/>
          <w:bCs/>
        </w:rPr>
        <w:t>26 (Rev.WRC</w:t>
      </w:r>
      <w:r w:rsidRPr="00764892">
        <w:rPr>
          <w:b/>
          <w:bCs/>
        </w:rPr>
        <w:noBreakHyphen/>
        <w:t>07)</w:t>
      </w:r>
      <w:r w:rsidRPr="00764892">
        <w:t>;</w:t>
      </w:r>
    </w:p>
    <w:p w:rsidR="00BD640C" w:rsidRPr="00764892" w:rsidRDefault="00BD640C" w:rsidP="00D82CAD">
      <w:r w:rsidRPr="00764892">
        <w:t>9</w:t>
      </w:r>
      <w:r w:rsidRPr="00764892">
        <w:tab/>
        <w:t>to consider and approve the Report of the Director of the Radiocommunication Bureau, in accordance with Article 7 of the Convention:</w:t>
      </w:r>
    </w:p>
    <w:p w:rsidR="00BD640C" w:rsidRPr="00764892" w:rsidRDefault="00BD640C" w:rsidP="00D82CAD">
      <w:r w:rsidRPr="00764892">
        <w:t>9.1</w:t>
      </w:r>
      <w:r w:rsidRPr="00764892">
        <w:tab/>
        <w:t>on the activities of the Radiocommunication Sector since WRC</w:t>
      </w:r>
      <w:r w:rsidRPr="00764892">
        <w:noBreakHyphen/>
        <w:t>15;</w:t>
      </w:r>
    </w:p>
    <w:p w:rsidR="00BD640C" w:rsidRPr="00764892" w:rsidRDefault="00BD640C" w:rsidP="00D82CAD">
      <w:r w:rsidRPr="00764892">
        <w:t>9.2</w:t>
      </w:r>
      <w:r w:rsidRPr="00764892">
        <w:tab/>
        <w:t>on any difficulties or inconsistencies encountered in the application of the Radio Regulations; and</w:t>
      </w:r>
    </w:p>
    <w:p w:rsidR="00BD640C" w:rsidRPr="00764892" w:rsidRDefault="00BD640C" w:rsidP="00D82CAD">
      <w:r w:rsidRPr="00764892">
        <w:t>9.3</w:t>
      </w:r>
      <w:r w:rsidRPr="00764892">
        <w:tab/>
        <w:t xml:space="preserve">on action in response to Resolution </w:t>
      </w:r>
      <w:r w:rsidRPr="00764892">
        <w:rPr>
          <w:b/>
          <w:bCs/>
        </w:rPr>
        <w:t>80 (Rev.WRC</w:t>
      </w:r>
      <w:r w:rsidRPr="00764892">
        <w:rPr>
          <w:b/>
          <w:bCs/>
        </w:rPr>
        <w:noBreakHyphen/>
        <w:t>07)</w:t>
      </w:r>
      <w:r w:rsidRPr="00764892">
        <w:t>;</w:t>
      </w:r>
    </w:p>
    <w:p w:rsidR="00BD640C" w:rsidRPr="00764892" w:rsidRDefault="00BD640C" w:rsidP="00D82CAD">
      <w:r w:rsidRPr="00764892">
        <w:t>10</w:t>
      </w:r>
      <w:r w:rsidRPr="00764892">
        <w:rPr>
          <w:b/>
          <w:bCs/>
        </w:rPr>
        <w:tab/>
      </w:r>
      <w:r w:rsidRPr="00764892">
        <w:t>to recommend to the Council items for inclusion in the agenda for the next WRC, and to give its views on the preliminary agenda for the subsequent conference and on possible agenda items for future conferences, in accordance with Article 7 of the Convention,</w:t>
      </w:r>
    </w:p>
    <w:p w:rsidR="00BD640C" w:rsidRPr="00764892" w:rsidRDefault="00BD640C" w:rsidP="00BD640C">
      <w:pPr>
        <w:pStyle w:val="Call"/>
        <w:rPr>
          <w:szCs w:val="24"/>
        </w:rPr>
      </w:pPr>
      <w:r w:rsidRPr="00764892">
        <w:rPr>
          <w:szCs w:val="24"/>
        </w:rPr>
        <w:t>resolves further</w:t>
      </w:r>
    </w:p>
    <w:p w:rsidR="00BD640C" w:rsidRPr="00764892" w:rsidRDefault="00BD640C" w:rsidP="00D82CAD">
      <w:r w:rsidRPr="00764892">
        <w:t>to activate the Conference Preparatory Meeting,</w:t>
      </w:r>
    </w:p>
    <w:p w:rsidR="00BD640C" w:rsidRPr="00764892" w:rsidRDefault="00BD640C" w:rsidP="00BD640C">
      <w:pPr>
        <w:pStyle w:val="Call"/>
        <w:rPr>
          <w:szCs w:val="24"/>
        </w:rPr>
      </w:pPr>
      <w:r w:rsidRPr="00764892">
        <w:rPr>
          <w:szCs w:val="24"/>
        </w:rPr>
        <w:t>invites the Council</w:t>
      </w:r>
    </w:p>
    <w:p w:rsidR="00BD640C" w:rsidRPr="00764892" w:rsidRDefault="00BD640C" w:rsidP="00A5375D">
      <w:r w:rsidRPr="00764892">
        <w:t>to finalize the agenda and arrange for the convening of WRC</w:t>
      </w:r>
      <w:r w:rsidRPr="00764892">
        <w:noBreakHyphen/>
        <w:t>1</w:t>
      </w:r>
      <w:r w:rsidR="00A5375D">
        <w:t>9</w:t>
      </w:r>
      <w:r w:rsidRPr="00764892">
        <w:t>, and to initiate as soon as possible the necessary consultations with Member States,</w:t>
      </w:r>
    </w:p>
    <w:p w:rsidR="00BD640C" w:rsidRPr="00764892" w:rsidRDefault="00BD640C" w:rsidP="00BD640C">
      <w:pPr>
        <w:pStyle w:val="Call"/>
        <w:rPr>
          <w:szCs w:val="24"/>
        </w:rPr>
      </w:pPr>
      <w:r w:rsidRPr="00764892">
        <w:rPr>
          <w:szCs w:val="24"/>
        </w:rPr>
        <w:t>instructs the Director of the Radiocommunication Bureau</w:t>
      </w:r>
    </w:p>
    <w:p w:rsidR="00BD640C" w:rsidRPr="00764892" w:rsidRDefault="00BD640C" w:rsidP="00D82CAD">
      <w:r w:rsidRPr="00764892">
        <w:t>to make the necessary arrangements to convene meetings of the Conference Preparatory Meeting and to prepare a report to WRC</w:t>
      </w:r>
      <w:r w:rsidRPr="00764892">
        <w:noBreakHyphen/>
        <w:t>19,</w:t>
      </w:r>
    </w:p>
    <w:p w:rsidR="00BD640C" w:rsidRPr="00764892" w:rsidRDefault="00BD640C" w:rsidP="00BD640C">
      <w:pPr>
        <w:pStyle w:val="Call"/>
        <w:rPr>
          <w:szCs w:val="24"/>
        </w:rPr>
      </w:pPr>
      <w:r w:rsidRPr="00764892">
        <w:rPr>
          <w:szCs w:val="24"/>
        </w:rPr>
        <w:t>instructs the Secretary-General</w:t>
      </w:r>
    </w:p>
    <w:p w:rsidR="00BD640C" w:rsidRPr="00764892" w:rsidRDefault="00BD640C" w:rsidP="00D82CAD">
      <w:r w:rsidRPr="00764892">
        <w:t>to communicate this Resolution to international and regional organizations concerned.</w:t>
      </w:r>
    </w:p>
    <w:p w:rsidR="00CF2C79" w:rsidRDefault="00BD640C">
      <w:pPr>
        <w:pStyle w:val="Reasons"/>
      </w:pPr>
      <w:r>
        <w:rPr>
          <w:b/>
        </w:rPr>
        <w:lastRenderedPageBreak/>
        <w:t>Reasons:</w:t>
      </w:r>
      <w:r>
        <w:tab/>
      </w:r>
      <w:r w:rsidRPr="00BD640C">
        <w:rPr>
          <w:szCs w:val="24"/>
        </w:rPr>
        <w:t xml:space="preserve">Based on studies to date regarding the orbital separations allowed between BSS and FSS from the coordination triggers in Annexes 1 and 4 of Appendix 30 , representative BSS and FSS systems serving different regions could successfully exist with orbital separations as small as 0.5 and 2 degrees, depending on the carrier parameters and geographic discrimination assumed. </w:t>
      </w:r>
      <w:r w:rsidRPr="00BD640C">
        <w:rPr>
          <w:szCs w:val="24"/>
          <w:lang w:val="en-US"/>
        </w:rPr>
        <w:t xml:space="preserve"> </w:t>
      </w:r>
    </w:p>
    <w:p w:rsidR="00CF2C79" w:rsidRDefault="00BD640C">
      <w:pPr>
        <w:pStyle w:val="Proposal"/>
      </w:pPr>
      <w:r>
        <w:t>ADD</w:t>
      </w:r>
      <w:r w:rsidR="000823F6">
        <w:tab/>
        <w:t>IAP/7A24A4/3</w:t>
      </w:r>
    </w:p>
    <w:p w:rsidR="00CF2C79" w:rsidRPr="00BD640C" w:rsidRDefault="00BD640C" w:rsidP="00BD640C">
      <w:pPr>
        <w:pStyle w:val="ResNo"/>
      </w:pPr>
      <w:r w:rsidRPr="00BD640C">
        <w:t>Draft New Resolution [IAP-10</w:t>
      </w:r>
      <w:r w:rsidR="0051767C">
        <w:t>D</w:t>
      </w:r>
      <w:r w:rsidRPr="00BD640C">
        <w:t>-APPENDIX30] (WRC-15)</w:t>
      </w:r>
    </w:p>
    <w:p w:rsidR="00CF2C79" w:rsidRPr="00BD640C" w:rsidRDefault="00BD640C" w:rsidP="00BD640C">
      <w:pPr>
        <w:pStyle w:val="Restitle"/>
      </w:pPr>
      <w:r w:rsidRPr="00BD640C">
        <w:rPr>
          <w:rFonts w:eastAsia="Batang"/>
        </w:rPr>
        <w:t>Review the orbital position limitations on modifications to the Broadcasting-Satellite Service (BSS) Plans and List contained in Annex 7 to Appendix 30</w:t>
      </w:r>
      <w:r w:rsidRPr="00BD640C">
        <w:t>, and consider possible modifications to Annex 7 to Appendix 30</w:t>
      </w:r>
    </w:p>
    <w:p w:rsidR="00BD640C" w:rsidRPr="00764892" w:rsidRDefault="00BD640C" w:rsidP="00BD640C">
      <w:pPr>
        <w:pStyle w:val="Normalaftertitle"/>
        <w:rPr>
          <w:szCs w:val="24"/>
        </w:rPr>
      </w:pPr>
      <w:r w:rsidRPr="00764892">
        <w:rPr>
          <w:szCs w:val="24"/>
        </w:rPr>
        <w:t>The World Radiocommunication Conference (Geneva, 2015),</w:t>
      </w:r>
    </w:p>
    <w:p w:rsidR="00BD640C" w:rsidRPr="00764892" w:rsidRDefault="00BD640C" w:rsidP="00BD640C">
      <w:pPr>
        <w:pStyle w:val="Call"/>
        <w:rPr>
          <w:szCs w:val="24"/>
        </w:rPr>
      </w:pPr>
      <w:r w:rsidRPr="00764892">
        <w:rPr>
          <w:szCs w:val="24"/>
        </w:rPr>
        <w:t>considering</w:t>
      </w:r>
    </w:p>
    <w:p w:rsidR="00BD640C" w:rsidRPr="00764892" w:rsidRDefault="00BD640C" w:rsidP="00D82CAD">
      <w:r w:rsidRPr="00764892">
        <w:rPr>
          <w:i/>
        </w:rPr>
        <w:t>a)</w:t>
      </w:r>
      <w:r w:rsidRPr="00764892">
        <w:rPr>
          <w:i/>
        </w:rPr>
        <w:tab/>
      </w:r>
      <w:r w:rsidRPr="00764892">
        <w:t xml:space="preserve">that Appendix </w:t>
      </w:r>
      <w:r w:rsidRPr="00764892">
        <w:rPr>
          <w:b/>
          <w:bCs/>
        </w:rPr>
        <w:t>30</w:t>
      </w:r>
      <w:r w:rsidRPr="00764892">
        <w:t xml:space="preserve"> contains provisions for use of the BSS Plans and Regions 1 and 3 List, as well as for modifying the Plan (in the case of Region 2) or the List (in the case of Regions 1 and 3);</w:t>
      </w:r>
    </w:p>
    <w:p w:rsidR="00BD640C" w:rsidRPr="00764892" w:rsidRDefault="00BD640C" w:rsidP="00D82CAD">
      <w:r w:rsidRPr="00764892">
        <w:rPr>
          <w:i/>
        </w:rPr>
        <w:t>b)</w:t>
      </w:r>
      <w:r w:rsidRPr="00764892">
        <w:tab/>
        <w:t xml:space="preserve">that Appendix </w:t>
      </w:r>
      <w:r w:rsidRPr="00764892">
        <w:rPr>
          <w:b/>
          <w:bCs/>
        </w:rPr>
        <w:t>30</w:t>
      </w:r>
      <w:r w:rsidRPr="00764892">
        <w:t xml:space="preserve"> is a self-contained Appendix, including provisions for modifying the Plan or List (Article </w:t>
      </w:r>
      <w:r w:rsidRPr="00764892">
        <w:rPr>
          <w:bCs/>
        </w:rPr>
        <w:t>4</w:t>
      </w:r>
      <w:r w:rsidRPr="00764892">
        <w:t xml:space="preserve">), notifying Plan or List assignments and for coordinating other services in the frequency bands vis a vis the Plan and List (Articles </w:t>
      </w:r>
      <w:r w:rsidRPr="00764892">
        <w:rPr>
          <w:bCs/>
        </w:rPr>
        <w:t>6</w:t>
      </w:r>
      <w:r w:rsidRPr="00764892">
        <w:t xml:space="preserve"> and </w:t>
      </w:r>
      <w:r w:rsidRPr="00764892">
        <w:rPr>
          <w:bCs/>
        </w:rPr>
        <w:t>7</w:t>
      </w:r>
      <w:r w:rsidRPr="00764892">
        <w:t>);</w:t>
      </w:r>
    </w:p>
    <w:p w:rsidR="00BD640C" w:rsidRPr="00764892" w:rsidRDefault="00BD640C" w:rsidP="00D82CAD">
      <w:r w:rsidRPr="00764892">
        <w:rPr>
          <w:i/>
        </w:rPr>
        <w:t>c)</w:t>
      </w:r>
      <w:r w:rsidRPr="00764892">
        <w:tab/>
        <w:t xml:space="preserve">that Appendix </w:t>
      </w:r>
      <w:r w:rsidRPr="00764892">
        <w:rPr>
          <w:b/>
          <w:bCs/>
        </w:rPr>
        <w:t>30</w:t>
      </w:r>
      <w:r w:rsidRPr="00764892">
        <w:t xml:space="preserve"> also contains detailed criteria for sharing between the Plan/List and other services;</w:t>
      </w:r>
    </w:p>
    <w:p w:rsidR="00BD640C" w:rsidRPr="00764892" w:rsidRDefault="00BD640C" w:rsidP="00D82CAD">
      <w:r w:rsidRPr="00764892">
        <w:rPr>
          <w:i/>
        </w:rPr>
        <w:t xml:space="preserve">d) </w:t>
      </w:r>
      <w:r w:rsidRPr="00764892">
        <w:rPr>
          <w:i/>
        </w:rPr>
        <w:tab/>
      </w:r>
      <w:r w:rsidRPr="00764892">
        <w:t>that both BSS and the fixed-satellite service (FSS) may proceed at the same time to access the shared orbit resource outside of a planning conference;</w:t>
      </w:r>
    </w:p>
    <w:p w:rsidR="00BD640C" w:rsidRPr="00764892" w:rsidRDefault="00BD640C" w:rsidP="00D82CAD">
      <w:r w:rsidRPr="00764892">
        <w:rPr>
          <w:i/>
        </w:rPr>
        <w:t xml:space="preserve">e) </w:t>
      </w:r>
      <w:r w:rsidRPr="00764892">
        <w:rPr>
          <w:i/>
        </w:rPr>
        <w:tab/>
      </w:r>
      <w:r w:rsidRPr="00764892">
        <w:t xml:space="preserve">that special consideration may need to be given to operational systems implemented under the Annex 7 to Appendix </w:t>
      </w:r>
      <w:r w:rsidRPr="00764892">
        <w:rPr>
          <w:b/>
        </w:rPr>
        <w:t>30</w:t>
      </w:r>
      <w:r w:rsidRPr="00764892">
        <w:t xml:space="preserve"> regime;</w:t>
      </w:r>
    </w:p>
    <w:p w:rsidR="00BD640C" w:rsidRPr="00764892" w:rsidRDefault="00BD640C" w:rsidP="00D82CAD">
      <w:r w:rsidRPr="00764892">
        <w:rPr>
          <w:i/>
        </w:rPr>
        <w:t xml:space="preserve">f) </w:t>
      </w:r>
      <w:r w:rsidRPr="00764892">
        <w:rPr>
          <w:i/>
        </w:rPr>
        <w:tab/>
      </w:r>
      <w:r w:rsidRPr="00764892">
        <w:t>that parity between the regions and services with BSS subject to orbital position limitations while FSS in the same frequency bands are not,</w:t>
      </w:r>
    </w:p>
    <w:p w:rsidR="00BD640C" w:rsidRPr="00764892" w:rsidRDefault="00BD640C" w:rsidP="00BD640C">
      <w:pPr>
        <w:pStyle w:val="Call"/>
        <w:jc w:val="both"/>
        <w:rPr>
          <w:szCs w:val="24"/>
        </w:rPr>
      </w:pPr>
      <w:r w:rsidRPr="00764892">
        <w:rPr>
          <w:szCs w:val="24"/>
        </w:rPr>
        <w:t>recognizing</w:t>
      </w:r>
    </w:p>
    <w:p w:rsidR="00BD640C" w:rsidRPr="00764892" w:rsidRDefault="00BD640C" w:rsidP="00D82CAD">
      <w:pPr>
        <w:rPr>
          <w:szCs w:val="24"/>
        </w:rPr>
      </w:pPr>
      <w:r w:rsidRPr="00764892">
        <w:rPr>
          <w:i/>
          <w:szCs w:val="24"/>
        </w:rPr>
        <w:t>a)</w:t>
      </w:r>
      <w:r w:rsidRPr="00764892">
        <w:rPr>
          <w:szCs w:val="24"/>
        </w:rPr>
        <w:tab/>
        <w:t xml:space="preserve">that Article </w:t>
      </w:r>
      <w:r w:rsidRPr="00764892">
        <w:rPr>
          <w:bCs/>
          <w:szCs w:val="24"/>
        </w:rPr>
        <w:t>4</w:t>
      </w:r>
      <w:r w:rsidRPr="00764892">
        <w:rPr>
          <w:szCs w:val="24"/>
        </w:rPr>
        <w:t xml:space="preserve"> of Appendix </w:t>
      </w:r>
      <w:r w:rsidRPr="00764892">
        <w:rPr>
          <w:b/>
          <w:bCs/>
          <w:szCs w:val="24"/>
        </w:rPr>
        <w:t>30</w:t>
      </w:r>
      <w:r w:rsidRPr="00764892">
        <w:rPr>
          <w:szCs w:val="24"/>
        </w:rPr>
        <w:t xml:space="preserve"> contains procedure for proposed modifications to the BSS Plan or List to coordinate with unplanned FSS or BSS;</w:t>
      </w:r>
    </w:p>
    <w:p w:rsidR="00BD640C" w:rsidRPr="00764892" w:rsidRDefault="00BD640C" w:rsidP="00D82CAD">
      <w:pPr>
        <w:rPr>
          <w:szCs w:val="24"/>
        </w:rPr>
      </w:pPr>
      <w:r w:rsidRPr="00764892">
        <w:rPr>
          <w:i/>
          <w:szCs w:val="24"/>
        </w:rPr>
        <w:t>b)</w:t>
      </w:r>
      <w:r w:rsidRPr="00764892">
        <w:rPr>
          <w:szCs w:val="24"/>
        </w:rPr>
        <w:tab/>
        <w:t xml:space="preserve">that </w:t>
      </w:r>
      <w:r w:rsidRPr="00764892">
        <w:rPr>
          <w:noProof/>
          <w:szCs w:val="24"/>
        </w:rPr>
        <w:t>Article</w:t>
      </w:r>
      <w:r w:rsidRPr="00764892">
        <w:rPr>
          <w:b/>
          <w:bCs/>
          <w:noProof/>
          <w:szCs w:val="24"/>
        </w:rPr>
        <w:t xml:space="preserve"> </w:t>
      </w:r>
      <w:r w:rsidRPr="00764892">
        <w:rPr>
          <w:bCs/>
          <w:noProof/>
          <w:szCs w:val="24"/>
        </w:rPr>
        <w:t>7</w:t>
      </w:r>
      <w:r w:rsidRPr="00764892">
        <w:rPr>
          <w:noProof/>
          <w:szCs w:val="24"/>
        </w:rPr>
        <w:t xml:space="preserve"> of Appendix </w:t>
      </w:r>
      <w:r w:rsidRPr="00764892">
        <w:rPr>
          <w:b/>
          <w:bCs/>
          <w:noProof/>
          <w:szCs w:val="24"/>
        </w:rPr>
        <w:t>30</w:t>
      </w:r>
      <w:r w:rsidRPr="00764892">
        <w:rPr>
          <w:noProof/>
          <w:szCs w:val="24"/>
        </w:rPr>
        <w:t xml:space="preserve"> contains procedure for unplanned BSS or FSS networks to coordinate with BSS Plan or List assignments or previously filed modifications to the Plan or List</w:t>
      </w:r>
      <w:r w:rsidRPr="00764892">
        <w:rPr>
          <w:szCs w:val="24"/>
        </w:rPr>
        <w:t>;</w:t>
      </w:r>
    </w:p>
    <w:p w:rsidR="00BD640C" w:rsidRPr="00764892" w:rsidRDefault="00BD640C" w:rsidP="00D82CAD">
      <w:pPr>
        <w:rPr>
          <w:noProof/>
          <w:szCs w:val="24"/>
        </w:rPr>
      </w:pPr>
      <w:r w:rsidRPr="00764892">
        <w:rPr>
          <w:i/>
          <w:szCs w:val="24"/>
        </w:rPr>
        <w:t>c)</w:t>
      </w:r>
      <w:r w:rsidRPr="00764892">
        <w:rPr>
          <w:i/>
          <w:szCs w:val="24"/>
        </w:rPr>
        <w:tab/>
      </w:r>
      <w:r w:rsidRPr="00764892">
        <w:rPr>
          <w:szCs w:val="24"/>
        </w:rPr>
        <w:t xml:space="preserve">that </w:t>
      </w:r>
      <w:r w:rsidRPr="00764892">
        <w:rPr>
          <w:noProof/>
          <w:szCs w:val="24"/>
        </w:rPr>
        <w:t xml:space="preserve">Annex 1 to Appendix </w:t>
      </w:r>
      <w:r w:rsidRPr="00764892">
        <w:rPr>
          <w:b/>
          <w:bCs/>
          <w:noProof/>
          <w:szCs w:val="24"/>
        </w:rPr>
        <w:t>30</w:t>
      </w:r>
      <w:r w:rsidRPr="00764892">
        <w:rPr>
          <w:noProof/>
          <w:szCs w:val="24"/>
        </w:rPr>
        <w:t xml:space="preserve"> contains the criteria to determine if a proposed modification to the BSS Plan or List needs to coordinate with unplanned FSS or BSS networks;</w:t>
      </w:r>
    </w:p>
    <w:p w:rsidR="00BD640C" w:rsidRPr="00764892" w:rsidRDefault="00BC1C85" w:rsidP="00D82CAD">
      <w:pPr>
        <w:rPr>
          <w:noProof/>
          <w:szCs w:val="24"/>
        </w:rPr>
      </w:pPr>
      <w:r>
        <w:rPr>
          <w:i/>
          <w:noProof/>
          <w:szCs w:val="24"/>
        </w:rPr>
        <w:t>d)</w:t>
      </w:r>
      <w:r w:rsidR="00BD640C" w:rsidRPr="00764892">
        <w:rPr>
          <w:i/>
          <w:noProof/>
          <w:szCs w:val="24"/>
        </w:rPr>
        <w:tab/>
      </w:r>
      <w:r w:rsidR="00BD640C" w:rsidRPr="00764892">
        <w:rPr>
          <w:noProof/>
          <w:szCs w:val="24"/>
        </w:rPr>
        <w:t xml:space="preserve">that Annex 4 to Appendix </w:t>
      </w:r>
      <w:r w:rsidR="00BD640C" w:rsidRPr="00764892">
        <w:rPr>
          <w:b/>
          <w:bCs/>
          <w:noProof/>
          <w:szCs w:val="24"/>
        </w:rPr>
        <w:t>30</w:t>
      </w:r>
      <w:r w:rsidR="00BD640C" w:rsidRPr="00764892">
        <w:rPr>
          <w:noProof/>
          <w:szCs w:val="24"/>
        </w:rPr>
        <w:t xml:space="preserve"> contains the criteria to determine if an unplanned FSS or BSS network needs to coordinate with the BSS Plan or List assignments or previously filed modifications to the Plan or List;</w:t>
      </w:r>
    </w:p>
    <w:p w:rsidR="00BD640C" w:rsidRPr="00764892" w:rsidRDefault="00BC1C85" w:rsidP="00D82CAD">
      <w:pPr>
        <w:rPr>
          <w:noProof/>
          <w:szCs w:val="24"/>
        </w:rPr>
      </w:pPr>
      <w:r>
        <w:rPr>
          <w:i/>
          <w:noProof/>
          <w:szCs w:val="24"/>
        </w:rPr>
        <w:t>e)</w:t>
      </w:r>
      <w:r w:rsidR="00BD640C" w:rsidRPr="00764892">
        <w:rPr>
          <w:i/>
          <w:noProof/>
          <w:szCs w:val="24"/>
        </w:rPr>
        <w:tab/>
      </w:r>
      <w:r w:rsidR="00BD640C" w:rsidRPr="00764892">
        <w:rPr>
          <w:noProof/>
          <w:szCs w:val="24"/>
        </w:rPr>
        <w:t xml:space="preserve">that Annex 6 to Appendix </w:t>
      </w:r>
      <w:r w:rsidR="00BD640C" w:rsidRPr="00764892">
        <w:rPr>
          <w:b/>
          <w:bCs/>
          <w:noProof/>
          <w:szCs w:val="24"/>
        </w:rPr>
        <w:t xml:space="preserve">30 </w:t>
      </w:r>
      <w:r w:rsidR="00BD640C" w:rsidRPr="00764892">
        <w:rPr>
          <w:noProof/>
          <w:szCs w:val="24"/>
        </w:rPr>
        <w:t xml:space="preserve">contains the summary of the assumptions used to develop the power flux density (pfd) levels contained in Annexes 1 and 4 to Appendix </w:t>
      </w:r>
      <w:r w:rsidR="00BD640C" w:rsidRPr="00764892">
        <w:rPr>
          <w:b/>
          <w:bCs/>
          <w:noProof/>
          <w:szCs w:val="24"/>
        </w:rPr>
        <w:t>30</w:t>
      </w:r>
      <w:r w:rsidR="00BD640C" w:rsidRPr="00764892">
        <w:rPr>
          <w:noProof/>
          <w:szCs w:val="24"/>
        </w:rPr>
        <w:t>;</w:t>
      </w:r>
    </w:p>
    <w:p w:rsidR="00BD640C" w:rsidRPr="00764892" w:rsidRDefault="00BC1C85" w:rsidP="00D82CAD">
      <w:pPr>
        <w:rPr>
          <w:szCs w:val="24"/>
        </w:rPr>
      </w:pPr>
      <w:r>
        <w:rPr>
          <w:i/>
          <w:noProof/>
          <w:szCs w:val="24"/>
        </w:rPr>
        <w:lastRenderedPageBreak/>
        <w:t>f)</w:t>
      </w:r>
      <w:r w:rsidR="00BD640C" w:rsidRPr="00764892">
        <w:rPr>
          <w:i/>
          <w:noProof/>
          <w:szCs w:val="24"/>
        </w:rPr>
        <w:tab/>
      </w:r>
      <w:r w:rsidR="00BD640C" w:rsidRPr="00764892">
        <w:rPr>
          <w:noProof/>
          <w:szCs w:val="24"/>
        </w:rPr>
        <w:t xml:space="preserve">that Annex 7 to Appendix </w:t>
      </w:r>
      <w:r w:rsidR="00BD640C" w:rsidRPr="00764892">
        <w:rPr>
          <w:b/>
          <w:noProof/>
          <w:szCs w:val="24"/>
        </w:rPr>
        <w:t>30</w:t>
      </w:r>
      <w:r w:rsidR="00BD640C" w:rsidRPr="00764892">
        <w:rPr>
          <w:noProof/>
          <w:szCs w:val="24"/>
        </w:rPr>
        <w:t xml:space="preserve"> contains orbital position limitations on modifications to the BSS Plan or List, as well as associated e.i.r.p. limits for Region 1 BSS in a portion of the arc,  </w:t>
      </w:r>
    </w:p>
    <w:p w:rsidR="00BD640C" w:rsidRPr="00764892" w:rsidRDefault="00BD640C" w:rsidP="00BD640C">
      <w:pPr>
        <w:pStyle w:val="Call"/>
        <w:jc w:val="both"/>
        <w:rPr>
          <w:szCs w:val="24"/>
        </w:rPr>
      </w:pPr>
      <w:r w:rsidRPr="00764892">
        <w:rPr>
          <w:szCs w:val="24"/>
        </w:rPr>
        <w:t>recognizing further</w:t>
      </w:r>
    </w:p>
    <w:p w:rsidR="00BD640C" w:rsidRPr="00764892" w:rsidRDefault="00BD640C" w:rsidP="00D82CAD">
      <w:pPr>
        <w:tabs>
          <w:tab w:val="left" w:pos="1170"/>
        </w:tabs>
        <w:rPr>
          <w:szCs w:val="24"/>
        </w:rPr>
      </w:pPr>
      <w:r w:rsidRPr="00764892">
        <w:rPr>
          <w:i/>
          <w:szCs w:val="24"/>
        </w:rPr>
        <w:t>a)</w:t>
      </w:r>
      <w:r w:rsidRPr="00764892">
        <w:rPr>
          <w:szCs w:val="24"/>
        </w:rPr>
        <w:tab/>
      </w:r>
      <w:r w:rsidRPr="00764892">
        <w:rPr>
          <w:rFonts w:eastAsia="Batang"/>
          <w:szCs w:val="24"/>
        </w:rPr>
        <w:t xml:space="preserve">that the limitations in </w:t>
      </w:r>
      <w:r w:rsidRPr="00764892">
        <w:rPr>
          <w:noProof/>
          <w:szCs w:val="24"/>
        </w:rPr>
        <w:t xml:space="preserve">Annex 7 to Appendix </w:t>
      </w:r>
      <w:r w:rsidRPr="00764892">
        <w:rPr>
          <w:b/>
          <w:noProof/>
          <w:szCs w:val="24"/>
        </w:rPr>
        <w:t>30</w:t>
      </w:r>
      <w:r w:rsidRPr="00764892">
        <w:rPr>
          <w:noProof/>
          <w:szCs w:val="24"/>
        </w:rPr>
        <w:t xml:space="preserve"> </w:t>
      </w:r>
      <w:r w:rsidRPr="00764892">
        <w:rPr>
          <w:rFonts w:eastAsia="Batang"/>
          <w:szCs w:val="24"/>
        </w:rPr>
        <w:t>were designed to facilitate sharing with the fixed-satellite service (FSS) in the shared part of the orbital arc between the Regions</w:t>
      </w:r>
      <w:r w:rsidRPr="00764892">
        <w:rPr>
          <w:szCs w:val="24"/>
        </w:rPr>
        <w:t>;</w:t>
      </w:r>
    </w:p>
    <w:p w:rsidR="00BD640C" w:rsidRPr="00764892" w:rsidRDefault="00BD640C" w:rsidP="00D82CAD">
      <w:pPr>
        <w:tabs>
          <w:tab w:val="left" w:pos="1170"/>
        </w:tabs>
        <w:rPr>
          <w:szCs w:val="24"/>
        </w:rPr>
      </w:pPr>
      <w:r w:rsidRPr="00764892">
        <w:rPr>
          <w:i/>
          <w:szCs w:val="24"/>
        </w:rPr>
        <w:t>b)</w:t>
      </w:r>
      <w:r w:rsidRPr="00764892">
        <w:rPr>
          <w:szCs w:val="24"/>
        </w:rPr>
        <w:tab/>
      </w:r>
      <w:r w:rsidRPr="00764892">
        <w:rPr>
          <w:rFonts w:eastAsia="Batang"/>
          <w:szCs w:val="24"/>
        </w:rPr>
        <w:t>that in the Ku band frequencies, the BSS allocations are not global, so, for example, 11.7-12.2 GHz is BSS in Region 1 and FSS in Region 2</w:t>
      </w:r>
      <w:r w:rsidRPr="00764892">
        <w:rPr>
          <w:szCs w:val="24"/>
        </w:rPr>
        <w:t>;</w:t>
      </w:r>
    </w:p>
    <w:p w:rsidR="00BD640C" w:rsidRPr="00764892" w:rsidRDefault="00BD640C" w:rsidP="00D82CAD">
      <w:pPr>
        <w:tabs>
          <w:tab w:val="left" w:pos="1170"/>
        </w:tabs>
        <w:rPr>
          <w:szCs w:val="24"/>
        </w:rPr>
      </w:pPr>
      <w:r w:rsidRPr="00764892">
        <w:rPr>
          <w:i/>
          <w:szCs w:val="24"/>
        </w:rPr>
        <w:t>c)</w:t>
      </w:r>
      <w:r w:rsidRPr="00764892">
        <w:rPr>
          <w:i/>
          <w:szCs w:val="24"/>
        </w:rPr>
        <w:tab/>
      </w:r>
      <w:r w:rsidRPr="00764892">
        <w:rPr>
          <w:rFonts w:eastAsia="Batang"/>
          <w:szCs w:val="24"/>
        </w:rPr>
        <w:t xml:space="preserve">that the orbital position limitations in </w:t>
      </w:r>
      <w:r w:rsidRPr="00764892">
        <w:rPr>
          <w:noProof/>
          <w:szCs w:val="24"/>
        </w:rPr>
        <w:t xml:space="preserve">Annex 7 to Appendix </w:t>
      </w:r>
      <w:r w:rsidRPr="00764892">
        <w:rPr>
          <w:b/>
          <w:noProof/>
          <w:szCs w:val="24"/>
        </w:rPr>
        <w:t>30</w:t>
      </w:r>
      <w:r w:rsidRPr="00764892">
        <w:rPr>
          <w:noProof/>
          <w:szCs w:val="24"/>
        </w:rPr>
        <w:t xml:space="preserve"> </w:t>
      </w:r>
      <w:r w:rsidRPr="00764892">
        <w:rPr>
          <w:rFonts w:eastAsia="Batang"/>
          <w:szCs w:val="24"/>
        </w:rPr>
        <w:t>were maintained at WRC-2000 during the last Regions 1 and 3 planning conference, as during a planning conference, many new BSS assignments could be adopted at once which could significantly limit the future access of FSS to the shared portion of the orbital arc,</w:t>
      </w:r>
    </w:p>
    <w:p w:rsidR="00BD640C" w:rsidRPr="00764892" w:rsidRDefault="00BD640C" w:rsidP="00BD640C">
      <w:pPr>
        <w:pStyle w:val="Call"/>
        <w:jc w:val="both"/>
        <w:rPr>
          <w:szCs w:val="24"/>
        </w:rPr>
      </w:pPr>
      <w:r w:rsidRPr="00764892">
        <w:rPr>
          <w:szCs w:val="24"/>
        </w:rPr>
        <w:t>resolves to invite ITU-R</w:t>
      </w:r>
    </w:p>
    <w:p w:rsidR="00BD640C" w:rsidRPr="00764892" w:rsidRDefault="00BD640C" w:rsidP="00D82CAD">
      <w:r w:rsidRPr="00764892">
        <w:t xml:space="preserve">to </w:t>
      </w:r>
      <w:r w:rsidRPr="00764892">
        <w:rPr>
          <w:lang w:eastAsia="ja-JP"/>
        </w:rPr>
        <w:t>r</w:t>
      </w:r>
      <w:r w:rsidRPr="00764892">
        <w:rPr>
          <w:rFonts w:eastAsia="Batang"/>
        </w:rPr>
        <w:t xml:space="preserve">eview the need for the orbital position limitations on modifications to the BSS Plans and List contained Annex 7 to Appendix </w:t>
      </w:r>
      <w:r w:rsidRPr="00764892">
        <w:rPr>
          <w:rFonts w:eastAsia="Batang"/>
          <w:b/>
          <w:bCs/>
        </w:rPr>
        <w:t>30</w:t>
      </w:r>
      <w:r w:rsidRPr="00764892">
        <w:rPr>
          <w:rFonts w:eastAsia="Batang"/>
          <w:bCs/>
        </w:rPr>
        <w:t>, including conducting the necessary studies</w:t>
      </w:r>
      <w:r w:rsidRPr="00764892">
        <w:t>,</w:t>
      </w:r>
    </w:p>
    <w:p w:rsidR="00BD640C" w:rsidRPr="00764892" w:rsidRDefault="00BD640C" w:rsidP="00BD640C">
      <w:pPr>
        <w:pStyle w:val="Call"/>
        <w:jc w:val="both"/>
        <w:rPr>
          <w:szCs w:val="24"/>
        </w:rPr>
      </w:pPr>
      <w:r w:rsidRPr="00764892">
        <w:rPr>
          <w:szCs w:val="24"/>
        </w:rPr>
        <w:t>resolves to invite WRC-19</w:t>
      </w:r>
    </w:p>
    <w:p w:rsidR="00BD640C" w:rsidRPr="00764892" w:rsidRDefault="00BD640C" w:rsidP="00D82CAD">
      <w:r w:rsidRPr="00764892">
        <w:t xml:space="preserve">to consider appropriate modifications to Annex 7 to Appendix </w:t>
      </w:r>
      <w:r w:rsidRPr="00764892">
        <w:rPr>
          <w:b/>
        </w:rPr>
        <w:t>30</w:t>
      </w:r>
      <w:r w:rsidRPr="00764892">
        <w:t xml:space="preserve"> based on proposals from administrations, and paying particular attention to the systems referred to in </w:t>
      </w:r>
      <w:r w:rsidRPr="00764892">
        <w:rPr>
          <w:i/>
        </w:rPr>
        <w:t>considering</w:t>
      </w:r>
      <w:r w:rsidRPr="00764892">
        <w:t xml:space="preserve"> </w:t>
      </w:r>
      <w:r w:rsidRPr="00764892">
        <w:rPr>
          <w:i/>
        </w:rPr>
        <w:t>e)</w:t>
      </w:r>
      <w:r w:rsidRPr="00764892">
        <w:t>,</w:t>
      </w:r>
    </w:p>
    <w:p w:rsidR="00BD640C" w:rsidRPr="00764892" w:rsidRDefault="00BD640C" w:rsidP="00BD640C">
      <w:pPr>
        <w:pStyle w:val="Call"/>
        <w:jc w:val="both"/>
        <w:rPr>
          <w:szCs w:val="24"/>
        </w:rPr>
      </w:pPr>
      <w:r w:rsidRPr="00764892">
        <w:rPr>
          <w:szCs w:val="24"/>
        </w:rPr>
        <w:t>invites administrations</w:t>
      </w:r>
    </w:p>
    <w:p w:rsidR="00BD640C" w:rsidRPr="00764892" w:rsidRDefault="00BD640C" w:rsidP="00D82CAD">
      <w:r w:rsidRPr="00764892">
        <w:t>to participate actively in the review and studies by submitting contributions to ITU-R.</w:t>
      </w:r>
    </w:p>
    <w:p w:rsidR="00BD640C" w:rsidRDefault="00BD640C" w:rsidP="00BD640C">
      <w:pPr>
        <w:pStyle w:val="Reasons"/>
        <w:rPr>
          <w:szCs w:val="24"/>
          <w:lang w:val="en-US"/>
        </w:rPr>
      </w:pPr>
      <w:r>
        <w:rPr>
          <w:b/>
        </w:rPr>
        <w:t>Reasons:</w:t>
      </w:r>
      <w:r>
        <w:tab/>
      </w:r>
      <w:r w:rsidRPr="00764892">
        <w:rPr>
          <w:szCs w:val="24"/>
          <w:lang w:val="en-US"/>
        </w:rPr>
        <w:t xml:space="preserve">To review the </w:t>
      </w:r>
      <w:r w:rsidRPr="00BD640C">
        <w:rPr>
          <w:szCs w:val="24"/>
          <w:lang w:val="en-US"/>
        </w:rPr>
        <w:t>need for the orbital position limitations on modifications to the BSS Plans and List contained Annex 7 to Appendix 30 with a view to modify Annex 7 to Appendix 30.</w:t>
      </w:r>
    </w:p>
    <w:p w:rsidR="00211DAD" w:rsidRDefault="00211DAD">
      <w:pPr>
        <w:tabs>
          <w:tab w:val="clear" w:pos="1134"/>
          <w:tab w:val="clear" w:pos="1871"/>
          <w:tab w:val="clear" w:pos="2268"/>
        </w:tabs>
        <w:overflowPunct/>
        <w:autoSpaceDE/>
        <w:autoSpaceDN/>
        <w:adjustRightInd/>
        <w:spacing w:before="0"/>
        <w:textAlignment w:val="auto"/>
        <w:rPr>
          <w:lang w:val="en-US"/>
        </w:rPr>
      </w:pPr>
    </w:p>
    <w:p w:rsidR="00211DAD" w:rsidRDefault="00211DAD">
      <w:pPr>
        <w:tabs>
          <w:tab w:val="clear" w:pos="1134"/>
          <w:tab w:val="clear" w:pos="1871"/>
          <w:tab w:val="clear" w:pos="2268"/>
        </w:tabs>
        <w:overflowPunct/>
        <w:autoSpaceDE/>
        <w:autoSpaceDN/>
        <w:adjustRightInd/>
        <w:spacing w:before="0"/>
        <w:textAlignment w:val="auto"/>
        <w:rPr>
          <w:lang w:val="en-US"/>
        </w:rPr>
      </w:pPr>
    </w:p>
    <w:p w:rsidR="00211DAD" w:rsidRDefault="00211DAD">
      <w:pPr>
        <w:tabs>
          <w:tab w:val="clear" w:pos="1134"/>
          <w:tab w:val="clear" w:pos="1871"/>
          <w:tab w:val="clear" w:pos="2268"/>
        </w:tabs>
        <w:overflowPunct/>
        <w:autoSpaceDE/>
        <w:autoSpaceDN/>
        <w:adjustRightInd/>
        <w:spacing w:before="0"/>
        <w:textAlignment w:val="auto"/>
        <w:rPr>
          <w:lang w:val="en-US"/>
        </w:rPr>
      </w:pPr>
    </w:p>
    <w:p w:rsidR="00211DAD" w:rsidRDefault="00211DAD">
      <w:pPr>
        <w:tabs>
          <w:tab w:val="clear" w:pos="1134"/>
          <w:tab w:val="clear" w:pos="1871"/>
          <w:tab w:val="clear" w:pos="2268"/>
        </w:tabs>
        <w:overflowPunct/>
        <w:autoSpaceDE/>
        <w:autoSpaceDN/>
        <w:adjustRightInd/>
        <w:spacing w:before="0"/>
        <w:textAlignment w:val="auto"/>
        <w:rPr>
          <w:lang w:val="en-US"/>
        </w:rPr>
      </w:pPr>
    </w:p>
    <w:p w:rsidR="00211DAD" w:rsidRDefault="00211DAD">
      <w:pPr>
        <w:tabs>
          <w:tab w:val="clear" w:pos="1134"/>
          <w:tab w:val="clear" w:pos="1871"/>
          <w:tab w:val="clear" w:pos="2268"/>
        </w:tabs>
        <w:overflowPunct/>
        <w:autoSpaceDE/>
        <w:autoSpaceDN/>
        <w:adjustRightInd/>
        <w:spacing w:before="0"/>
        <w:textAlignment w:val="auto"/>
        <w:rPr>
          <w:lang w:val="en-US"/>
        </w:rPr>
      </w:pPr>
    </w:p>
    <w:p w:rsidR="00211DAD" w:rsidRDefault="00211DAD">
      <w:pPr>
        <w:tabs>
          <w:tab w:val="clear" w:pos="1134"/>
          <w:tab w:val="clear" w:pos="1871"/>
          <w:tab w:val="clear" w:pos="2268"/>
        </w:tabs>
        <w:overflowPunct/>
        <w:autoSpaceDE/>
        <w:autoSpaceDN/>
        <w:adjustRightInd/>
        <w:spacing w:before="0"/>
        <w:textAlignment w:val="auto"/>
        <w:rPr>
          <w:lang w:val="en-US"/>
        </w:rPr>
      </w:pPr>
    </w:p>
    <w:p w:rsidR="00211DAD" w:rsidRDefault="00211DAD">
      <w:pPr>
        <w:tabs>
          <w:tab w:val="clear" w:pos="1134"/>
          <w:tab w:val="clear" w:pos="1871"/>
          <w:tab w:val="clear" w:pos="2268"/>
        </w:tabs>
        <w:overflowPunct/>
        <w:autoSpaceDE/>
        <w:autoSpaceDN/>
        <w:adjustRightInd/>
        <w:spacing w:before="0"/>
        <w:textAlignment w:val="auto"/>
        <w:rPr>
          <w:lang w:val="en-US"/>
        </w:rPr>
      </w:pPr>
    </w:p>
    <w:p w:rsidR="00211DAD" w:rsidRDefault="00211DAD">
      <w:pPr>
        <w:tabs>
          <w:tab w:val="clear" w:pos="1134"/>
          <w:tab w:val="clear" w:pos="1871"/>
          <w:tab w:val="clear" w:pos="2268"/>
        </w:tabs>
        <w:overflowPunct/>
        <w:autoSpaceDE/>
        <w:autoSpaceDN/>
        <w:adjustRightInd/>
        <w:spacing w:before="0"/>
        <w:textAlignment w:val="auto"/>
        <w:rPr>
          <w:lang w:val="en-US"/>
        </w:rPr>
      </w:pPr>
    </w:p>
    <w:p w:rsidR="00211DAD" w:rsidRDefault="00211DAD">
      <w:pPr>
        <w:tabs>
          <w:tab w:val="clear" w:pos="1134"/>
          <w:tab w:val="clear" w:pos="1871"/>
          <w:tab w:val="clear" w:pos="2268"/>
        </w:tabs>
        <w:overflowPunct/>
        <w:autoSpaceDE/>
        <w:autoSpaceDN/>
        <w:adjustRightInd/>
        <w:spacing w:before="0"/>
        <w:textAlignment w:val="auto"/>
        <w:rPr>
          <w:lang w:val="en-US"/>
        </w:rPr>
      </w:pPr>
    </w:p>
    <w:p w:rsidR="00211DAD" w:rsidRDefault="00211DAD">
      <w:pPr>
        <w:tabs>
          <w:tab w:val="clear" w:pos="1134"/>
          <w:tab w:val="clear" w:pos="1871"/>
          <w:tab w:val="clear" w:pos="2268"/>
        </w:tabs>
        <w:overflowPunct/>
        <w:autoSpaceDE/>
        <w:autoSpaceDN/>
        <w:adjustRightInd/>
        <w:spacing w:before="0"/>
        <w:textAlignment w:val="auto"/>
        <w:rPr>
          <w:lang w:val="en-US"/>
        </w:rPr>
      </w:pPr>
    </w:p>
    <w:p w:rsidR="00BD640C" w:rsidRPr="00211DAD" w:rsidRDefault="00211DAD">
      <w:pPr>
        <w:tabs>
          <w:tab w:val="clear" w:pos="1134"/>
          <w:tab w:val="clear" w:pos="1871"/>
          <w:tab w:val="clear" w:pos="2268"/>
        </w:tabs>
        <w:overflowPunct/>
        <w:autoSpaceDE/>
        <w:autoSpaceDN/>
        <w:adjustRightInd/>
        <w:spacing w:before="0"/>
        <w:textAlignment w:val="auto"/>
        <w:rPr>
          <w:b/>
          <w:bCs/>
          <w:lang w:val="en-US"/>
        </w:rPr>
      </w:pPr>
      <w:r w:rsidRPr="00211DAD">
        <w:rPr>
          <w:b/>
          <w:bCs/>
          <w:lang w:val="en-US"/>
        </w:rPr>
        <w:t>Attachment: 1</w:t>
      </w:r>
      <w:r w:rsidR="00BD640C" w:rsidRPr="00211DAD">
        <w:rPr>
          <w:b/>
          <w:bCs/>
          <w:lang w:val="en-US"/>
        </w:rPr>
        <w:br w:type="page"/>
      </w:r>
    </w:p>
    <w:p w:rsidR="00BD640C" w:rsidRPr="00BC1C85" w:rsidRDefault="00BD640C" w:rsidP="00BD640C">
      <w:pPr>
        <w:pStyle w:val="AnnexNo"/>
        <w:rPr>
          <w:b/>
          <w:bCs/>
          <w:sz w:val="24"/>
          <w:szCs w:val="24"/>
        </w:rPr>
      </w:pPr>
      <w:r w:rsidRPr="00BC1C85">
        <w:rPr>
          <w:b/>
          <w:bCs/>
          <w:sz w:val="24"/>
          <w:szCs w:val="24"/>
        </w:rPr>
        <w:lastRenderedPageBreak/>
        <w:t>Attachment</w:t>
      </w:r>
    </w:p>
    <w:p w:rsidR="00BD640C" w:rsidRPr="00764892" w:rsidRDefault="00BC1C85" w:rsidP="00BD640C">
      <w:pPr>
        <w:pStyle w:val="Restitle"/>
        <w:rPr>
          <w:sz w:val="24"/>
          <w:szCs w:val="24"/>
        </w:rPr>
      </w:pPr>
      <w:r w:rsidRPr="00764892">
        <w:rPr>
          <w:sz w:val="24"/>
          <w:szCs w:val="24"/>
        </w:rPr>
        <w:t xml:space="preserve">PROPOSAL FOR AN AGENDA ITEM </w:t>
      </w:r>
      <w:r w:rsidRPr="00764892">
        <w:rPr>
          <w:rFonts w:eastAsia="Batang"/>
          <w:sz w:val="24"/>
          <w:szCs w:val="24"/>
        </w:rPr>
        <w:t xml:space="preserve">TO REVIEW THE ORBITAL POSITION LIMITATIONS ON MODIFICATIONS TO THE BSS PLANS AND LIST CONTAINED ANNEX 7 TO APPENDIX </w:t>
      </w:r>
      <w:r w:rsidRPr="00764892">
        <w:rPr>
          <w:rFonts w:eastAsia="Batang"/>
          <w:bCs/>
          <w:sz w:val="24"/>
          <w:szCs w:val="24"/>
        </w:rPr>
        <w:t>30</w:t>
      </w:r>
      <w:r w:rsidRPr="00764892">
        <w:rPr>
          <w:sz w:val="24"/>
          <w:szCs w:val="24"/>
          <w:lang w:val="en-US"/>
        </w:rPr>
        <w:t xml:space="preserve">, </w:t>
      </w:r>
      <w:r w:rsidRPr="00764892">
        <w:rPr>
          <w:sz w:val="24"/>
          <w:szCs w:val="24"/>
        </w:rPr>
        <w:t>AND CONSIDER POSSIBLE MODIFICATIONS TO ANNEX 7 TO APPENDIX 30</w:t>
      </w:r>
    </w:p>
    <w:p w:rsidR="00BD640C" w:rsidRPr="00764892" w:rsidRDefault="00BD640C" w:rsidP="00BD640C">
      <w:pPr>
        <w:pStyle w:val="Annextitle"/>
        <w:rPr>
          <w:sz w:val="24"/>
          <w:szCs w:val="24"/>
        </w:rPr>
      </w:pPr>
      <w:r w:rsidRPr="00764892">
        <w:rPr>
          <w:sz w:val="24"/>
          <w:szCs w:val="24"/>
        </w:rPr>
        <w:t xml:space="preserve"> </w:t>
      </w:r>
    </w:p>
    <w:p w:rsidR="00BD640C" w:rsidRPr="00764892" w:rsidRDefault="00BD640C" w:rsidP="00BD640C">
      <w:pPr>
        <w:jc w:val="both"/>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26"/>
      </w:tblGrid>
      <w:tr w:rsidR="00BD640C" w:rsidRPr="00764892" w:rsidTr="005E1BA4">
        <w:tc>
          <w:tcPr>
            <w:tcW w:w="9855" w:type="dxa"/>
            <w:gridSpan w:val="2"/>
            <w:tcBorders>
              <w:top w:val="single" w:sz="4" w:space="0" w:color="auto"/>
              <w:left w:val="nil"/>
              <w:bottom w:val="single" w:sz="4" w:space="0" w:color="auto"/>
              <w:right w:val="nil"/>
            </w:tcBorders>
            <w:shd w:val="clear" w:color="auto" w:fill="auto"/>
          </w:tcPr>
          <w:p w:rsidR="00BD640C" w:rsidRPr="00764892" w:rsidRDefault="00BD640C" w:rsidP="005E1BA4">
            <w:pPr>
              <w:tabs>
                <w:tab w:val="clear" w:pos="1134"/>
                <w:tab w:val="left" w:pos="1397"/>
              </w:tabs>
              <w:rPr>
                <w:b/>
                <w:bCs/>
                <w:szCs w:val="24"/>
              </w:rPr>
            </w:pPr>
            <w:r w:rsidRPr="00843BBD">
              <w:rPr>
                <w:b/>
                <w:i/>
                <w:color w:val="000000"/>
                <w:szCs w:val="24"/>
              </w:rPr>
              <w:t>Subject:</w:t>
            </w:r>
            <w:r w:rsidRPr="00843BBD">
              <w:rPr>
                <w:b/>
                <w:i/>
                <w:color w:val="000000"/>
                <w:szCs w:val="24"/>
              </w:rPr>
              <w:tab/>
            </w:r>
            <w:r w:rsidRPr="00764892">
              <w:rPr>
                <w:color w:val="000000"/>
                <w:szCs w:val="24"/>
                <w:lang w:val="en-US"/>
              </w:rPr>
              <w:t xml:space="preserve">Proposed agenda item for WRC-19 to review the need for the orbital position limitations on modifications to the BSS Plans and List contained Annex 7 to Appendix </w:t>
            </w:r>
            <w:r w:rsidRPr="00764892">
              <w:rPr>
                <w:b/>
                <w:color w:val="000000"/>
                <w:szCs w:val="24"/>
                <w:lang w:val="en-US"/>
              </w:rPr>
              <w:t>30</w:t>
            </w:r>
            <w:r w:rsidRPr="00764892">
              <w:rPr>
                <w:color w:val="000000"/>
                <w:szCs w:val="24"/>
                <w:lang w:val="en-US"/>
              </w:rPr>
              <w:t xml:space="preserve">, and consider possible modifications to Annex 7 to Appendix </w:t>
            </w:r>
            <w:r w:rsidRPr="00764892">
              <w:rPr>
                <w:b/>
                <w:color w:val="000000"/>
                <w:szCs w:val="24"/>
                <w:lang w:val="en-US"/>
              </w:rPr>
              <w:t>30</w:t>
            </w:r>
            <w:r w:rsidRPr="00764892">
              <w:rPr>
                <w:color w:val="000000"/>
                <w:szCs w:val="24"/>
                <w:lang w:val="en-US"/>
              </w:rPr>
              <w:t>.</w:t>
            </w:r>
          </w:p>
          <w:p w:rsidR="00BD640C" w:rsidRPr="00764892" w:rsidRDefault="00BD640C" w:rsidP="005E1BA4">
            <w:pPr>
              <w:rPr>
                <w:b/>
                <w:i/>
                <w:color w:val="000000"/>
                <w:szCs w:val="24"/>
              </w:rPr>
            </w:pPr>
          </w:p>
        </w:tc>
      </w:tr>
      <w:tr w:rsidR="00BD640C" w:rsidRPr="00764892" w:rsidTr="005E1BA4">
        <w:tc>
          <w:tcPr>
            <w:tcW w:w="9855" w:type="dxa"/>
            <w:gridSpan w:val="2"/>
            <w:tcBorders>
              <w:top w:val="single" w:sz="4" w:space="0" w:color="auto"/>
              <w:left w:val="nil"/>
              <w:bottom w:val="single" w:sz="4" w:space="0" w:color="auto"/>
              <w:right w:val="nil"/>
            </w:tcBorders>
            <w:shd w:val="clear" w:color="auto" w:fill="auto"/>
          </w:tcPr>
          <w:p w:rsidR="00BD640C" w:rsidRDefault="00BD640C" w:rsidP="005E1BA4">
            <w:pPr>
              <w:jc w:val="both"/>
            </w:pPr>
            <w:r w:rsidRPr="00843BBD">
              <w:rPr>
                <w:b/>
                <w:i/>
                <w:color w:val="000000"/>
                <w:szCs w:val="24"/>
              </w:rPr>
              <w:t>Origin:</w:t>
            </w:r>
            <w:r w:rsidRPr="00843BBD">
              <w:rPr>
                <w:b/>
                <w:i/>
                <w:color w:val="000000"/>
                <w:szCs w:val="24"/>
              </w:rPr>
              <w:tab/>
            </w:r>
            <w:r>
              <w:t>Member States of the Inter-American Telecommunication Commission (CITEL)</w:t>
            </w:r>
          </w:p>
          <w:p w:rsidR="00BD640C" w:rsidRPr="00764892" w:rsidRDefault="00BD640C" w:rsidP="005E1BA4">
            <w:pPr>
              <w:rPr>
                <w:b/>
                <w:i/>
                <w:color w:val="000000"/>
                <w:szCs w:val="24"/>
              </w:rPr>
            </w:pPr>
          </w:p>
        </w:tc>
      </w:tr>
      <w:tr w:rsidR="00BD640C" w:rsidRPr="00764892" w:rsidTr="005E1BA4">
        <w:tc>
          <w:tcPr>
            <w:tcW w:w="9855" w:type="dxa"/>
            <w:gridSpan w:val="2"/>
            <w:tcBorders>
              <w:top w:val="single" w:sz="4" w:space="0" w:color="auto"/>
              <w:left w:val="nil"/>
              <w:bottom w:val="single" w:sz="4" w:space="0" w:color="auto"/>
              <w:right w:val="nil"/>
            </w:tcBorders>
            <w:shd w:val="clear" w:color="auto" w:fill="auto"/>
          </w:tcPr>
          <w:p w:rsidR="00BD640C" w:rsidRDefault="00BD640C" w:rsidP="005E1BA4">
            <w:pPr>
              <w:rPr>
                <w:b/>
                <w:szCs w:val="24"/>
                <w:lang w:val="en-US"/>
              </w:rPr>
            </w:pPr>
            <w:r w:rsidRPr="00764892">
              <w:rPr>
                <w:b/>
                <w:i/>
                <w:color w:val="000000"/>
                <w:szCs w:val="24"/>
              </w:rPr>
              <w:t xml:space="preserve">Proposal: </w:t>
            </w:r>
            <w:r w:rsidRPr="00764892">
              <w:rPr>
                <w:szCs w:val="24"/>
                <w:lang w:eastAsia="ja-JP"/>
              </w:rPr>
              <w:t xml:space="preserve">to </w:t>
            </w:r>
            <w:r w:rsidRPr="00764892">
              <w:rPr>
                <w:rFonts w:eastAsia="Batang"/>
                <w:szCs w:val="24"/>
              </w:rPr>
              <w:t xml:space="preserve">review the need for the orbital position limitations on modifications to the BSS Plans and List contained Annex 7 to Appendix </w:t>
            </w:r>
            <w:r w:rsidRPr="00764892">
              <w:rPr>
                <w:rFonts w:eastAsia="Batang"/>
                <w:b/>
                <w:bCs/>
                <w:szCs w:val="24"/>
              </w:rPr>
              <w:t>30</w:t>
            </w:r>
            <w:r w:rsidRPr="00764892">
              <w:rPr>
                <w:szCs w:val="24"/>
                <w:lang w:val="en-US"/>
              </w:rPr>
              <w:t xml:space="preserve">, conduct the necessary studies, </w:t>
            </w:r>
            <w:r w:rsidRPr="00764892">
              <w:rPr>
                <w:szCs w:val="24"/>
              </w:rPr>
              <w:t xml:space="preserve">and consider possible modifications to Annex 7 to Appendix </w:t>
            </w:r>
            <w:r w:rsidRPr="00764892">
              <w:rPr>
                <w:b/>
                <w:szCs w:val="24"/>
              </w:rPr>
              <w:t>30</w:t>
            </w:r>
            <w:r w:rsidRPr="00764892">
              <w:rPr>
                <w:szCs w:val="24"/>
              </w:rPr>
              <w:t xml:space="preserve"> </w:t>
            </w:r>
            <w:r w:rsidRPr="00764892">
              <w:rPr>
                <w:szCs w:val="24"/>
                <w:lang w:val="en-US"/>
              </w:rPr>
              <w:t>in accordance with</w:t>
            </w:r>
            <w:r w:rsidRPr="00764892">
              <w:rPr>
                <w:b/>
                <w:szCs w:val="24"/>
                <w:lang w:val="en-US"/>
              </w:rPr>
              <w:t xml:space="preserve"> </w:t>
            </w:r>
            <w:r w:rsidRPr="00764892">
              <w:rPr>
                <w:szCs w:val="24"/>
                <w:lang w:val="en-US"/>
              </w:rPr>
              <w:t>Resolution</w:t>
            </w:r>
            <w:r w:rsidRPr="00764892">
              <w:rPr>
                <w:b/>
                <w:szCs w:val="24"/>
                <w:lang w:val="en-US"/>
              </w:rPr>
              <w:t xml:space="preserve"> [</w:t>
            </w:r>
            <w:r w:rsidRPr="00BD640C">
              <w:rPr>
                <w:szCs w:val="24"/>
                <w:lang w:val="en-US"/>
              </w:rPr>
              <w:t>IAP-10</w:t>
            </w:r>
            <w:r w:rsidR="003A68D8">
              <w:rPr>
                <w:szCs w:val="24"/>
                <w:lang w:val="en-US"/>
              </w:rPr>
              <w:t>D</w:t>
            </w:r>
            <w:r w:rsidRPr="00BD640C">
              <w:rPr>
                <w:szCs w:val="24"/>
                <w:lang w:val="en-US"/>
              </w:rPr>
              <w:t>-APPENDIX30</w:t>
            </w:r>
            <w:r w:rsidRPr="00764892">
              <w:rPr>
                <w:b/>
                <w:szCs w:val="24"/>
                <w:lang w:val="en-US"/>
              </w:rPr>
              <w:t>] (WRC</w:t>
            </w:r>
            <w:r w:rsidRPr="00764892">
              <w:rPr>
                <w:b/>
                <w:szCs w:val="24"/>
                <w:lang w:val="en-US"/>
              </w:rPr>
              <w:noBreakHyphen/>
              <w:t>15)</w:t>
            </w:r>
          </w:p>
          <w:p w:rsidR="00BD640C" w:rsidRPr="00764892" w:rsidRDefault="00BD640C" w:rsidP="005E1BA4">
            <w:pPr>
              <w:rPr>
                <w:i/>
                <w:color w:val="000000"/>
                <w:szCs w:val="24"/>
              </w:rPr>
            </w:pPr>
          </w:p>
        </w:tc>
      </w:tr>
      <w:tr w:rsidR="00BD640C" w:rsidRPr="00764892" w:rsidTr="005E1BA4">
        <w:tc>
          <w:tcPr>
            <w:tcW w:w="9855" w:type="dxa"/>
            <w:gridSpan w:val="2"/>
            <w:tcBorders>
              <w:top w:val="single" w:sz="4" w:space="0" w:color="auto"/>
              <w:left w:val="nil"/>
              <w:bottom w:val="single" w:sz="4" w:space="0" w:color="auto"/>
              <w:right w:val="nil"/>
            </w:tcBorders>
            <w:shd w:val="clear" w:color="auto" w:fill="auto"/>
          </w:tcPr>
          <w:p w:rsidR="00BD640C" w:rsidRDefault="00BD640C" w:rsidP="005E1BA4">
            <w:pPr>
              <w:tabs>
                <w:tab w:val="left" w:pos="794"/>
                <w:tab w:val="left" w:pos="1191"/>
                <w:tab w:val="left" w:pos="1588"/>
                <w:tab w:val="left" w:pos="1985"/>
              </w:tabs>
              <w:rPr>
                <w:szCs w:val="24"/>
              </w:rPr>
            </w:pPr>
            <w:r w:rsidRPr="00764892">
              <w:rPr>
                <w:b/>
                <w:i/>
                <w:color w:val="000000"/>
                <w:szCs w:val="24"/>
              </w:rPr>
              <w:t xml:space="preserve">Background/reason: </w:t>
            </w:r>
            <w:r w:rsidRPr="00764892">
              <w:rPr>
                <w:szCs w:val="24"/>
              </w:rPr>
              <w:t xml:space="preserve">Based on studies to date regarding the orbital separations allowed between BSS and FSS from the coordination triggers in Annexes 1 and 4 of Appendix </w:t>
            </w:r>
            <w:r w:rsidRPr="00764892">
              <w:rPr>
                <w:b/>
                <w:szCs w:val="24"/>
              </w:rPr>
              <w:t>30</w:t>
            </w:r>
            <w:r w:rsidRPr="00764892">
              <w:rPr>
                <w:szCs w:val="24"/>
              </w:rPr>
              <w:t xml:space="preserve">, representative BSS and FSS systems serving different regions could successfully </w:t>
            </w:r>
            <w:r w:rsidR="00BE203A" w:rsidRPr="00764892">
              <w:rPr>
                <w:szCs w:val="24"/>
              </w:rPr>
              <w:t>exist</w:t>
            </w:r>
            <w:r w:rsidRPr="00764892">
              <w:rPr>
                <w:szCs w:val="24"/>
              </w:rPr>
              <w:t xml:space="preserve"> with orbital separations as small as 0.5 and 2 degrees, depending on the carrier parameters and geographic discrimination assumed.  These small orbital separations suggest that additional measures, such as the orbital position limitations in Annex 7,  could no longer be needed outside of a planning conference.</w:t>
            </w:r>
          </w:p>
          <w:p w:rsidR="00BD640C" w:rsidRPr="00764892" w:rsidRDefault="00BD640C" w:rsidP="005E1BA4">
            <w:pPr>
              <w:tabs>
                <w:tab w:val="left" w:pos="794"/>
                <w:tab w:val="left" w:pos="1191"/>
                <w:tab w:val="left" w:pos="1588"/>
                <w:tab w:val="left" w:pos="1985"/>
              </w:tabs>
              <w:rPr>
                <w:b/>
                <w:i/>
                <w:color w:val="000000"/>
                <w:szCs w:val="24"/>
              </w:rPr>
            </w:pPr>
          </w:p>
        </w:tc>
      </w:tr>
      <w:tr w:rsidR="00BD640C" w:rsidRPr="00764892" w:rsidTr="005E1BA4">
        <w:tc>
          <w:tcPr>
            <w:tcW w:w="9855" w:type="dxa"/>
            <w:gridSpan w:val="2"/>
            <w:tcBorders>
              <w:top w:val="single" w:sz="4" w:space="0" w:color="auto"/>
              <w:left w:val="nil"/>
              <w:bottom w:val="single" w:sz="4" w:space="0" w:color="auto"/>
              <w:right w:val="nil"/>
            </w:tcBorders>
            <w:shd w:val="clear" w:color="auto" w:fill="auto"/>
          </w:tcPr>
          <w:p w:rsidR="00BD640C" w:rsidRPr="00764892" w:rsidRDefault="00BD640C" w:rsidP="005E1BA4">
            <w:pPr>
              <w:tabs>
                <w:tab w:val="left" w:pos="794"/>
                <w:tab w:val="left" w:pos="1191"/>
                <w:tab w:val="left" w:pos="1588"/>
                <w:tab w:val="left" w:pos="1985"/>
              </w:tabs>
              <w:rPr>
                <w:b/>
                <w:i/>
                <w:szCs w:val="24"/>
              </w:rPr>
            </w:pPr>
            <w:r w:rsidRPr="00764892">
              <w:rPr>
                <w:b/>
                <w:i/>
                <w:szCs w:val="24"/>
              </w:rPr>
              <w:t xml:space="preserve">Radiocommunication services concerned: </w:t>
            </w:r>
            <w:r w:rsidRPr="00764892">
              <w:rPr>
                <w:color w:val="000000"/>
                <w:szCs w:val="24"/>
              </w:rPr>
              <w:t>fixed-satellite service, broadcasting-satellite service</w:t>
            </w:r>
          </w:p>
        </w:tc>
      </w:tr>
      <w:tr w:rsidR="00BD640C" w:rsidRPr="00764892" w:rsidTr="005E1BA4">
        <w:tc>
          <w:tcPr>
            <w:tcW w:w="9855" w:type="dxa"/>
            <w:gridSpan w:val="2"/>
            <w:tcBorders>
              <w:top w:val="single" w:sz="4" w:space="0" w:color="auto"/>
              <w:left w:val="nil"/>
              <w:bottom w:val="single" w:sz="4" w:space="0" w:color="auto"/>
              <w:right w:val="nil"/>
            </w:tcBorders>
            <w:shd w:val="clear" w:color="auto" w:fill="auto"/>
          </w:tcPr>
          <w:p w:rsidR="00BD640C" w:rsidRPr="00764892" w:rsidRDefault="00BD640C" w:rsidP="005E1BA4">
            <w:pPr>
              <w:tabs>
                <w:tab w:val="left" w:pos="794"/>
                <w:tab w:val="left" w:pos="1191"/>
                <w:tab w:val="left" w:pos="1588"/>
                <w:tab w:val="left" w:pos="1985"/>
              </w:tabs>
              <w:rPr>
                <w:b/>
                <w:i/>
                <w:szCs w:val="24"/>
              </w:rPr>
            </w:pPr>
            <w:r w:rsidRPr="00764892">
              <w:rPr>
                <w:b/>
                <w:i/>
                <w:szCs w:val="24"/>
              </w:rPr>
              <w:t xml:space="preserve">Indication of possible difficulties: </w:t>
            </w:r>
            <w:r w:rsidRPr="00764892">
              <w:rPr>
                <w:color w:val="000000"/>
                <w:szCs w:val="24"/>
              </w:rPr>
              <w:t>None foreseen</w:t>
            </w:r>
          </w:p>
        </w:tc>
      </w:tr>
      <w:tr w:rsidR="00BD640C" w:rsidRPr="00764892" w:rsidTr="005E1BA4">
        <w:tc>
          <w:tcPr>
            <w:tcW w:w="9855" w:type="dxa"/>
            <w:gridSpan w:val="2"/>
            <w:tcBorders>
              <w:top w:val="single" w:sz="4" w:space="0" w:color="auto"/>
              <w:left w:val="nil"/>
              <w:bottom w:val="single" w:sz="4" w:space="0" w:color="auto"/>
              <w:right w:val="nil"/>
            </w:tcBorders>
            <w:shd w:val="clear" w:color="auto" w:fill="auto"/>
          </w:tcPr>
          <w:p w:rsidR="00BD640C" w:rsidRPr="00764892" w:rsidRDefault="00BD640C" w:rsidP="005E1BA4">
            <w:pPr>
              <w:tabs>
                <w:tab w:val="left" w:pos="794"/>
                <w:tab w:val="left" w:pos="1191"/>
                <w:tab w:val="left" w:pos="1588"/>
                <w:tab w:val="left" w:pos="1985"/>
              </w:tabs>
              <w:rPr>
                <w:b/>
                <w:i/>
                <w:szCs w:val="24"/>
              </w:rPr>
            </w:pPr>
            <w:r w:rsidRPr="00764892">
              <w:rPr>
                <w:b/>
                <w:i/>
                <w:szCs w:val="24"/>
              </w:rPr>
              <w:t xml:space="preserve">Previous/ongoing studies on the issue: </w:t>
            </w:r>
            <w:r w:rsidRPr="00764892">
              <w:rPr>
                <w:color w:val="000000"/>
                <w:szCs w:val="24"/>
              </w:rPr>
              <w:t>TBD</w:t>
            </w:r>
          </w:p>
        </w:tc>
      </w:tr>
      <w:tr w:rsidR="00BD640C" w:rsidRPr="00764892" w:rsidTr="005E1BA4">
        <w:tc>
          <w:tcPr>
            <w:tcW w:w="4927" w:type="dxa"/>
            <w:tcBorders>
              <w:top w:val="single" w:sz="4" w:space="0" w:color="auto"/>
              <w:left w:val="nil"/>
              <w:bottom w:val="single" w:sz="4" w:space="0" w:color="auto"/>
              <w:right w:val="single" w:sz="4" w:space="0" w:color="auto"/>
            </w:tcBorders>
            <w:shd w:val="clear" w:color="auto" w:fill="auto"/>
          </w:tcPr>
          <w:p w:rsidR="00BD640C" w:rsidRPr="00764892" w:rsidRDefault="00BD640C" w:rsidP="005E1BA4">
            <w:pPr>
              <w:tabs>
                <w:tab w:val="left" w:pos="794"/>
                <w:tab w:val="left" w:pos="1191"/>
                <w:tab w:val="left" w:pos="1588"/>
                <w:tab w:val="left" w:pos="1985"/>
              </w:tabs>
              <w:rPr>
                <w:b/>
                <w:i/>
                <w:color w:val="000000"/>
                <w:szCs w:val="24"/>
              </w:rPr>
            </w:pPr>
            <w:r w:rsidRPr="00764892">
              <w:rPr>
                <w:b/>
                <w:i/>
                <w:color w:val="000000"/>
                <w:szCs w:val="24"/>
              </w:rPr>
              <w:t xml:space="preserve">Studies to be carried out by: </w:t>
            </w:r>
            <w:r w:rsidRPr="00764892">
              <w:rPr>
                <w:color w:val="000000"/>
                <w:szCs w:val="24"/>
              </w:rPr>
              <w:t>WP 4A</w:t>
            </w:r>
          </w:p>
        </w:tc>
        <w:tc>
          <w:tcPr>
            <w:tcW w:w="4928" w:type="dxa"/>
            <w:tcBorders>
              <w:top w:val="single" w:sz="4" w:space="0" w:color="auto"/>
              <w:left w:val="single" w:sz="4" w:space="0" w:color="auto"/>
              <w:bottom w:val="single" w:sz="4" w:space="0" w:color="auto"/>
              <w:right w:val="nil"/>
            </w:tcBorders>
            <w:shd w:val="clear" w:color="auto" w:fill="auto"/>
          </w:tcPr>
          <w:p w:rsidR="00BD640C" w:rsidRPr="00764892" w:rsidRDefault="00BD640C" w:rsidP="005E1BA4">
            <w:pPr>
              <w:tabs>
                <w:tab w:val="left" w:pos="794"/>
                <w:tab w:val="left" w:pos="1191"/>
                <w:tab w:val="left" w:pos="1588"/>
                <w:tab w:val="left" w:pos="1985"/>
              </w:tabs>
              <w:rPr>
                <w:b/>
                <w:i/>
                <w:color w:val="000000"/>
                <w:szCs w:val="24"/>
              </w:rPr>
            </w:pPr>
            <w:r w:rsidRPr="00764892">
              <w:rPr>
                <w:b/>
                <w:i/>
                <w:color w:val="000000"/>
                <w:szCs w:val="24"/>
              </w:rPr>
              <w:t xml:space="preserve">with the participation of: </w:t>
            </w:r>
          </w:p>
        </w:tc>
      </w:tr>
      <w:tr w:rsidR="00BD640C" w:rsidRPr="00764892" w:rsidTr="005E1BA4">
        <w:tc>
          <w:tcPr>
            <w:tcW w:w="9855" w:type="dxa"/>
            <w:gridSpan w:val="2"/>
            <w:tcBorders>
              <w:top w:val="single" w:sz="4" w:space="0" w:color="auto"/>
              <w:left w:val="nil"/>
              <w:bottom w:val="single" w:sz="4" w:space="0" w:color="auto"/>
              <w:right w:val="nil"/>
            </w:tcBorders>
            <w:shd w:val="clear" w:color="auto" w:fill="auto"/>
          </w:tcPr>
          <w:p w:rsidR="00BD640C" w:rsidRPr="00764892" w:rsidRDefault="00BD640C" w:rsidP="005E1BA4">
            <w:pPr>
              <w:tabs>
                <w:tab w:val="left" w:pos="794"/>
                <w:tab w:val="left" w:pos="1191"/>
                <w:tab w:val="left" w:pos="1588"/>
                <w:tab w:val="left" w:pos="1985"/>
              </w:tabs>
              <w:rPr>
                <w:b/>
                <w:i/>
                <w:color w:val="000000"/>
                <w:szCs w:val="24"/>
              </w:rPr>
            </w:pPr>
            <w:r w:rsidRPr="00764892">
              <w:rPr>
                <w:b/>
                <w:i/>
                <w:color w:val="000000"/>
                <w:szCs w:val="24"/>
              </w:rPr>
              <w:t xml:space="preserve">ITU-R Study Groups concerned: </w:t>
            </w:r>
            <w:r w:rsidRPr="00764892">
              <w:rPr>
                <w:bCs/>
                <w:iCs/>
                <w:color w:val="000000"/>
                <w:szCs w:val="24"/>
              </w:rPr>
              <w:t>Study Group 4</w:t>
            </w:r>
          </w:p>
        </w:tc>
      </w:tr>
      <w:tr w:rsidR="00BD640C" w:rsidRPr="00764892" w:rsidTr="005E1BA4">
        <w:tc>
          <w:tcPr>
            <w:tcW w:w="9855" w:type="dxa"/>
            <w:gridSpan w:val="2"/>
            <w:tcBorders>
              <w:top w:val="single" w:sz="4" w:space="0" w:color="auto"/>
              <w:left w:val="nil"/>
              <w:bottom w:val="single" w:sz="4" w:space="0" w:color="auto"/>
              <w:right w:val="nil"/>
            </w:tcBorders>
            <w:shd w:val="clear" w:color="auto" w:fill="auto"/>
          </w:tcPr>
          <w:p w:rsidR="00BD640C" w:rsidRPr="00764892" w:rsidRDefault="00BD640C" w:rsidP="005E1BA4">
            <w:pPr>
              <w:tabs>
                <w:tab w:val="left" w:pos="794"/>
                <w:tab w:val="left" w:pos="1191"/>
                <w:tab w:val="left" w:pos="1588"/>
                <w:tab w:val="left" w:pos="1985"/>
              </w:tabs>
              <w:rPr>
                <w:b/>
                <w:i/>
                <w:szCs w:val="24"/>
              </w:rPr>
            </w:pPr>
            <w:r w:rsidRPr="00764892">
              <w:rPr>
                <w:b/>
                <w:i/>
                <w:szCs w:val="24"/>
              </w:rPr>
              <w:t xml:space="preserve">ITU resource implications, including financial implications (refer to CV126): </w:t>
            </w:r>
            <w:r w:rsidRPr="00764892">
              <w:rPr>
                <w:color w:val="000000"/>
                <w:szCs w:val="24"/>
              </w:rPr>
              <w:t>Minimal</w:t>
            </w:r>
          </w:p>
        </w:tc>
      </w:tr>
      <w:tr w:rsidR="00BD640C" w:rsidRPr="00764892" w:rsidTr="005E1BA4">
        <w:tc>
          <w:tcPr>
            <w:tcW w:w="4927" w:type="dxa"/>
            <w:tcBorders>
              <w:top w:val="single" w:sz="4" w:space="0" w:color="auto"/>
              <w:left w:val="nil"/>
              <w:bottom w:val="single" w:sz="4" w:space="0" w:color="auto"/>
              <w:right w:val="nil"/>
            </w:tcBorders>
            <w:shd w:val="clear" w:color="auto" w:fill="auto"/>
          </w:tcPr>
          <w:p w:rsidR="00BD640C" w:rsidRPr="00764892" w:rsidRDefault="00BD640C" w:rsidP="005E1BA4">
            <w:pPr>
              <w:tabs>
                <w:tab w:val="left" w:pos="794"/>
                <w:tab w:val="left" w:pos="1191"/>
                <w:tab w:val="left" w:pos="1588"/>
                <w:tab w:val="left" w:pos="1985"/>
              </w:tabs>
              <w:rPr>
                <w:b/>
                <w:iCs/>
                <w:szCs w:val="24"/>
              </w:rPr>
            </w:pPr>
            <w:r w:rsidRPr="00764892">
              <w:rPr>
                <w:b/>
                <w:i/>
                <w:szCs w:val="24"/>
              </w:rPr>
              <w:t>Common regional proposal:</w:t>
            </w:r>
            <w:r w:rsidRPr="00764892">
              <w:rPr>
                <w:b/>
                <w:iCs/>
                <w:szCs w:val="24"/>
              </w:rPr>
              <w:t xml:space="preserve"> </w:t>
            </w:r>
            <w:r w:rsidRPr="00764892">
              <w:rPr>
                <w:iCs/>
                <w:szCs w:val="24"/>
              </w:rPr>
              <w:t>Yes/</w:t>
            </w:r>
            <w:r w:rsidRPr="00764892">
              <w:rPr>
                <w:bCs/>
                <w:iCs/>
                <w:szCs w:val="24"/>
              </w:rPr>
              <w:t>No</w:t>
            </w:r>
          </w:p>
        </w:tc>
        <w:tc>
          <w:tcPr>
            <w:tcW w:w="4928" w:type="dxa"/>
            <w:tcBorders>
              <w:top w:val="single" w:sz="4" w:space="0" w:color="auto"/>
              <w:left w:val="nil"/>
              <w:bottom w:val="single" w:sz="4" w:space="0" w:color="auto"/>
              <w:right w:val="nil"/>
            </w:tcBorders>
            <w:shd w:val="clear" w:color="auto" w:fill="auto"/>
          </w:tcPr>
          <w:p w:rsidR="00BD640C" w:rsidRPr="00764892" w:rsidRDefault="00BD640C" w:rsidP="005E1BA4">
            <w:pPr>
              <w:tabs>
                <w:tab w:val="left" w:pos="794"/>
                <w:tab w:val="left" w:pos="1191"/>
                <w:tab w:val="left" w:pos="1588"/>
                <w:tab w:val="left" w:pos="1985"/>
              </w:tabs>
              <w:rPr>
                <w:b/>
                <w:iCs/>
                <w:szCs w:val="24"/>
              </w:rPr>
            </w:pPr>
            <w:r w:rsidRPr="00764892">
              <w:rPr>
                <w:b/>
                <w:i/>
                <w:szCs w:val="24"/>
              </w:rPr>
              <w:t>Multicountry proposal:</w:t>
            </w:r>
            <w:r w:rsidRPr="00764892">
              <w:rPr>
                <w:b/>
                <w:iCs/>
                <w:szCs w:val="24"/>
              </w:rPr>
              <w:t xml:space="preserve"> </w:t>
            </w:r>
            <w:r w:rsidRPr="00764892">
              <w:rPr>
                <w:iCs/>
                <w:szCs w:val="24"/>
              </w:rPr>
              <w:t>Yes/</w:t>
            </w:r>
            <w:r w:rsidRPr="00764892">
              <w:rPr>
                <w:bCs/>
                <w:iCs/>
                <w:szCs w:val="24"/>
              </w:rPr>
              <w:t>No</w:t>
            </w:r>
          </w:p>
          <w:p w:rsidR="00BD640C" w:rsidRPr="00764892" w:rsidRDefault="00BD640C" w:rsidP="005E1BA4">
            <w:pPr>
              <w:tabs>
                <w:tab w:val="left" w:pos="794"/>
                <w:tab w:val="left" w:pos="1191"/>
                <w:tab w:val="left" w:pos="1588"/>
                <w:tab w:val="left" w:pos="1985"/>
              </w:tabs>
              <w:rPr>
                <w:b/>
                <w:i/>
                <w:szCs w:val="24"/>
              </w:rPr>
            </w:pPr>
            <w:r w:rsidRPr="00764892">
              <w:rPr>
                <w:b/>
                <w:i/>
                <w:szCs w:val="24"/>
              </w:rPr>
              <w:t>Number of countries:</w:t>
            </w:r>
          </w:p>
        </w:tc>
      </w:tr>
      <w:tr w:rsidR="00BD640C" w:rsidRPr="00764892" w:rsidTr="005E1BA4">
        <w:tc>
          <w:tcPr>
            <w:tcW w:w="9855" w:type="dxa"/>
            <w:gridSpan w:val="2"/>
            <w:tcBorders>
              <w:top w:val="single" w:sz="4" w:space="0" w:color="auto"/>
              <w:left w:val="nil"/>
              <w:bottom w:val="nil"/>
              <w:right w:val="nil"/>
            </w:tcBorders>
            <w:shd w:val="clear" w:color="auto" w:fill="auto"/>
          </w:tcPr>
          <w:p w:rsidR="00BD640C" w:rsidRPr="00764892" w:rsidRDefault="00BD640C" w:rsidP="005E1BA4">
            <w:pPr>
              <w:tabs>
                <w:tab w:val="left" w:pos="794"/>
                <w:tab w:val="left" w:pos="1191"/>
                <w:tab w:val="left" w:pos="1588"/>
                <w:tab w:val="left" w:pos="1985"/>
              </w:tabs>
              <w:rPr>
                <w:b/>
                <w:i/>
                <w:szCs w:val="24"/>
              </w:rPr>
            </w:pPr>
            <w:bookmarkStart w:id="12" w:name="_GoBack"/>
            <w:bookmarkEnd w:id="12"/>
            <w:r w:rsidRPr="00764892">
              <w:rPr>
                <w:b/>
                <w:i/>
                <w:szCs w:val="24"/>
              </w:rPr>
              <w:t>Remarks</w:t>
            </w:r>
          </w:p>
        </w:tc>
      </w:tr>
    </w:tbl>
    <w:p w:rsidR="00BD640C" w:rsidRDefault="00BD640C" w:rsidP="00BC1C85"/>
    <w:p w:rsidR="00BD640C" w:rsidRPr="00BD640C" w:rsidRDefault="00BD640C" w:rsidP="00BD640C">
      <w:pPr>
        <w:jc w:val="center"/>
        <w:rPr>
          <w:lang w:val="en-US"/>
        </w:rPr>
      </w:pPr>
      <w:r>
        <w:rPr>
          <w:lang w:val="en-US"/>
        </w:rPr>
        <w:t>______________</w:t>
      </w:r>
    </w:p>
    <w:sectPr w:rsidR="00BD640C" w:rsidRPr="00BD640C">
      <w:headerReference w:type="default" r:id="rId13"/>
      <w:footerReference w:type="even" r:id="rId14"/>
      <w:footerReference w:type="default" r:id="rId15"/>
      <w:footerReference w:type="first" r:id="rId16"/>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BC1C85">
      <w:rPr>
        <w:noProof/>
      </w:rPr>
      <w:t>13.10.15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CAD" w:rsidRPr="0041348E" w:rsidRDefault="00D82CAD" w:rsidP="00D82CAD">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P:\ENG\ITU-R\CONF-R\CMR15\000\007ADD24ADD04E.docx</w:t>
    </w:r>
    <w:r>
      <w:fldChar w:fldCharType="end"/>
    </w:r>
    <w:r>
      <w:t xml:space="preserve"> (387565)</w:t>
    </w:r>
    <w:r w:rsidRPr="0041348E">
      <w:rPr>
        <w:lang w:val="en-US"/>
      </w:rPr>
      <w:tab/>
    </w:r>
    <w:r>
      <w:fldChar w:fldCharType="begin"/>
    </w:r>
    <w:r>
      <w:instrText xml:space="preserve"> SAVEDATE \@ DD.MM.YY </w:instrText>
    </w:r>
    <w:r>
      <w:fldChar w:fldCharType="separate"/>
    </w:r>
    <w:r w:rsidR="00BC1C85">
      <w:t>13.10.15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D82CAD">
      <w:rPr>
        <w:lang w:val="en-US"/>
      </w:rPr>
      <w:t>P:\ENG\ITU-R\CONF-R\CMR15\000\007ADD24ADD04E.docx</w:t>
    </w:r>
    <w:r>
      <w:fldChar w:fldCharType="end"/>
    </w:r>
    <w:r w:rsidR="00D82CAD">
      <w:t xml:space="preserve"> (387565)</w:t>
    </w:r>
    <w:r w:rsidRPr="0041348E">
      <w:rPr>
        <w:lang w:val="en-US"/>
      </w:rPr>
      <w:tab/>
    </w:r>
    <w:r>
      <w:fldChar w:fldCharType="begin"/>
    </w:r>
    <w:r>
      <w:instrText xml:space="preserve"> SAVEDATE \@ DD.MM.YY </w:instrText>
    </w:r>
    <w:r>
      <w:fldChar w:fldCharType="separate"/>
    </w:r>
    <w:r w:rsidR="00BC1C85">
      <w:t>13.10.15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BC1C85">
      <w:rPr>
        <w:noProof/>
      </w:rPr>
      <w:t>7</w:t>
    </w:r>
    <w:r>
      <w:fldChar w:fldCharType="end"/>
    </w:r>
  </w:p>
  <w:p w:rsidR="00A066F1" w:rsidRPr="00A066F1" w:rsidRDefault="00187BD9" w:rsidP="00241FA2">
    <w:pPr>
      <w:pStyle w:val="Header"/>
    </w:pPr>
    <w:r>
      <w:t>CMR1</w:t>
    </w:r>
    <w:r w:rsidR="00241FA2">
      <w:t>5</w:t>
    </w:r>
    <w:r w:rsidR="00A066F1">
      <w:t>/</w:t>
    </w:r>
    <w:bookmarkStart w:id="13" w:name="OLE_LINK1"/>
    <w:bookmarkStart w:id="14" w:name="OLE_LINK2"/>
    <w:bookmarkStart w:id="15" w:name="OLE_LINK3"/>
    <w:r w:rsidR="00EB55C6">
      <w:t>7(Add.24)(Add.4)</w:t>
    </w:r>
    <w:bookmarkEnd w:id="13"/>
    <w:bookmarkEnd w:id="14"/>
    <w:bookmarkEnd w:id="15"/>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23F6"/>
    <w:rsid w:val="00086491"/>
    <w:rsid w:val="00091346"/>
    <w:rsid w:val="0009706C"/>
    <w:rsid w:val="000B666B"/>
    <w:rsid w:val="000D154B"/>
    <w:rsid w:val="000D760B"/>
    <w:rsid w:val="000F73FF"/>
    <w:rsid w:val="00114CF7"/>
    <w:rsid w:val="00123B68"/>
    <w:rsid w:val="00126F2E"/>
    <w:rsid w:val="00146F6F"/>
    <w:rsid w:val="00187BD9"/>
    <w:rsid w:val="00190B55"/>
    <w:rsid w:val="001C3B5F"/>
    <w:rsid w:val="001D058F"/>
    <w:rsid w:val="002009EA"/>
    <w:rsid w:val="00202CA0"/>
    <w:rsid w:val="00211DAD"/>
    <w:rsid w:val="00216B6D"/>
    <w:rsid w:val="00241FA2"/>
    <w:rsid w:val="00271316"/>
    <w:rsid w:val="002B349C"/>
    <w:rsid w:val="002D58BE"/>
    <w:rsid w:val="00361B37"/>
    <w:rsid w:val="00375FB7"/>
    <w:rsid w:val="00377BD3"/>
    <w:rsid w:val="00384088"/>
    <w:rsid w:val="003852CE"/>
    <w:rsid w:val="0039169B"/>
    <w:rsid w:val="003A68D8"/>
    <w:rsid w:val="003A7F8C"/>
    <w:rsid w:val="003B2284"/>
    <w:rsid w:val="003B532E"/>
    <w:rsid w:val="003D0F8B"/>
    <w:rsid w:val="003E0DB6"/>
    <w:rsid w:val="0041348E"/>
    <w:rsid w:val="00420873"/>
    <w:rsid w:val="00492075"/>
    <w:rsid w:val="004969AD"/>
    <w:rsid w:val="004A26C4"/>
    <w:rsid w:val="004B13CB"/>
    <w:rsid w:val="004B2205"/>
    <w:rsid w:val="004C100E"/>
    <w:rsid w:val="004D26EA"/>
    <w:rsid w:val="004D2BFB"/>
    <w:rsid w:val="004D5D5C"/>
    <w:rsid w:val="0050139F"/>
    <w:rsid w:val="0051767C"/>
    <w:rsid w:val="0055140B"/>
    <w:rsid w:val="00574C2D"/>
    <w:rsid w:val="005943CC"/>
    <w:rsid w:val="005964AB"/>
    <w:rsid w:val="005C099A"/>
    <w:rsid w:val="005C31A5"/>
    <w:rsid w:val="005E10C9"/>
    <w:rsid w:val="005E290B"/>
    <w:rsid w:val="005E61DD"/>
    <w:rsid w:val="006023DF"/>
    <w:rsid w:val="00616219"/>
    <w:rsid w:val="006437D6"/>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D12A9"/>
    <w:rsid w:val="009E5FC8"/>
    <w:rsid w:val="009E687A"/>
    <w:rsid w:val="00A066F1"/>
    <w:rsid w:val="00A141AF"/>
    <w:rsid w:val="00A16D29"/>
    <w:rsid w:val="00A30305"/>
    <w:rsid w:val="00A31D2D"/>
    <w:rsid w:val="00A4600A"/>
    <w:rsid w:val="00A5375D"/>
    <w:rsid w:val="00A538A6"/>
    <w:rsid w:val="00A54C25"/>
    <w:rsid w:val="00A710E7"/>
    <w:rsid w:val="00A7372E"/>
    <w:rsid w:val="00A93B85"/>
    <w:rsid w:val="00AA0B18"/>
    <w:rsid w:val="00AA3C65"/>
    <w:rsid w:val="00AA666F"/>
    <w:rsid w:val="00B639E9"/>
    <w:rsid w:val="00B817CD"/>
    <w:rsid w:val="00B81A7D"/>
    <w:rsid w:val="00B94AD0"/>
    <w:rsid w:val="00BB3A95"/>
    <w:rsid w:val="00BC1C85"/>
    <w:rsid w:val="00BD640C"/>
    <w:rsid w:val="00BD6CCE"/>
    <w:rsid w:val="00BE203A"/>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CF2C79"/>
    <w:rsid w:val="00D14CE0"/>
    <w:rsid w:val="00D268B3"/>
    <w:rsid w:val="00D54009"/>
    <w:rsid w:val="00D5651D"/>
    <w:rsid w:val="00D57A34"/>
    <w:rsid w:val="00D74898"/>
    <w:rsid w:val="00D801ED"/>
    <w:rsid w:val="00D82CA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72632"/>
    <w:rsid w:val="00FA776F"/>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280E0A3-2BF2-499A-832A-0D3AD1DC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ar"/>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paragraph" w:customStyle="1" w:styleId="headingb0">
    <w:name w:val="heading_b"/>
    <w:basedOn w:val="Heading3"/>
    <w:next w:val="Normal"/>
    <w:rsid w:val="000D760B"/>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eastAsia="fr-FR"/>
    </w:rPr>
  </w:style>
  <w:style w:type="paragraph" w:customStyle="1" w:styleId="Anex">
    <w:name w:val="Anex"/>
    <w:basedOn w:val="Normal"/>
    <w:rsid w:val="000823F6"/>
    <w:rPr>
      <w:rFonts w:eastAsia="Batang"/>
    </w:rPr>
  </w:style>
  <w:style w:type="character" w:customStyle="1" w:styleId="NormalaftertitleChar">
    <w:name w:val="Normal after title Char"/>
    <w:link w:val="Normalaftertitle"/>
    <w:rsid w:val="00BD640C"/>
    <w:rPr>
      <w:rFonts w:ascii="Times New Roman" w:hAnsi="Times New Roman"/>
      <w:sz w:val="24"/>
      <w:lang w:val="en-GB" w:eastAsia="en-US"/>
    </w:rPr>
  </w:style>
  <w:style w:type="character" w:customStyle="1" w:styleId="CallChar">
    <w:name w:val="Call Char"/>
    <w:link w:val="Call"/>
    <w:locked/>
    <w:rsid w:val="00BD640C"/>
    <w:rPr>
      <w:rFonts w:ascii="Times New Roman" w:hAnsi="Times New Roman"/>
      <w:i/>
      <w:sz w:val="24"/>
      <w:lang w:val="en-GB" w:eastAsia="en-US"/>
    </w:rPr>
  </w:style>
  <w:style w:type="character" w:customStyle="1" w:styleId="RestitleChar">
    <w:name w:val="Res_title Char"/>
    <w:link w:val="Restitle"/>
    <w:rsid w:val="00BD640C"/>
    <w:rPr>
      <w:rFonts w:ascii="Times New Roman Bold" w:hAnsi="Times New Roman Bold"/>
      <w:b/>
      <w:sz w:val="28"/>
      <w:lang w:val="en-GB" w:eastAsia="en-US"/>
    </w:rPr>
  </w:style>
  <w:style w:type="character" w:customStyle="1" w:styleId="ResNoChar">
    <w:name w:val="Res_No Char"/>
    <w:link w:val="ResNo"/>
    <w:rsid w:val="00BD640C"/>
    <w:rPr>
      <w:rFonts w:ascii="Times New Roman" w:hAnsi="Times New Roman"/>
      <w:caps/>
      <w:sz w:val="28"/>
      <w:lang w:val="en-GB" w:eastAsia="en-US"/>
    </w:rPr>
  </w:style>
  <w:style w:type="character" w:customStyle="1" w:styleId="AnnexNoCar">
    <w:name w:val="Annex_No Car"/>
    <w:link w:val="AnnexNo"/>
    <w:rsid w:val="00BD640C"/>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R15-WRC15-C-0007!A24-A4!MSW-E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42C801-EF93-4BFA-B92E-F28D3F602C1A}">
  <ds:schemaRefs>
    <ds:schemaRef ds:uri="http://purl.org/dc/terms/"/>
    <ds:schemaRef ds:uri="32a1a8c5-2265-4ebc-b7a0-2071e2c5c9bb"/>
    <ds:schemaRef ds:uri="http://purl.org/dc/dcmitype/"/>
    <ds:schemaRef ds:uri="http://purl.org/dc/elements/1.1/"/>
    <ds:schemaRef ds:uri="996b2e75-67fd-4955-a3b0-5ab9934cb50b"/>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4673DCB3-54E1-4508-A88D-A5C841BF8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13</TotalTime>
  <Pages>7</Pages>
  <Words>2213</Words>
  <Characters>11927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R15-WRC15-C-0007!A24-A4!MSW-E</vt:lpstr>
    </vt:vector>
  </TitlesOfParts>
  <Manager>General Secretariat - Pool</Manager>
  <Company>International Telecommunication Union (ITU)</Company>
  <LinksUpToDate>false</LinksUpToDate>
  <CharactersWithSpaces>14112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R15-WRC15-C-0007!A24-A4!MSW-E</dc:title>
  <dc:subject>World Radiocommunication Conference - 2015</dc:subject>
  <dc:creator>Documents Proposals Manager (DPM)</dc:creator>
  <cp:keywords>DPM_v5.2015.9.16_prod</cp:keywords>
  <dc:description>Uploaded on 2015.07.06</dc:description>
  <cp:lastModifiedBy>Neal, Sharon</cp:lastModifiedBy>
  <cp:revision>7</cp:revision>
  <cp:lastPrinted>2014-02-10T09:49:00Z</cp:lastPrinted>
  <dcterms:created xsi:type="dcterms:W3CDTF">2015-10-09T06:39:00Z</dcterms:created>
  <dcterms:modified xsi:type="dcterms:W3CDTF">2015-10-15T07:37:00Z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