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973B3" w:rsidTr="0050008E">
        <w:trPr>
          <w:cantSplit/>
        </w:trPr>
        <w:tc>
          <w:tcPr>
            <w:tcW w:w="6911" w:type="dxa"/>
          </w:tcPr>
          <w:p w:rsidR="00BB1D82" w:rsidRPr="003973B3" w:rsidRDefault="00851625" w:rsidP="0048142D">
            <w:pPr>
              <w:spacing w:before="400" w:after="48"/>
              <w:rPr>
                <w:rFonts w:ascii="Verdana" w:hAnsi="Verdana"/>
                <w:b/>
                <w:bCs/>
                <w:sz w:val="20"/>
                <w:lang w:val="fr-CH"/>
              </w:rPr>
            </w:pPr>
            <w:bookmarkStart w:id="0" w:name="_GoBack"/>
            <w:bookmarkEnd w:id="0"/>
            <w:r w:rsidRPr="003973B3">
              <w:rPr>
                <w:rFonts w:ascii="Verdana" w:hAnsi="Verdana"/>
                <w:b/>
                <w:bCs/>
                <w:sz w:val="20"/>
                <w:lang w:val="fr-CH"/>
              </w:rPr>
              <w:t>Conférence mondiale des radiocommunications (CMR-15)</w:t>
            </w:r>
            <w:r w:rsidRPr="003973B3">
              <w:rPr>
                <w:rFonts w:ascii="Verdana" w:hAnsi="Verdana"/>
                <w:b/>
                <w:bCs/>
                <w:sz w:val="20"/>
                <w:lang w:val="fr-CH"/>
              </w:rPr>
              <w:br/>
            </w:r>
            <w:r w:rsidRPr="003973B3">
              <w:rPr>
                <w:rFonts w:ascii="Verdana" w:hAnsi="Verdana"/>
                <w:b/>
                <w:bCs/>
                <w:sz w:val="18"/>
                <w:szCs w:val="18"/>
                <w:lang w:val="fr-CH"/>
              </w:rPr>
              <w:t>Genève,</w:t>
            </w:r>
            <w:r w:rsidR="00E537FF" w:rsidRPr="003973B3">
              <w:rPr>
                <w:rFonts w:ascii="Verdana" w:hAnsi="Verdana"/>
                <w:b/>
                <w:bCs/>
                <w:sz w:val="18"/>
                <w:szCs w:val="18"/>
                <w:lang w:val="fr-CH"/>
              </w:rPr>
              <w:t xml:space="preserve"> </w:t>
            </w:r>
            <w:r w:rsidRPr="003973B3">
              <w:rPr>
                <w:rFonts w:ascii="Verdana" w:hAnsi="Verdana"/>
                <w:b/>
                <w:bCs/>
                <w:sz w:val="18"/>
                <w:szCs w:val="18"/>
                <w:lang w:val="fr-CH"/>
              </w:rPr>
              <w:t>2-27 novembre 2015</w:t>
            </w:r>
          </w:p>
        </w:tc>
        <w:tc>
          <w:tcPr>
            <w:tcW w:w="3120" w:type="dxa"/>
          </w:tcPr>
          <w:p w:rsidR="00BB1D82" w:rsidRPr="003973B3" w:rsidRDefault="002C28A4" w:rsidP="0048142D">
            <w:pPr>
              <w:spacing w:before="0"/>
              <w:jc w:val="right"/>
              <w:rPr>
                <w:lang w:val="fr-CH"/>
              </w:rPr>
            </w:pPr>
            <w:bookmarkStart w:id="1" w:name="ditulogo"/>
            <w:bookmarkEnd w:id="1"/>
            <w:r w:rsidRPr="003973B3">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3973B3" w:rsidTr="0050008E">
        <w:trPr>
          <w:cantSplit/>
        </w:trPr>
        <w:tc>
          <w:tcPr>
            <w:tcW w:w="6911" w:type="dxa"/>
            <w:tcBorders>
              <w:bottom w:val="single" w:sz="12" w:space="0" w:color="auto"/>
            </w:tcBorders>
          </w:tcPr>
          <w:p w:rsidR="00BB1D82" w:rsidRPr="003973B3" w:rsidRDefault="002C28A4" w:rsidP="0048142D">
            <w:pPr>
              <w:spacing w:before="0" w:after="48"/>
              <w:rPr>
                <w:b/>
                <w:smallCaps/>
                <w:szCs w:val="24"/>
                <w:lang w:val="fr-CH"/>
              </w:rPr>
            </w:pPr>
            <w:bookmarkStart w:id="2" w:name="dhead"/>
            <w:r w:rsidRPr="003973B3">
              <w:rPr>
                <w:rFonts w:ascii="Verdana" w:hAnsi="Verdana"/>
                <w:b/>
                <w:bCs/>
                <w:sz w:val="20"/>
                <w:lang w:val="fr-CH"/>
              </w:rPr>
              <w:t>UNION INTERNATIONALE DES TÉLÉCOMMUNICATIONS</w:t>
            </w:r>
          </w:p>
        </w:tc>
        <w:tc>
          <w:tcPr>
            <w:tcW w:w="3120" w:type="dxa"/>
            <w:tcBorders>
              <w:bottom w:val="single" w:sz="12" w:space="0" w:color="auto"/>
            </w:tcBorders>
          </w:tcPr>
          <w:p w:rsidR="00BB1D82" w:rsidRPr="003973B3" w:rsidRDefault="00BB1D82" w:rsidP="0048142D">
            <w:pPr>
              <w:spacing w:before="0"/>
              <w:rPr>
                <w:rFonts w:ascii="Verdana" w:hAnsi="Verdana"/>
                <w:szCs w:val="24"/>
                <w:lang w:val="fr-CH"/>
              </w:rPr>
            </w:pPr>
          </w:p>
        </w:tc>
      </w:tr>
      <w:tr w:rsidR="00BB1D82" w:rsidRPr="003973B3" w:rsidTr="00BB1D82">
        <w:trPr>
          <w:cantSplit/>
        </w:trPr>
        <w:tc>
          <w:tcPr>
            <w:tcW w:w="6911" w:type="dxa"/>
            <w:tcBorders>
              <w:top w:val="single" w:sz="12" w:space="0" w:color="auto"/>
            </w:tcBorders>
          </w:tcPr>
          <w:p w:rsidR="00BB1D82" w:rsidRPr="003973B3" w:rsidRDefault="00BB1D82" w:rsidP="0048142D">
            <w:pPr>
              <w:spacing w:before="0" w:after="48"/>
              <w:rPr>
                <w:rFonts w:ascii="Verdana" w:hAnsi="Verdana"/>
                <w:b/>
                <w:smallCaps/>
                <w:sz w:val="20"/>
                <w:lang w:val="fr-CH"/>
              </w:rPr>
            </w:pPr>
          </w:p>
        </w:tc>
        <w:tc>
          <w:tcPr>
            <w:tcW w:w="3120" w:type="dxa"/>
            <w:tcBorders>
              <w:top w:val="single" w:sz="12" w:space="0" w:color="auto"/>
            </w:tcBorders>
          </w:tcPr>
          <w:p w:rsidR="00BB1D82" w:rsidRPr="003973B3" w:rsidRDefault="00BB1D82" w:rsidP="0048142D">
            <w:pPr>
              <w:spacing w:before="0"/>
              <w:rPr>
                <w:rFonts w:ascii="Verdana" w:hAnsi="Verdana"/>
                <w:sz w:val="20"/>
                <w:lang w:val="fr-CH"/>
              </w:rPr>
            </w:pPr>
          </w:p>
        </w:tc>
      </w:tr>
      <w:tr w:rsidR="00BB1D82" w:rsidRPr="003973B3" w:rsidTr="00BB1D82">
        <w:trPr>
          <w:cantSplit/>
        </w:trPr>
        <w:tc>
          <w:tcPr>
            <w:tcW w:w="6911" w:type="dxa"/>
            <w:shd w:val="clear" w:color="auto" w:fill="auto"/>
          </w:tcPr>
          <w:p w:rsidR="00BB1D82" w:rsidRPr="003973B3" w:rsidRDefault="006D4724" w:rsidP="0048142D">
            <w:pPr>
              <w:spacing w:before="0"/>
              <w:rPr>
                <w:rFonts w:ascii="Verdana" w:hAnsi="Verdana"/>
                <w:b/>
                <w:sz w:val="20"/>
                <w:lang w:val="fr-CH"/>
              </w:rPr>
            </w:pPr>
            <w:r w:rsidRPr="003973B3">
              <w:rPr>
                <w:rFonts w:ascii="Verdana" w:hAnsi="Verdana"/>
                <w:b/>
                <w:sz w:val="20"/>
                <w:lang w:val="fr-CH"/>
              </w:rPr>
              <w:t>SÉANCE PLÉNIÈRE</w:t>
            </w:r>
          </w:p>
        </w:tc>
        <w:tc>
          <w:tcPr>
            <w:tcW w:w="3120" w:type="dxa"/>
            <w:shd w:val="clear" w:color="auto" w:fill="auto"/>
          </w:tcPr>
          <w:p w:rsidR="00BB1D82" w:rsidRPr="003973B3" w:rsidRDefault="006D4724" w:rsidP="0048142D">
            <w:pPr>
              <w:spacing w:before="0"/>
              <w:rPr>
                <w:rFonts w:ascii="Verdana" w:hAnsi="Verdana"/>
                <w:sz w:val="20"/>
                <w:lang w:val="fr-CH"/>
              </w:rPr>
            </w:pPr>
            <w:r w:rsidRPr="003973B3">
              <w:rPr>
                <w:rFonts w:ascii="Verdana" w:eastAsia="SimSun" w:hAnsi="Verdana" w:cs="Traditional Arabic"/>
                <w:b/>
                <w:sz w:val="20"/>
                <w:lang w:val="fr-CH"/>
              </w:rPr>
              <w:t>Addendum 7 au</w:t>
            </w:r>
            <w:r w:rsidRPr="003973B3">
              <w:rPr>
                <w:rFonts w:ascii="Verdana" w:eastAsia="SimSun" w:hAnsi="Verdana" w:cs="Traditional Arabic"/>
                <w:b/>
                <w:sz w:val="20"/>
                <w:lang w:val="fr-CH"/>
              </w:rPr>
              <w:br/>
              <w:t>Document 7(Add.24)</w:t>
            </w:r>
            <w:r w:rsidR="00BB1D82" w:rsidRPr="003973B3">
              <w:rPr>
                <w:rFonts w:ascii="Verdana" w:hAnsi="Verdana"/>
                <w:b/>
                <w:sz w:val="20"/>
                <w:lang w:val="fr-CH"/>
              </w:rPr>
              <w:t>-</w:t>
            </w:r>
            <w:r w:rsidRPr="003973B3">
              <w:rPr>
                <w:rFonts w:ascii="Verdana" w:hAnsi="Verdana"/>
                <w:b/>
                <w:sz w:val="20"/>
                <w:lang w:val="fr-CH"/>
              </w:rPr>
              <w:t>F</w:t>
            </w:r>
          </w:p>
        </w:tc>
      </w:tr>
      <w:bookmarkEnd w:id="2"/>
      <w:tr w:rsidR="00690C7B" w:rsidRPr="003973B3" w:rsidTr="00BB1D82">
        <w:trPr>
          <w:cantSplit/>
        </w:trPr>
        <w:tc>
          <w:tcPr>
            <w:tcW w:w="6911" w:type="dxa"/>
            <w:shd w:val="clear" w:color="auto" w:fill="auto"/>
          </w:tcPr>
          <w:p w:rsidR="00690C7B" w:rsidRPr="003973B3" w:rsidRDefault="00690C7B" w:rsidP="0048142D">
            <w:pPr>
              <w:spacing w:before="0"/>
              <w:rPr>
                <w:rFonts w:ascii="Verdana" w:hAnsi="Verdana"/>
                <w:b/>
                <w:sz w:val="20"/>
                <w:lang w:val="fr-CH"/>
              </w:rPr>
            </w:pPr>
          </w:p>
        </w:tc>
        <w:tc>
          <w:tcPr>
            <w:tcW w:w="3120" w:type="dxa"/>
            <w:shd w:val="clear" w:color="auto" w:fill="auto"/>
          </w:tcPr>
          <w:p w:rsidR="00690C7B" w:rsidRPr="003973B3" w:rsidRDefault="00690C7B" w:rsidP="0048142D">
            <w:pPr>
              <w:spacing w:before="0"/>
              <w:rPr>
                <w:rFonts w:ascii="Verdana" w:hAnsi="Verdana"/>
                <w:b/>
                <w:sz w:val="20"/>
                <w:lang w:val="fr-CH"/>
              </w:rPr>
            </w:pPr>
            <w:r w:rsidRPr="003973B3">
              <w:rPr>
                <w:rFonts w:ascii="Verdana" w:hAnsi="Verdana"/>
                <w:b/>
                <w:sz w:val="20"/>
                <w:lang w:val="fr-CH"/>
              </w:rPr>
              <w:t>29 septembre 2015</w:t>
            </w:r>
          </w:p>
        </w:tc>
      </w:tr>
      <w:tr w:rsidR="00690C7B" w:rsidRPr="003973B3" w:rsidTr="00BB1D82">
        <w:trPr>
          <w:cantSplit/>
        </w:trPr>
        <w:tc>
          <w:tcPr>
            <w:tcW w:w="6911" w:type="dxa"/>
          </w:tcPr>
          <w:p w:rsidR="00690C7B" w:rsidRPr="003973B3" w:rsidRDefault="00690C7B" w:rsidP="0048142D">
            <w:pPr>
              <w:spacing w:before="0" w:after="48"/>
              <w:rPr>
                <w:rFonts w:ascii="Verdana" w:hAnsi="Verdana"/>
                <w:b/>
                <w:smallCaps/>
                <w:sz w:val="20"/>
                <w:lang w:val="fr-CH"/>
              </w:rPr>
            </w:pPr>
          </w:p>
        </w:tc>
        <w:tc>
          <w:tcPr>
            <w:tcW w:w="3120" w:type="dxa"/>
          </w:tcPr>
          <w:p w:rsidR="00690C7B" w:rsidRPr="003973B3" w:rsidRDefault="00690C7B" w:rsidP="0048142D">
            <w:pPr>
              <w:spacing w:before="0"/>
              <w:rPr>
                <w:rFonts w:ascii="Verdana" w:hAnsi="Verdana"/>
                <w:b/>
                <w:sz w:val="20"/>
                <w:lang w:val="fr-CH"/>
              </w:rPr>
            </w:pPr>
            <w:r w:rsidRPr="003973B3">
              <w:rPr>
                <w:rFonts w:ascii="Verdana" w:hAnsi="Verdana"/>
                <w:b/>
                <w:sz w:val="20"/>
                <w:lang w:val="fr-CH"/>
              </w:rPr>
              <w:t>Original: anglais</w:t>
            </w:r>
          </w:p>
        </w:tc>
      </w:tr>
      <w:tr w:rsidR="00690C7B" w:rsidRPr="003973B3" w:rsidTr="00C11970">
        <w:trPr>
          <w:cantSplit/>
        </w:trPr>
        <w:tc>
          <w:tcPr>
            <w:tcW w:w="10031" w:type="dxa"/>
            <w:gridSpan w:val="2"/>
          </w:tcPr>
          <w:p w:rsidR="00690C7B" w:rsidRPr="003973B3" w:rsidRDefault="00690C7B" w:rsidP="0048142D">
            <w:pPr>
              <w:spacing w:before="0"/>
              <w:rPr>
                <w:rFonts w:ascii="Verdana" w:hAnsi="Verdana"/>
                <w:b/>
                <w:sz w:val="20"/>
                <w:lang w:val="fr-CH"/>
              </w:rPr>
            </w:pPr>
          </w:p>
        </w:tc>
      </w:tr>
      <w:tr w:rsidR="00690C7B" w:rsidRPr="003973B3" w:rsidTr="0050008E">
        <w:trPr>
          <w:cantSplit/>
        </w:trPr>
        <w:tc>
          <w:tcPr>
            <w:tcW w:w="10031" w:type="dxa"/>
            <w:gridSpan w:val="2"/>
          </w:tcPr>
          <w:p w:rsidR="00690C7B" w:rsidRPr="003973B3" w:rsidRDefault="00977AA7" w:rsidP="0048142D">
            <w:pPr>
              <w:pStyle w:val="Source"/>
              <w:rPr>
                <w:lang w:val="fr-CH"/>
              </w:rPr>
            </w:pPr>
            <w:bookmarkStart w:id="3" w:name="dsource" w:colFirst="0" w:colLast="0"/>
            <w:r>
              <w:rPr>
                <w:lang w:val="fr-CH"/>
              </w:rPr>
              <w:t>E</w:t>
            </w:r>
            <w:r w:rsidR="0048142D" w:rsidRPr="003973B3">
              <w:rPr>
                <w:lang w:val="fr-CH"/>
              </w:rPr>
              <w:t>tats</w:t>
            </w:r>
            <w:r w:rsidR="00690C7B" w:rsidRPr="003973B3">
              <w:rPr>
                <w:lang w:val="fr-CH"/>
              </w:rPr>
              <w:t xml:space="preserve"> Membres de la Commission interaméricaine des télécommunications (CITEL)</w:t>
            </w:r>
          </w:p>
        </w:tc>
      </w:tr>
      <w:tr w:rsidR="00690C7B" w:rsidRPr="003973B3" w:rsidTr="0050008E">
        <w:trPr>
          <w:cantSplit/>
        </w:trPr>
        <w:tc>
          <w:tcPr>
            <w:tcW w:w="10031" w:type="dxa"/>
            <w:gridSpan w:val="2"/>
          </w:tcPr>
          <w:p w:rsidR="00A74237" w:rsidRPr="003973B3" w:rsidRDefault="00A74237" w:rsidP="0048142D">
            <w:pPr>
              <w:pStyle w:val="Title1"/>
              <w:rPr>
                <w:lang w:val="fr-CH"/>
              </w:rPr>
            </w:pPr>
            <w:bookmarkStart w:id="4" w:name="dtitle1" w:colFirst="0" w:colLast="0"/>
            <w:bookmarkEnd w:id="3"/>
            <w:r w:rsidRPr="003973B3">
              <w:rPr>
                <w:lang w:val="fr-CH"/>
              </w:rPr>
              <w:t>PROPOSITIONS POUR LES TRAVAUX DE LA CONFÉRENCE</w:t>
            </w:r>
          </w:p>
          <w:p w:rsidR="00A74237" w:rsidRPr="003973B3" w:rsidRDefault="00A74237" w:rsidP="0048142D">
            <w:pPr>
              <w:rPr>
                <w:lang w:val="fr-CH"/>
              </w:rPr>
            </w:pPr>
          </w:p>
        </w:tc>
      </w:tr>
      <w:tr w:rsidR="00690C7B" w:rsidRPr="003973B3" w:rsidTr="0050008E">
        <w:trPr>
          <w:cantSplit/>
        </w:trPr>
        <w:tc>
          <w:tcPr>
            <w:tcW w:w="10031" w:type="dxa"/>
            <w:gridSpan w:val="2"/>
          </w:tcPr>
          <w:p w:rsidR="00690C7B" w:rsidRPr="003973B3" w:rsidRDefault="00690C7B" w:rsidP="0048142D">
            <w:pPr>
              <w:pStyle w:val="Title2"/>
              <w:rPr>
                <w:lang w:val="fr-CH"/>
              </w:rPr>
            </w:pPr>
            <w:bookmarkStart w:id="5" w:name="dtitle2" w:colFirst="0" w:colLast="0"/>
            <w:bookmarkEnd w:id="4"/>
          </w:p>
        </w:tc>
      </w:tr>
      <w:tr w:rsidR="00690C7B" w:rsidRPr="003973B3" w:rsidTr="0050008E">
        <w:trPr>
          <w:cantSplit/>
        </w:trPr>
        <w:tc>
          <w:tcPr>
            <w:tcW w:w="10031" w:type="dxa"/>
            <w:gridSpan w:val="2"/>
          </w:tcPr>
          <w:p w:rsidR="00690C7B" w:rsidRPr="003973B3" w:rsidRDefault="00690C7B" w:rsidP="0048142D">
            <w:pPr>
              <w:pStyle w:val="Agendaitem"/>
            </w:pPr>
            <w:bookmarkStart w:id="6" w:name="dtitle3" w:colFirst="0" w:colLast="0"/>
            <w:bookmarkEnd w:id="5"/>
            <w:r w:rsidRPr="003973B3">
              <w:t>Point 10 de l'ordre du jour</w:t>
            </w:r>
          </w:p>
        </w:tc>
      </w:tr>
    </w:tbl>
    <w:bookmarkEnd w:id="6"/>
    <w:p w:rsidR="001C0E40" w:rsidRPr="003973B3" w:rsidRDefault="00BE3489" w:rsidP="0048142D">
      <w:pPr>
        <w:rPr>
          <w:lang w:val="fr-CH"/>
        </w:rPr>
      </w:pPr>
      <w:r w:rsidRPr="003973B3">
        <w:rPr>
          <w:lang w:val="fr-CH"/>
        </w:rPr>
        <w:t>10</w:t>
      </w:r>
      <w:r w:rsidRPr="003973B3">
        <w:rPr>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A74237" w:rsidRPr="003973B3" w:rsidRDefault="00A74237" w:rsidP="0048142D">
      <w:pPr>
        <w:rPr>
          <w:lang w:val="fr-CH"/>
        </w:rPr>
      </w:pPr>
    </w:p>
    <w:p w:rsidR="00A74237" w:rsidRPr="003973B3" w:rsidRDefault="00A74237" w:rsidP="0048142D">
      <w:pPr>
        <w:pStyle w:val="Headingb"/>
        <w:rPr>
          <w:lang w:val="fr-CH"/>
        </w:rPr>
      </w:pPr>
      <w:r w:rsidRPr="003973B3">
        <w:rPr>
          <w:lang w:val="fr-CH"/>
        </w:rPr>
        <w:t>Rappel</w:t>
      </w:r>
    </w:p>
    <w:p w:rsidR="007D039C" w:rsidRPr="003973B3" w:rsidRDefault="00694F44" w:rsidP="0048142D">
      <w:pPr>
        <w:rPr>
          <w:lang w:val="fr-CH"/>
        </w:rPr>
      </w:pPr>
      <w:r>
        <w:rPr>
          <w:lang w:val="fr-CH"/>
        </w:rPr>
        <w:t>Les agences spatiales s'intéressent à</w:t>
      </w:r>
      <w:r w:rsidR="0058491C" w:rsidRPr="003973B3">
        <w:rPr>
          <w:lang w:val="fr-CH"/>
        </w:rPr>
        <w:t xml:space="preserve"> l</w:t>
      </w:r>
      <w:r w:rsidR="00B20F1D">
        <w:rPr>
          <w:lang w:val="fr-CH"/>
        </w:rPr>
        <w:t>'</w:t>
      </w:r>
      <w:r w:rsidR="0058491C" w:rsidRPr="003973B3">
        <w:rPr>
          <w:lang w:val="fr-CH"/>
        </w:rPr>
        <w:t>utilisation de détecteurs actifs spatioportés dans la gamme de fréquences</w:t>
      </w:r>
      <w:r w:rsidR="00701941" w:rsidRPr="003973B3">
        <w:rPr>
          <w:lang w:val="fr-CH"/>
        </w:rPr>
        <w:t xml:space="preserve"> de 40-50 MHz </w:t>
      </w:r>
      <w:r>
        <w:rPr>
          <w:lang w:val="fr-CH"/>
        </w:rPr>
        <w:t>pour</w:t>
      </w:r>
      <w:r w:rsidR="00701941" w:rsidRPr="003973B3">
        <w:rPr>
          <w:lang w:val="fr-CH"/>
        </w:rPr>
        <w:t xml:space="preserve"> effectuer des mesures sous la surface de la Terre </w:t>
      </w:r>
      <w:r>
        <w:rPr>
          <w:lang w:val="fr-CH"/>
        </w:rPr>
        <w:t>afin</w:t>
      </w:r>
      <w:r w:rsidR="00701941" w:rsidRPr="003973B3">
        <w:rPr>
          <w:lang w:val="fr-CH"/>
        </w:rPr>
        <w:t xml:space="preserve"> </w:t>
      </w:r>
      <w:r>
        <w:rPr>
          <w:lang w:val="fr-CH"/>
        </w:rPr>
        <w:t>d'</w:t>
      </w:r>
      <w:r w:rsidR="00701941" w:rsidRPr="003973B3">
        <w:rPr>
          <w:lang w:val="fr-CH"/>
        </w:rPr>
        <w:t xml:space="preserve">établir des cartes radar des couches diffusantes de la subsurface, l'objectif étant </w:t>
      </w:r>
      <w:r w:rsidR="0058491C" w:rsidRPr="003973B3">
        <w:rPr>
          <w:lang w:val="fr-CH"/>
        </w:rPr>
        <w:t>de</w:t>
      </w:r>
      <w:r w:rsidR="00701941" w:rsidRPr="003973B3">
        <w:rPr>
          <w:lang w:val="fr-CH"/>
        </w:rPr>
        <w:t xml:space="preserve"> localiser de l'eau/de la glace/des gisements. </w:t>
      </w:r>
      <w:r w:rsidR="0058491C" w:rsidRPr="003973B3">
        <w:rPr>
          <w:lang w:val="fr-CH"/>
        </w:rPr>
        <w:t xml:space="preserve">En effectuant des mesures </w:t>
      </w:r>
      <w:r w:rsidR="00B90DBB" w:rsidRPr="003973B3">
        <w:rPr>
          <w:lang w:val="fr-CH"/>
        </w:rPr>
        <w:t xml:space="preserve">aux fréquences entre 40 et 50 </w:t>
      </w:r>
      <w:r w:rsidRPr="003973B3">
        <w:rPr>
          <w:lang w:val="fr-CH"/>
        </w:rPr>
        <w:t>MHz</w:t>
      </w:r>
      <w:r w:rsidR="00B90DBB" w:rsidRPr="003973B3">
        <w:rPr>
          <w:lang w:val="fr-CH"/>
        </w:rPr>
        <w:t>, il est possible de distinguer des détails à plus de 30 m</w:t>
      </w:r>
      <w:r>
        <w:rPr>
          <w:lang w:val="fr-CH"/>
        </w:rPr>
        <w:t>ètres</w:t>
      </w:r>
      <w:r w:rsidR="00B90DBB" w:rsidRPr="003973B3">
        <w:rPr>
          <w:lang w:val="fr-CH"/>
        </w:rPr>
        <w:t xml:space="preserve"> sou</w:t>
      </w:r>
      <w:r>
        <w:rPr>
          <w:lang w:val="fr-CH"/>
        </w:rPr>
        <w:t>s la surface de la Terre lorsque</w:t>
      </w:r>
      <w:r w:rsidR="00B90DBB" w:rsidRPr="003973B3">
        <w:rPr>
          <w:lang w:val="fr-CH"/>
        </w:rPr>
        <w:t xml:space="preserve"> les caractéristiques du sol sont </w:t>
      </w:r>
      <w:r>
        <w:rPr>
          <w:lang w:val="fr-CH"/>
        </w:rPr>
        <w:t>propices</w:t>
      </w:r>
      <w:r w:rsidR="00B90DBB" w:rsidRPr="003973B3">
        <w:rPr>
          <w:lang w:val="fr-CH"/>
        </w:rPr>
        <w:t>. L</w:t>
      </w:r>
      <w:r w:rsidR="00B20F1D">
        <w:rPr>
          <w:lang w:val="fr-CH"/>
        </w:rPr>
        <w:t>'</w:t>
      </w:r>
      <w:r w:rsidR="00B90DBB" w:rsidRPr="003973B3">
        <w:rPr>
          <w:lang w:val="fr-CH"/>
        </w:rPr>
        <w:t>utilisation de fréquences au-dessous de la gamme 40-50 MHz nécessiterait des antennes plus grandes, ce qui poserait des problèmes pour les missions spatioportées mettant en œuvre cette application. L</w:t>
      </w:r>
      <w:r w:rsidR="00B20F1D">
        <w:rPr>
          <w:lang w:val="fr-CH"/>
        </w:rPr>
        <w:t>'</w:t>
      </w:r>
      <w:r w:rsidR="00B90DBB" w:rsidRPr="003973B3">
        <w:rPr>
          <w:lang w:val="fr-CH"/>
        </w:rPr>
        <w:t>utilisation de fréquences au-dessus de</w:t>
      </w:r>
      <w:r>
        <w:rPr>
          <w:lang w:val="fr-CH"/>
        </w:rPr>
        <w:t xml:space="preserve"> la gamme 40-50 MHz entraînerai</w:t>
      </w:r>
      <w:r w:rsidR="00B90DBB" w:rsidRPr="003973B3">
        <w:rPr>
          <w:lang w:val="fr-CH"/>
        </w:rPr>
        <w:t xml:space="preserve">t une diminution de la profondeur </w:t>
      </w:r>
      <w:r>
        <w:rPr>
          <w:lang w:val="fr-CH"/>
        </w:rPr>
        <w:t>jusqu'</w:t>
      </w:r>
      <w:r w:rsidR="00B90DBB" w:rsidRPr="003973B3">
        <w:rPr>
          <w:lang w:val="fr-CH"/>
        </w:rPr>
        <w:t>à laquelle le sondeur radar spatioporté pourrait donner des mesures. L</w:t>
      </w:r>
      <w:r w:rsidR="00B20F1D">
        <w:rPr>
          <w:lang w:val="fr-CH"/>
        </w:rPr>
        <w:t>'</w:t>
      </w:r>
      <w:r w:rsidR="00B90DBB" w:rsidRPr="003973B3">
        <w:rPr>
          <w:lang w:val="fr-CH"/>
        </w:rPr>
        <w:t xml:space="preserve">utilisation </w:t>
      </w:r>
      <w:r>
        <w:rPr>
          <w:lang w:val="fr-CH"/>
        </w:rPr>
        <w:t>d</w:t>
      </w:r>
      <w:r w:rsidR="00B20F1D">
        <w:rPr>
          <w:lang w:val="fr-CH"/>
        </w:rPr>
        <w:t>'</w:t>
      </w:r>
      <w:r>
        <w:rPr>
          <w:lang w:val="fr-CH"/>
        </w:rPr>
        <w:t>une gamme de fréquences autre</w:t>
      </w:r>
      <w:r w:rsidR="00B90DBB" w:rsidRPr="003973B3">
        <w:rPr>
          <w:lang w:val="fr-CH"/>
        </w:rPr>
        <w:t xml:space="preserve"> que la gamme 40-50 MHz </w:t>
      </w:r>
      <w:r>
        <w:rPr>
          <w:lang w:val="fr-CH"/>
        </w:rPr>
        <w:t>nécessiterait</w:t>
      </w:r>
      <w:r w:rsidR="00B90DBB" w:rsidRPr="003973B3">
        <w:rPr>
          <w:lang w:val="fr-CH"/>
        </w:rPr>
        <w:t xml:space="preserve"> de nouvelles campagnes aéronautiques à la fréquence correspondante</w:t>
      </w:r>
      <w:r>
        <w:rPr>
          <w:lang w:val="fr-CH"/>
        </w:rPr>
        <w:t>,</w:t>
      </w:r>
      <w:r w:rsidR="00B90DBB" w:rsidRPr="003973B3">
        <w:rPr>
          <w:lang w:val="fr-CH"/>
        </w:rPr>
        <w:t xml:space="preserve"> afin d</w:t>
      </w:r>
      <w:r w:rsidR="00B20F1D">
        <w:rPr>
          <w:lang w:val="fr-CH"/>
        </w:rPr>
        <w:t>'</w:t>
      </w:r>
      <w:r w:rsidR="00B90DBB" w:rsidRPr="003973B3">
        <w:rPr>
          <w:lang w:val="fr-CH"/>
        </w:rPr>
        <w:t>évaluer et d</w:t>
      </w:r>
      <w:r w:rsidR="00B20F1D">
        <w:rPr>
          <w:lang w:val="fr-CH"/>
        </w:rPr>
        <w:t>'</w:t>
      </w:r>
      <w:r w:rsidR="00B90DBB" w:rsidRPr="003973B3">
        <w:rPr>
          <w:lang w:val="fr-CH"/>
        </w:rPr>
        <w:t>étalonner les mesures</w:t>
      </w:r>
      <w:r>
        <w:rPr>
          <w:lang w:val="fr-CH"/>
        </w:rPr>
        <w:t xml:space="preserve"> faites</w:t>
      </w:r>
      <w:r w:rsidR="00B90DBB" w:rsidRPr="003973B3">
        <w:rPr>
          <w:lang w:val="fr-CH"/>
        </w:rPr>
        <w:t xml:space="preserve"> à cette fréquence en vue de leur utilisation dans l</w:t>
      </w:r>
      <w:r>
        <w:rPr>
          <w:lang w:val="fr-CH"/>
        </w:rPr>
        <w:t>e cadre d</w:t>
      </w:r>
      <w:r w:rsidR="00B20F1D">
        <w:rPr>
          <w:lang w:val="fr-CH"/>
        </w:rPr>
        <w:t>'</w:t>
      </w:r>
      <w:r>
        <w:rPr>
          <w:lang w:val="fr-CH"/>
        </w:rPr>
        <w:t>une mission de sondage</w:t>
      </w:r>
      <w:r w:rsidR="00B90DBB" w:rsidRPr="003973B3">
        <w:rPr>
          <w:lang w:val="fr-CH"/>
        </w:rPr>
        <w:t xml:space="preserve"> radar spatioporté</w:t>
      </w:r>
      <w:r>
        <w:rPr>
          <w:lang w:val="fr-CH"/>
        </w:rPr>
        <w:t>e</w:t>
      </w:r>
      <w:r w:rsidR="00B90DBB" w:rsidRPr="003973B3">
        <w:rPr>
          <w:lang w:val="fr-CH"/>
        </w:rPr>
        <w:t>.</w:t>
      </w:r>
    </w:p>
    <w:p w:rsidR="007E2CFF" w:rsidRPr="003973B3" w:rsidRDefault="000B11BE" w:rsidP="0048142D">
      <w:pPr>
        <w:rPr>
          <w:lang w:val="fr-CH"/>
        </w:rPr>
      </w:pPr>
      <w:r w:rsidRPr="003973B3">
        <w:rPr>
          <w:lang w:val="fr-CH"/>
        </w:rPr>
        <w:t xml:space="preserve">Les </w:t>
      </w:r>
      <w:r w:rsidR="00694F44">
        <w:rPr>
          <w:lang w:val="fr-CH"/>
        </w:rPr>
        <w:t>données</w:t>
      </w:r>
      <w:r w:rsidRPr="003973B3">
        <w:rPr>
          <w:lang w:val="fr-CH"/>
        </w:rPr>
        <w:t xml:space="preserve"> recueillies grâce à un sondeur radar spatioporté fonctionnant dans la gamme de fréquences 40-50 MHz seraient très utiles pour les études en cours dans le monde sur les changements climatiques et aiderai</w:t>
      </w:r>
      <w:r w:rsidR="00694F44">
        <w:rPr>
          <w:lang w:val="fr-CH"/>
        </w:rPr>
        <w:t>en</w:t>
      </w:r>
      <w:r w:rsidRPr="003973B3">
        <w:rPr>
          <w:lang w:val="fr-CH"/>
        </w:rPr>
        <w:t>t grandement les administrations à évaluer</w:t>
      </w:r>
      <w:r w:rsidR="008339A6" w:rsidRPr="003973B3">
        <w:rPr>
          <w:lang w:val="fr-CH"/>
        </w:rPr>
        <w:t xml:space="preserve"> les réserves d</w:t>
      </w:r>
      <w:r w:rsidR="00B20F1D">
        <w:rPr>
          <w:lang w:val="fr-CH"/>
        </w:rPr>
        <w:t>'</w:t>
      </w:r>
      <w:r w:rsidR="008339A6" w:rsidRPr="003973B3">
        <w:rPr>
          <w:lang w:val="fr-CH"/>
        </w:rPr>
        <w:t>eau souterraine</w:t>
      </w:r>
      <w:r w:rsidR="00694F44">
        <w:rPr>
          <w:lang w:val="fr-CH"/>
        </w:rPr>
        <w:t>s</w:t>
      </w:r>
      <w:r w:rsidR="008339A6" w:rsidRPr="003973B3">
        <w:rPr>
          <w:lang w:val="fr-CH"/>
        </w:rPr>
        <w:t xml:space="preserve"> sur leur territoire. Dans la pratique, seuls des détecteurs actifs spatioportés permettent d</w:t>
      </w:r>
      <w:r w:rsidR="00B20F1D">
        <w:rPr>
          <w:lang w:val="fr-CH"/>
        </w:rPr>
        <w:t>'</w:t>
      </w:r>
      <w:r w:rsidR="008339A6" w:rsidRPr="003973B3">
        <w:rPr>
          <w:lang w:val="fr-CH"/>
        </w:rPr>
        <w:t>effectuer des mesures répétées des nappes d</w:t>
      </w:r>
      <w:r w:rsidR="00B20F1D">
        <w:rPr>
          <w:lang w:val="fr-CH"/>
        </w:rPr>
        <w:t>'</w:t>
      </w:r>
      <w:r w:rsidR="008339A6" w:rsidRPr="003973B3">
        <w:rPr>
          <w:lang w:val="fr-CH"/>
        </w:rPr>
        <w:t>eau souterraine</w:t>
      </w:r>
      <w:r w:rsidR="00694F44">
        <w:rPr>
          <w:lang w:val="fr-CH"/>
        </w:rPr>
        <w:t>s</w:t>
      </w:r>
      <w:r w:rsidR="008339A6" w:rsidRPr="003973B3">
        <w:rPr>
          <w:lang w:val="fr-CH"/>
        </w:rPr>
        <w:t xml:space="preserve"> dans le monde.</w:t>
      </w:r>
    </w:p>
    <w:p w:rsidR="00701941" w:rsidRPr="003973B3" w:rsidRDefault="00701941" w:rsidP="0048142D">
      <w:pPr>
        <w:rPr>
          <w:lang w:val="fr-CH" w:eastAsia="ar-SA"/>
        </w:rPr>
      </w:pPr>
      <w:r w:rsidRPr="003973B3">
        <w:rPr>
          <w:lang w:val="fr-CH"/>
        </w:rPr>
        <w:lastRenderedPageBreak/>
        <w:t xml:space="preserve">La </w:t>
      </w:r>
      <w:r w:rsidR="00694F44">
        <w:rPr>
          <w:lang w:val="fr-CH"/>
        </w:rPr>
        <w:t>gamme de fréquences</w:t>
      </w:r>
      <w:r w:rsidRPr="003973B3">
        <w:rPr>
          <w:lang w:val="fr-CH"/>
        </w:rPr>
        <w:t xml:space="preserve"> 40-50 MHz est attribuée au service fixe, au service mobile et au service de radiodiffusion à titre primaire. Le</w:t>
      </w:r>
      <w:r w:rsidR="008339A6" w:rsidRPr="003973B3">
        <w:rPr>
          <w:lang w:val="fr-CH"/>
        </w:rPr>
        <w:t>s</w:t>
      </w:r>
      <w:r w:rsidRPr="003973B3">
        <w:rPr>
          <w:lang w:val="fr-CH"/>
        </w:rPr>
        <w:t xml:space="preserve"> service</w:t>
      </w:r>
      <w:r w:rsidR="008339A6" w:rsidRPr="003973B3">
        <w:rPr>
          <w:lang w:val="fr-CH"/>
        </w:rPr>
        <w:t>s</w:t>
      </w:r>
      <w:r w:rsidRPr="003973B3">
        <w:rPr>
          <w:lang w:val="fr-CH"/>
        </w:rPr>
        <w:t xml:space="preserve"> de recherche spatiale utilise</w:t>
      </w:r>
      <w:r w:rsidR="008339A6" w:rsidRPr="003973B3">
        <w:rPr>
          <w:lang w:val="fr-CH"/>
        </w:rPr>
        <w:t>nt</w:t>
      </w:r>
      <w:r w:rsidRPr="003973B3">
        <w:rPr>
          <w:lang w:val="fr-CH"/>
        </w:rPr>
        <w:t xml:space="preserve"> la bande 40,98-41,015 MHz dans le cadre d'une</w:t>
      </w:r>
      <w:r w:rsidR="0072402F" w:rsidRPr="003973B3">
        <w:rPr>
          <w:lang w:val="fr-CH"/>
        </w:rPr>
        <w:t xml:space="preserve"> attribution à titre secondaire. </w:t>
      </w:r>
      <w:r w:rsidR="008339A6" w:rsidRPr="003973B3">
        <w:rPr>
          <w:lang w:val="fr-CH"/>
        </w:rPr>
        <w:t>Des renvois relatifs à des pays figurant dans le Tableau d</w:t>
      </w:r>
      <w:r w:rsidR="00B20F1D">
        <w:rPr>
          <w:lang w:val="fr-CH"/>
        </w:rPr>
        <w:t>'</w:t>
      </w:r>
      <w:r w:rsidR="008339A6" w:rsidRPr="003973B3">
        <w:rPr>
          <w:lang w:val="fr-CH"/>
        </w:rPr>
        <w:t>attribution des bandes de fréquences prévoient des attributions à titre primaire au service de navigation aéronautique et au service de radiolocalisation dans certaines parties du monde.</w:t>
      </w:r>
      <w:r w:rsidR="0072402F" w:rsidRPr="003973B3">
        <w:rPr>
          <w:lang w:val="fr-CH"/>
        </w:rPr>
        <w:t xml:space="preserve"> </w:t>
      </w:r>
      <w:r w:rsidR="0072402F" w:rsidRPr="003973B3">
        <w:rPr>
          <w:lang w:val="fr-CH" w:eastAsia="ar-SA"/>
        </w:rPr>
        <w:t xml:space="preserve">La Recommandation ITU-R RS.2042-0 donne les caractéristiques techniques et opérationnelles types des systèmes de sondage radar spatioportés </w:t>
      </w:r>
      <w:r w:rsidR="00800724">
        <w:rPr>
          <w:lang w:val="fr-CH" w:eastAsia="ar-SA"/>
        </w:rPr>
        <w:t>fonctionnant dans</w:t>
      </w:r>
      <w:r w:rsidR="0072402F" w:rsidRPr="003973B3">
        <w:rPr>
          <w:lang w:val="fr-CH" w:eastAsia="ar-SA"/>
        </w:rPr>
        <w:t xml:space="preserve"> la bande 40-50 MHz à utiliser pour les études</w:t>
      </w:r>
      <w:r w:rsidR="003973B3" w:rsidRPr="003973B3">
        <w:rPr>
          <w:lang w:val="fr-CH" w:eastAsia="ar-SA"/>
        </w:rPr>
        <w:t xml:space="preserve"> relatives au brouillage et à la compatibilité</w:t>
      </w:r>
      <w:r w:rsidR="0072402F" w:rsidRPr="003973B3">
        <w:rPr>
          <w:lang w:val="fr-CH" w:eastAsia="ar-SA"/>
        </w:rPr>
        <w:t>.</w:t>
      </w:r>
    </w:p>
    <w:p w:rsidR="00DA709C" w:rsidRPr="003973B3" w:rsidRDefault="003973B3" w:rsidP="0048142D">
      <w:pPr>
        <w:rPr>
          <w:lang w:val="fr-CH" w:eastAsia="en-AU"/>
        </w:rPr>
      </w:pPr>
      <w:r w:rsidRPr="003973B3">
        <w:rPr>
          <w:lang w:val="fr-CH" w:eastAsia="en-AU"/>
        </w:rPr>
        <w:t>Au titre de ce point</w:t>
      </w:r>
      <w:r w:rsidR="00800724">
        <w:rPr>
          <w:lang w:val="fr-CH" w:eastAsia="en-AU"/>
        </w:rPr>
        <w:t xml:space="preserve"> à inscrire à l</w:t>
      </w:r>
      <w:r w:rsidR="00B20F1D">
        <w:rPr>
          <w:lang w:val="fr-CH" w:eastAsia="en-AU"/>
        </w:rPr>
        <w:t>'</w:t>
      </w:r>
      <w:r w:rsidR="00800724">
        <w:rPr>
          <w:lang w:val="fr-CH" w:eastAsia="en-AU"/>
        </w:rPr>
        <w:t>ordre du jour d'une</w:t>
      </w:r>
      <w:r w:rsidRPr="003973B3">
        <w:rPr>
          <w:lang w:val="fr-CH" w:eastAsia="en-AU"/>
        </w:rPr>
        <w:t xml:space="preserve"> conférence future, il est proposé d</w:t>
      </w:r>
      <w:r w:rsidR="00B20F1D">
        <w:rPr>
          <w:lang w:val="fr-CH" w:eastAsia="en-AU"/>
        </w:rPr>
        <w:t>'</w:t>
      </w:r>
      <w:r w:rsidRPr="003973B3">
        <w:rPr>
          <w:lang w:val="fr-CH" w:eastAsia="en-AU"/>
        </w:rPr>
        <w:t>étudier la compat</w:t>
      </w:r>
      <w:r w:rsidR="00800724">
        <w:rPr>
          <w:lang w:val="fr-CH" w:eastAsia="en-AU"/>
        </w:rPr>
        <w:t>ibilité entre l</w:t>
      </w:r>
      <w:r w:rsidR="00B20F1D">
        <w:rPr>
          <w:lang w:val="fr-CH" w:eastAsia="en-AU"/>
        </w:rPr>
        <w:t>'</w:t>
      </w:r>
      <w:r w:rsidR="00800724">
        <w:rPr>
          <w:lang w:val="fr-CH" w:eastAsia="en-AU"/>
        </w:rPr>
        <w:t>exploitation de</w:t>
      </w:r>
      <w:r w:rsidRPr="003973B3">
        <w:rPr>
          <w:lang w:val="fr-CH" w:eastAsia="en-AU"/>
        </w:rPr>
        <w:t xml:space="preserve"> sondeurs radar spatioportés dans la gamme de fréquences 40-50 MHz et les services existants ayant </w:t>
      </w:r>
      <w:r w:rsidR="00800724">
        <w:rPr>
          <w:lang w:val="fr-CH" w:eastAsia="en-AU"/>
        </w:rPr>
        <w:t>des</w:t>
      </w:r>
      <w:r w:rsidRPr="003973B3">
        <w:rPr>
          <w:lang w:val="fr-CH" w:eastAsia="en-AU"/>
        </w:rPr>
        <w:t xml:space="preserve"> attribution</w:t>
      </w:r>
      <w:r w:rsidR="00800724">
        <w:rPr>
          <w:lang w:val="fr-CH" w:eastAsia="en-AU"/>
        </w:rPr>
        <w:t>s</w:t>
      </w:r>
      <w:r w:rsidRPr="003973B3">
        <w:rPr>
          <w:lang w:val="fr-CH" w:eastAsia="en-AU"/>
        </w:rPr>
        <w:t xml:space="preserve"> dans cette gamme. En outre, on </w:t>
      </w:r>
      <w:r w:rsidR="00800724">
        <w:rPr>
          <w:lang w:val="fr-CH" w:eastAsia="en-AU"/>
        </w:rPr>
        <w:t>examinerait</w:t>
      </w:r>
      <w:r w:rsidRPr="003973B3">
        <w:rPr>
          <w:lang w:val="fr-CH" w:eastAsia="en-AU"/>
        </w:rPr>
        <w:t xml:space="preserve"> la possibilité de modifier le Tableau d</w:t>
      </w:r>
      <w:r w:rsidR="00B20F1D">
        <w:rPr>
          <w:lang w:val="fr-CH" w:eastAsia="en-AU"/>
        </w:rPr>
        <w:t>'</w:t>
      </w:r>
      <w:r w:rsidRPr="003973B3">
        <w:rPr>
          <w:lang w:val="fr-CH" w:eastAsia="en-AU"/>
        </w:rPr>
        <w:t>attribution des bandes de fréquences afin d</w:t>
      </w:r>
      <w:r w:rsidR="00B20F1D">
        <w:rPr>
          <w:lang w:val="fr-CH" w:eastAsia="en-AU"/>
        </w:rPr>
        <w:t>'</w:t>
      </w:r>
      <w:r w:rsidRPr="003973B3">
        <w:rPr>
          <w:lang w:val="fr-CH" w:eastAsia="en-AU"/>
        </w:rPr>
        <w:t>y faire figurer une attribution au service d</w:t>
      </w:r>
      <w:r w:rsidR="00B20F1D">
        <w:rPr>
          <w:lang w:val="fr-CH" w:eastAsia="en-AU"/>
        </w:rPr>
        <w:t>'</w:t>
      </w:r>
      <w:r w:rsidRPr="003973B3">
        <w:rPr>
          <w:lang w:val="fr-CH" w:eastAsia="en-AU"/>
        </w:rPr>
        <w:t>exploration de la Terre par satellite (active).</w:t>
      </w:r>
      <w:r>
        <w:rPr>
          <w:lang w:val="fr-CH" w:eastAsia="en-AU"/>
        </w:rPr>
        <w:t xml:space="preserve"> Cette attribution permettrait l</w:t>
      </w:r>
      <w:r w:rsidR="00B20F1D">
        <w:rPr>
          <w:lang w:val="fr-CH" w:eastAsia="en-AU"/>
        </w:rPr>
        <w:t>'</w:t>
      </w:r>
      <w:r>
        <w:rPr>
          <w:lang w:val="fr-CH" w:eastAsia="en-AU"/>
        </w:rPr>
        <w:t>exploitation de systèmes de sondage radar spatioportés dans la gamme de fréquences 40-50 MHz.</w:t>
      </w:r>
    </w:p>
    <w:p w:rsidR="00DA709C" w:rsidRPr="003973B3" w:rsidRDefault="00DA709C" w:rsidP="0048142D">
      <w:pPr>
        <w:pStyle w:val="Headingb"/>
        <w:rPr>
          <w:lang w:val="fr-CH"/>
        </w:rPr>
      </w:pPr>
      <w:r w:rsidRPr="003973B3">
        <w:rPr>
          <w:lang w:val="fr-CH"/>
        </w:rPr>
        <w:t>Propositions</w:t>
      </w:r>
    </w:p>
    <w:p w:rsidR="003A583E" w:rsidRPr="003973B3" w:rsidRDefault="003A583E" w:rsidP="0048142D">
      <w:pPr>
        <w:rPr>
          <w:lang w:val="fr-CH"/>
        </w:rPr>
      </w:pPr>
    </w:p>
    <w:p w:rsidR="00C5071B" w:rsidRPr="003973B3" w:rsidRDefault="00BE3489" w:rsidP="0048142D">
      <w:pPr>
        <w:pStyle w:val="Proposal"/>
        <w:rPr>
          <w:lang w:val="fr-CH"/>
        </w:rPr>
      </w:pPr>
      <w:r w:rsidRPr="003973B3">
        <w:rPr>
          <w:lang w:val="fr-CH"/>
        </w:rPr>
        <w:t>ADD</w:t>
      </w:r>
      <w:r w:rsidRPr="003973B3">
        <w:rPr>
          <w:lang w:val="fr-CH"/>
        </w:rPr>
        <w:tab/>
        <w:t>IAP/7A24A7/1</w:t>
      </w:r>
    </w:p>
    <w:p w:rsidR="00C5071B" w:rsidRPr="003973B3" w:rsidRDefault="00BE3489" w:rsidP="0048142D">
      <w:pPr>
        <w:pStyle w:val="ResNo"/>
        <w:rPr>
          <w:lang w:val="fr-CH"/>
        </w:rPr>
      </w:pPr>
      <w:r w:rsidRPr="003973B3">
        <w:rPr>
          <w:lang w:val="fr-CH"/>
        </w:rPr>
        <w:t>Projet de nouvelle Résolution [IAP-</w:t>
      </w:r>
      <w:r w:rsidR="00DA709C" w:rsidRPr="003973B3">
        <w:rPr>
          <w:lang w:val="fr-CH"/>
        </w:rPr>
        <w:t>10G-2023</w:t>
      </w:r>
      <w:r w:rsidRPr="003973B3">
        <w:rPr>
          <w:lang w:val="fr-CH"/>
        </w:rPr>
        <w:t>]</w:t>
      </w:r>
      <w:r w:rsidR="002442C0" w:rsidRPr="003973B3">
        <w:rPr>
          <w:lang w:val="fr-CH"/>
        </w:rPr>
        <w:t xml:space="preserve"> (CMR</w:t>
      </w:r>
      <w:r w:rsidR="00DA709C" w:rsidRPr="003973B3">
        <w:rPr>
          <w:lang w:val="fr-CH"/>
        </w:rPr>
        <w:t>-15)</w:t>
      </w:r>
    </w:p>
    <w:p w:rsidR="002442C0" w:rsidRPr="003973B3" w:rsidRDefault="002442C0" w:rsidP="0048142D">
      <w:pPr>
        <w:pStyle w:val="Restitle"/>
        <w:rPr>
          <w:lang w:val="fr-CH"/>
        </w:rPr>
      </w:pPr>
      <w:r w:rsidRPr="003973B3">
        <w:rPr>
          <w:lang w:val="fr-CH"/>
        </w:rPr>
        <w:t>Ordre du jour préliminaire de la Conférence mondiale</w:t>
      </w:r>
      <w:r w:rsidRPr="003973B3">
        <w:rPr>
          <w:lang w:val="fr-CH"/>
        </w:rPr>
        <w:br/>
        <w:t>des radiocommunications de 2023</w:t>
      </w:r>
    </w:p>
    <w:p w:rsidR="002442C0" w:rsidRPr="003973B3" w:rsidRDefault="002442C0" w:rsidP="0048142D">
      <w:pPr>
        <w:pStyle w:val="Normalaftertitle0"/>
        <w:rPr>
          <w:lang w:val="fr-CH"/>
        </w:rPr>
      </w:pPr>
      <w:r w:rsidRPr="003973B3">
        <w:rPr>
          <w:lang w:val="fr-CH"/>
        </w:rPr>
        <w:t>La Conférence mondiale des radiocommunications (Genève, 2015),</w:t>
      </w:r>
    </w:p>
    <w:p w:rsidR="002442C0" w:rsidRPr="003973B3" w:rsidRDefault="002442C0" w:rsidP="0048142D">
      <w:pPr>
        <w:pStyle w:val="Call"/>
        <w:rPr>
          <w:lang w:val="fr-CH"/>
        </w:rPr>
      </w:pPr>
      <w:r w:rsidRPr="003973B3">
        <w:rPr>
          <w:lang w:val="fr-CH"/>
        </w:rPr>
        <w:t>considérant</w:t>
      </w:r>
    </w:p>
    <w:p w:rsidR="002442C0" w:rsidRPr="003973B3" w:rsidRDefault="002442C0" w:rsidP="0048142D">
      <w:pPr>
        <w:rPr>
          <w:lang w:val="fr-CH"/>
        </w:rPr>
      </w:pPr>
      <w:r w:rsidRPr="003973B3">
        <w:rPr>
          <w:i/>
          <w:iCs/>
          <w:lang w:val="fr-CH"/>
        </w:rPr>
        <w:t>a)</w:t>
      </w:r>
      <w:r w:rsidRPr="003973B3">
        <w:rPr>
          <w:lang w:val="fr-CH"/>
        </w:rPr>
        <w:tab/>
        <w:t>que, conformément au numéro 118 de la Convention de l'UIT, le cadre général de l'ordre du jour de la CMR</w:t>
      </w:r>
      <w:r w:rsidRPr="003973B3">
        <w:rPr>
          <w:lang w:val="fr-CH"/>
        </w:rPr>
        <w:noBreakHyphen/>
        <w:t>18 devrait être fixé quatre à six ans à l'avance;</w:t>
      </w:r>
    </w:p>
    <w:p w:rsidR="002442C0" w:rsidRPr="003973B3" w:rsidRDefault="002442C0" w:rsidP="0048142D">
      <w:pPr>
        <w:rPr>
          <w:lang w:val="fr-CH"/>
        </w:rPr>
      </w:pPr>
      <w:r w:rsidRPr="003973B3">
        <w:rPr>
          <w:i/>
          <w:iCs/>
          <w:lang w:val="fr-CH"/>
        </w:rPr>
        <w:t>b)</w:t>
      </w:r>
      <w:r w:rsidRPr="003973B3">
        <w:rPr>
          <w:lang w:val="fr-CH"/>
        </w:rPr>
        <w:tab/>
        <w:t>l'article 13 de la Constitution de l'UIT concernant la compétence et la fréquence des conférences mondiales des radiocommunications et l'article 7 de la Convention relatif à leur ordre du jour;</w:t>
      </w:r>
    </w:p>
    <w:p w:rsidR="002442C0" w:rsidRPr="003973B3" w:rsidRDefault="002442C0" w:rsidP="0048142D">
      <w:pPr>
        <w:rPr>
          <w:lang w:val="fr-CH"/>
        </w:rPr>
      </w:pPr>
      <w:r w:rsidRPr="003973B3">
        <w:rPr>
          <w:i/>
          <w:iCs/>
          <w:lang w:val="fr-CH"/>
        </w:rPr>
        <w:t>c)</w:t>
      </w:r>
      <w:r w:rsidRPr="003973B3">
        <w:rPr>
          <w:lang w:val="fr-CH"/>
        </w:rPr>
        <w:tab/>
        <w:t>les résolutions et recommandations pertinentes des conférences administratives mondiales des radiocommunications (CAMR) et des conférences mondiales des radiocommunications (CMR) précédentes,</w:t>
      </w:r>
    </w:p>
    <w:p w:rsidR="002442C0" w:rsidRPr="003973B3" w:rsidRDefault="002442C0" w:rsidP="0048142D">
      <w:pPr>
        <w:pStyle w:val="Call"/>
        <w:rPr>
          <w:lang w:val="fr-CH"/>
        </w:rPr>
      </w:pPr>
      <w:r w:rsidRPr="003973B3">
        <w:rPr>
          <w:lang w:val="fr-CH"/>
        </w:rPr>
        <w:t>décide de formuler l'avis suivant</w:t>
      </w:r>
    </w:p>
    <w:p w:rsidR="002442C0" w:rsidRPr="003973B3" w:rsidRDefault="002442C0" w:rsidP="0048142D">
      <w:pPr>
        <w:rPr>
          <w:lang w:val="fr-CH"/>
        </w:rPr>
      </w:pPr>
      <w:r w:rsidRPr="003973B3">
        <w:rPr>
          <w:lang w:val="fr-CH"/>
        </w:rPr>
        <w:t>les points ci-après devraient être inscrits à l'ordre d</w:t>
      </w:r>
      <w:r w:rsidR="00C3417A" w:rsidRPr="003973B3">
        <w:rPr>
          <w:lang w:val="fr-CH"/>
        </w:rPr>
        <w:t>u jour préliminaire de la CMR</w:t>
      </w:r>
      <w:r w:rsidR="00C3417A" w:rsidRPr="003973B3">
        <w:rPr>
          <w:lang w:val="fr-CH"/>
        </w:rPr>
        <w:noBreakHyphen/>
        <w:t>23</w:t>
      </w:r>
      <w:r w:rsidRPr="003973B3">
        <w:rPr>
          <w:lang w:val="fr-CH"/>
        </w:rPr>
        <w:t>:</w:t>
      </w:r>
    </w:p>
    <w:p w:rsidR="002442C0" w:rsidRPr="003973B3" w:rsidRDefault="002442C0" w:rsidP="0048142D">
      <w:pPr>
        <w:rPr>
          <w:lang w:val="fr-CH"/>
        </w:rPr>
      </w:pPr>
      <w:r w:rsidRPr="003973B3">
        <w:rPr>
          <w:lang w:val="fr-CH"/>
        </w:rPr>
        <w:t>1</w:t>
      </w:r>
      <w:r w:rsidRPr="003973B3">
        <w:rPr>
          <w:lang w:val="fr-CH"/>
        </w:rPr>
        <w:tab/>
        <w:t>prendre les mesures appropriées en ce qui concerne les questions urgentes dont l'examen a été expressément demandé par la CMR</w:t>
      </w:r>
      <w:r w:rsidRPr="003973B3">
        <w:rPr>
          <w:lang w:val="fr-CH"/>
        </w:rPr>
        <w:noBreakHyphen/>
        <w:t>1</w:t>
      </w:r>
      <w:r w:rsidR="00C3417A" w:rsidRPr="003973B3">
        <w:rPr>
          <w:lang w:val="fr-CH"/>
        </w:rPr>
        <w:t>9</w:t>
      </w:r>
      <w:r w:rsidRPr="003973B3">
        <w:rPr>
          <w:lang w:val="fr-CH"/>
        </w:rPr>
        <w:t>;</w:t>
      </w:r>
    </w:p>
    <w:p w:rsidR="002442C0" w:rsidRPr="003973B3" w:rsidRDefault="002442C0" w:rsidP="0048142D">
      <w:pPr>
        <w:rPr>
          <w:lang w:val="fr-CH"/>
        </w:rPr>
      </w:pPr>
      <w:r w:rsidRPr="003973B3">
        <w:rPr>
          <w:lang w:val="fr-CH"/>
        </w:rPr>
        <w:t>2</w:t>
      </w:r>
      <w:r w:rsidRPr="003973B3">
        <w:rPr>
          <w:lang w:val="fr-CH"/>
        </w:rPr>
        <w:tab/>
        <w:t>sur la base des propositions des administrations et du Rapport de la Réunion de préparation à la Conférence et compte tenu des résultats de la CMR-1</w:t>
      </w:r>
      <w:r w:rsidR="00C3417A" w:rsidRPr="003973B3">
        <w:rPr>
          <w:lang w:val="fr-CH"/>
        </w:rPr>
        <w:t>9</w:t>
      </w:r>
      <w:r w:rsidRPr="003973B3">
        <w:rPr>
          <w:lang w:val="fr-CH"/>
        </w:rPr>
        <w:t>, examiner les points suivants et prendre les mesures appropriées:</w:t>
      </w:r>
    </w:p>
    <w:p w:rsidR="00C3417A" w:rsidRPr="003973B3" w:rsidRDefault="00C3417A" w:rsidP="0048142D">
      <w:pPr>
        <w:rPr>
          <w:szCs w:val="24"/>
          <w:lang w:val="fr-CH"/>
        </w:rPr>
      </w:pPr>
      <w:r w:rsidRPr="003973B3">
        <w:rPr>
          <w:bCs/>
          <w:szCs w:val="24"/>
          <w:lang w:val="fr-CH"/>
        </w:rPr>
        <w:t>2.[40-50]</w:t>
      </w:r>
      <w:r w:rsidRPr="003973B3">
        <w:rPr>
          <w:b/>
          <w:szCs w:val="24"/>
          <w:lang w:val="fr-CH"/>
        </w:rPr>
        <w:tab/>
      </w:r>
      <w:r w:rsidR="005E7A2B" w:rsidRPr="005E7A2B">
        <w:rPr>
          <w:bCs/>
          <w:szCs w:val="24"/>
          <w:lang w:val="fr-CH"/>
        </w:rPr>
        <w:t>examiner le Tableau d</w:t>
      </w:r>
      <w:r w:rsidR="00B20F1D">
        <w:rPr>
          <w:bCs/>
          <w:szCs w:val="24"/>
          <w:lang w:val="fr-CH"/>
        </w:rPr>
        <w:t>'</w:t>
      </w:r>
      <w:r w:rsidR="005E7A2B" w:rsidRPr="005E7A2B">
        <w:rPr>
          <w:bCs/>
          <w:szCs w:val="24"/>
          <w:lang w:val="fr-CH"/>
        </w:rPr>
        <w:t>attribution des bandes de fréquences</w:t>
      </w:r>
      <w:r w:rsidR="005E7A2B">
        <w:rPr>
          <w:bCs/>
          <w:szCs w:val="24"/>
          <w:lang w:val="fr-CH"/>
        </w:rPr>
        <w:t xml:space="preserve"> en vue d</w:t>
      </w:r>
      <w:r w:rsidR="00B20F1D">
        <w:rPr>
          <w:bCs/>
          <w:szCs w:val="24"/>
          <w:lang w:val="fr-CH"/>
        </w:rPr>
        <w:t>'</w:t>
      </w:r>
      <w:r w:rsidR="005E7A2B">
        <w:rPr>
          <w:bCs/>
          <w:szCs w:val="24"/>
          <w:lang w:val="fr-CH"/>
        </w:rPr>
        <w:t>y apporter des modifications pour permettre une attribution au service d</w:t>
      </w:r>
      <w:r w:rsidR="00B20F1D">
        <w:rPr>
          <w:bCs/>
          <w:szCs w:val="24"/>
          <w:lang w:val="fr-CH"/>
        </w:rPr>
        <w:t>'</w:t>
      </w:r>
      <w:r w:rsidR="005E7A2B">
        <w:rPr>
          <w:bCs/>
          <w:szCs w:val="24"/>
          <w:lang w:val="fr-CH"/>
        </w:rPr>
        <w:t xml:space="preserve">exploration de la Terre par satellite </w:t>
      </w:r>
      <w:r w:rsidR="005E7A2B">
        <w:rPr>
          <w:bCs/>
          <w:szCs w:val="24"/>
          <w:lang w:val="fr-CH"/>
        </w:rPr>
        <w:lastRenderedPageBreak/>
        <w:t>(active) dans la gamme de fréquences 40-50 MHz, conformément à la Résolution</w:t>
      </w:r>
      <w:r w:rsidRPr="003973B3">
        <w:rPr>
          <w:b/>
          <w:bCs/>
          <w:szCs w:val="24"/>
          <w:lang w:val="fr-CH"/>
        </w:rPr>
        <w:t xml:space="preserve"> [IAP</w:t>
      </w:r>
      <w:r w:rsidRPr="003973B3">
        <w:rPr>
          <w:b/>
          <w:bCs/>
          <w:szCs w:val="24"/>
          <w:lang w:val="fr-CH"/>
        </w:rPr>
        <w:noBreakHyphen/>
        <w:t>10G-40-50</w:t>
      </w:r>
      <w:r w:rsidRPr="003973B3">
        <w:rPr>
          <w:szCs w:val="24"/>
          <w:lang w:val="fr-CH"/>
        </w:rPr>
        <w:t xml:space="preserve">] </w:t>
      </w:r>
      <w:r w:rsidR="00ED546C">
        <w:rPr>
          <w:b/>
          <w:bCs/>
          <w:szCs w:val="24"/>
          <w:lang w:val="fr-CH"/>
        </w:rPr>
        <w:t>(</w:t>
      </w:r>
      <w:r w:rsidRPr="003973B3">
        <w:rPr>
          <w:b/>
          <w:bCs/>
          <w:szCs w:val="24"/>
          <w:lang w:val="fr-CH"/>
        </w:rPr>
        <w:t>C</w:t>
      </w:r>
      <w:r w:rsidR="00ED546C">
        <w:rPr>
          <w:b/>
          <w:bCs/>
          <w:szCs w:val="24"/>
          <w:lang w:val="fr-CH"/>
        </w:rPr>
        <w:t>MR</w:t>
      </w:r>
      <w:r w:rsidRPr="003973B3">
        <w:rPr>
          <w:b/>
          <w:bCs/>
          <w:szCs w:val="24"/>
          <w:lang w:val="fr-CH"/>
        </w:rPr>
        <w:noBreakHyphen/>
        <w:t>15)</w:t>
      </w:r>
      <w:r w:rsidRPr="003973B3">
        <w:rPr>
          <w:szCs w:val="24"/>
          <w:lang w:val="fr-CH"/>
        </w:rPr>
        <w:t>;</w:t>
      </w:r>
    </w:p>
    <w:p w:rsidR="00C3417A" w:rsidRPr="003973B3" w:rsidRDefault="00C3417A" w:rsidP="0048142D">
      <w:pPr>
        <w:rPr>
          <w:lang w:val="fr-CH"/>
        </w:rPr>
      </w:pPr>
      <w:r w:rsidRPr="003973B3">
        <w:rPr>
          <w:lang w:val="fr-CH"/>
        </w:rPr>
        <w:t>3</w:t>
      </w:r>
      <w:r w:rsidRPr="003973B3">
        <w:rPr>
          <w:lang w:val="fr-CH"/>
        </w:rPr>
        <w:tab/>
        <w:t xml:space="preserve">examiner les Recommandations UIT-R révisées et incorporées par référence dans le Règlement des radiocommunications, communiquées par l'Assemblée des radiocommunications, conformément à la Résolution </w:t>
      </w:r>
      <w:r w:rsidRPr="003973B3">
        <w:rPr>
          <w:b/>
          <w:bCs/>
          <w:lang w:val="fr-CH"/>
        </w:rPr>
        <w:t>28 (Rév.CMR-03)</w:t>
      </w:r>
      <w:r w:rsidRPr="003973B3">
        <w:rPr>
          <w:lang w:val="fr-CH"/>
        </w:rPr>
        <w:t>, et décider s'il convient ou non de mettre à jour les références correspondantes dans le Règlement des radiocommunications, conformément aux principes énoncés dans l'Annexe 1 de la Résolution </w:t>
      </w:r>
      <w:r w:rsidRPr="003973B3">
        <w:rPr>
          <w:b/>
          <w:bCs/>
          <w:lang w:val="fr-CH"/>
        </w:rPr>
        <w:t>27 (Rév.CMR</w:t>
      </w:r>
      <w:r w:rsidRPr="003973B3">
        <w:rPr>
          <w:b/>
          <w:bCs/>
          <w:lang w:val="fr-CH"/>
        </w:rPr>
        <w:noBreakHyphen/>
        <w:t>12)</w:t>
      </w:r>
      <w:r w:rsidRPr="003973B3">
        <w:rPr>
          <w:lang w:val="fr-CH"/>
        </w:rPr>
        <w:t>;</w:t>
      </w:r>
    </w:p>
    <w:p w:rsidR="00C3417A" w:rsidRPr="003973B3" w:rsidRDefault="00C3417A" w:rsidP="0048142D">
      <w:pPr>
        <w:rPr>
          <w:lang w:val="fr-CH"/>
        </w:rPr>
      </w:pPr>
      <w:r w:rsidRPr="003973B3">
        <w:rPr>
          <w:lang w:val="fr-CH"/>
        </w:rPr>
        <w:t>4</w:t>
      </w:r>
      <w:r w:rsidRPr="003973B3">
        <w:rPr>
          <w:lang w:val="fr-CH"/>
        </w:rPr>
        <w:tab/>
        <w:t>examiner les modifications et amendements à apporter éventuellement au Règlement des radiocommunications à la suite des décisions prises par la Conférence;</w:t>
      </w:r>
    </w:p>
    <w:p w:rsidR="00C3417A" w:rsidRPr="003973B3" w:rsidRDefault="00C3417A" w:rsidP="0048142D">
      <w:pPr>
        <w:rPr>
          <w:lang w:val="fr-CH"/>
        </w:rPr>
      </w:pPr>
      <w:r w:rsidRPr="003973B3">
        <w:rPr>
          <w:lang w:val="fr-CH"/>
        </w:rPr>
        <w:t>5</w:t>
      </w:r>
      <w:r w:rsidRPr="003973B3">
        <w:rPr>
          <w:lang w:val="fr-CH"/>
        </w:rPr>
        <w:tab/>
        <w:t xml:space="preserve">conformément à la Résolution </w:t>
      </w:r>
      <w:r w:rsidRPr="003973B3">
        <w:rPr>
          <w:b/>
          <w:bCs/>
          <w:lang w:val="fr-CH"/>
        </w:rPr>
        <w:t>95 (Rév.CMR-07)</w:t>
      </w:r>
      <w:r w:rsidRPr="003973B3">
        <w:rPr>
          <w:lang w:val="fr-CH"/>
        </w:rPr>
        <w:t>, examiner les résolutions et recommandations des conférences précédentes en vue, le cas échéant, de les réviser, de les remplacer ou de les supprimer;</w:t>
      </w:r>
    </w:p>
    <w:p w:rsidR="00C3417A" w:rsidRPr="003973B3" w:rsidRDefault="00C3417A" w:rsidP="0048142D">
      <w:pPr>
        <w:rPr>
          <w:lang w:val="fr-CH"/>
        </w:rPr>
      </w:pPr>
      <w:r w:rsidRPr="003973B3">
        <w:rPr>
          <w:lang w:val="fr-CH"/>
        </w:rPr>
        <w:t>6</w:t>
      </w:r>
      <w:r w:rsidRPr="003973B3">
        <w:rPr>
          <w:lang w:val="fr-CH"/>
        </w:rPr>
        <w:tab/>
        <w:t>examiner le Rapport de l'Assemblée des radiocommunications soumis conformément aux numéros 135 et 136 de la Convention et lui donner la suite voulue;</w:t>
      </w:r>
    </w:p>
    <w:p w:rsidR="00C3417A" w:rsidRPr="003973B3" w:rsidRDefault="00C3417A" w:rsidP="0048142D">
      <w:pPr>
        <w:rPr>
          <w:lang w:val="fr-CH"/>
        </w:rPr>
      </w:pPr>
      <w:r w:rsidRPr="003973B3">
        <w:rPr>
          <w:lang w:val="fr-CH"/>
        </w:rPr>
        <w:t>7</w:t>
      </w:r>
      <w:r w:rsidRPr="003973B3">
        <w:rPr>
          <w:lang w:val="fr-CH"/>
        </w:rPr>
        <w:tab/>
        <w:t>identifier les points au sujet desquels les commissions d'études des radiocommunications doivent d'urgence prendre des mesures;</w:t>
      </w:r>
    </w:p>
    <w:p w:rsidR="00C3417A" w:rsidRPr="003973B3" w:rsidRDefault="00C3417A" w:rsidP="0048142D">
      <w:pPr>
        <w:rPr>
          <w:lang w:val="fr-CH"/>
        </w:rPr>
      </w:pPr>
      <w:r w:rsidRPr="003973B3">
        <w:rPr>
          <w:lang w:val="fr-CH"/>
        </w:rPr>
        <w:t>8</w:t>
      </w:r>
      <w:r w:rsidRPr="003973B3">
        <w:rPr>
          <w:lang w:val="fr-CH"/>
        </w:rPr>
        <w:tab/>
        <w:t xml:space="preserve">examiner d'éventuels changements à apporter, et d'autres options à mettre en </w:t>
      </w:r>
      <w:r w:rsidR="0048142D" w:rsidRPr="003973B3">
        <w:rPr>
          <w:lang w:val="fr-CH"/>
        </w:rPr>
        <w:t>œuvre</w:t>
      </w:r>
      <w:r w:rsidRPr="003973B3">
        <w:rPr>
          <w:lang w:val="fr-CH"/>
        </w:rPr>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3973B3">
        <w:rPr>
          <w:b/>
          <w:bCs/>
          <w:lang w:val="fr-CH"/>
        </w:rPr>
        <w:t>86 (Rév.CMR-07)</w:t>
      </w:r>
      <w:r w:rsidRPr="003973B3">
        <w:rPr>
          <w:lang w:val="fr-CH"/>
        </w:rPr>
        <w:t>, pour faciliter l'utilisation rationnelle, efficace et économique des fréquences radioélectriques et des orbites associées, y compris l'orbite des satellites géostationnaires;</w:t>
      </w:r>
    </w:p>
    <w:p w:rsidR="00C3417A" w:rsidRPr="003973B3" w:rsidRDefault="00C3417A" w:rsidP="0048142D">
      <w:pPr>
        <w:rPr>
          <w:lang w:val="fr-CH"/>
        </w:rPr>
      </w:pPr>
      <w:r w:rsidRPr="003973B3">
        <w:rPr>
          <w:lang w:val="fr-CH"/>
        </w:rPr>
        <w:t>9</w:t>
      </w:r>
      <w:r w:rsidRPr="003973B3">
        <w:rPr>
          <w:lang w:val="fr-CH"/>
        </w:rPr>
        <w:tab/>
        <w:t xml:space="preserve">examiner les demandes des administrations qui souhaitent supprimer des renvois relatifs à leur pays ou le nom de leur pays de certains renvois, s'ils ne sont plus nécessaires, compte tenu de la Résolution </w:t>
      </w:r>
      <w:r w:rsidRPr="003973B3">
        <w:rPr>
          <w:b/>
          <w:bCs/>
          <w:lang w:val="fr-CH"/>
        </w:rPr>
        <w:t>26 (Rév.CMR-07)</w:t>
      </w:r>
      <w:r w:rsidRPr="003973B3">
        <w:rPr>
          <w:lang w:val="fr-CH"/>
        </w:rPr>
        <w:t>, et prendre les mesures voulues à ce sujet;</w:t>
      </w:r>
    </w:p>
    <w:p w:rsidR="00C3417A" w:rsidRPr="003973B3" w:rsidRDefault="00C3417A" w:rsidP="0048142D">
      <w:pPr>
        <w:rPr>
          <w:lang w:val="fr-CH"/>
        </w:rPr>
      </w:pPr>
      <w:r w:rsidRPr="003973B3">
        <w:rPr>
          <w:lang w:val="fr-CH"/>
        </w:rPr>
        <w:t>10</w:t>
      </w:r>
      <w:r w:rsidRPr="003973B3">
        <w:rPr>
          <w:lang w:val="fr-CH"/>
        </w:rPr>
        <w:tab/>
        <w:t>examiner et approuver le Rapport du Directeur du Bureau des radiocommunications, conformément à l'article 7 de la Convention:</w:t>
      </w:r>
    </w:p>
    <w:p w:rsidR="00C3417A" w:rsidRPr="003973B3" w:rsidRDefault="00C3417A" w:rsidP="0048142D">
      <w:pPr>
        <w:rPr>
          <w:lang w:val="fr-CH"/>
        </w:rPr>
      </w:pPr>
      <w:r w:rsidRPr="003973B3">
        <w:rPr>
          <w:lang w:val="fr-CH"/>
        </w:rPr>
        <w:t>10.1</w:t>
      </w:r>
      <w:r w:rsidRPr="003973B3">
        <w:rPr>
          <w:lang w:val="fr-CH"/>
        </w:rPr>
        <w:tab/>
        <w:t>sur les activités du Secteur des radiocommunications depuis la CMR</w:t>
      </w:r>
      <w:r w:rsidRPr="003973B3">
        <w:rPr>
          <w:lang w:val="fr-CH"/>
        </w:rPr>
        <w:noBreakHyphen/>
        <w:t>19;</w:t>
      </w:r>
    </w:p>
    <w:p w:rsidR="00C3417A" w:rsidRPr="003973B3" w:rsidRDefault="00C3417A" w:rsidP="0048142D">
      <w:pPr>
        <w:rPr>
          <w:lang w:val="fr-CH"/>
        </w:rPr>
      </w:pPr>
      <w:r w:rsidRPr="003973B3">
        <w:rPr>
          <w:lang w:val="fr-CH"/>
        </w:rPr>
        <w:t>10.2</w:t>
      </w:r>
      <w:r w:rsidRPr="003973B3">
        <w:rPr>
          <w:lang w:val="fr-CH"/>
        </w:rPr>
        <w:tab/>
        <w:t>sur les difficultés rencontrées ou les incohérences constatées dans l'application du Règlement des radiocommunications; et</w:t>
      </w:r>
    </w:p>
    <w:p w:rsidR="00C3417A" w:rsidRPr="003973B3" w:rsidRDefault="00C3417A" w:rsidP="0048142D">
      <w:pPr>
        <w:rPr>
          <w:lang w:val="fr-CH"/>
        </w:rPr>
      </w:pPr>
      <w:r w:rsidRPr="003973B3">
        <w:rPr>
          <w:lang w:val="fr-CH"/>
        </w:rPr>
        <w:t>10.3</w:t>
      </w:r>
      <w:r w:rsidRPr="003973B3">
        <w:rPr>
          <w:lang w:val="fr-CH"/>
        </w:rPr>
        <w:tab/>
        <w:t xml:space="preserve">sur la suite donnée à la Résolution </w:t>
      </w:r>
      <w:r w:rsidRPr="003973B3">
        <w:rPr>
          <w:b/>
          <w:bCs/>
          <w:lang w:val="fr-CH"/>
        </w:rPr>
        <w:t>80 (Rév.CMR-07)</w:t>
      </w:r>
      <w:r w:rsidRPr="003973B3">
        <w:rPr>
          <w:lang w:val="fr-CH"/>
        </w:rPr>
        <w:t>;</w:t>
      </w:r>
    </w:p>
    <w:p w:rsidR="00C3417A" w:rsidRPr="003973B3" w:rsidRDefault="00C3417A" w:rsidP="0048142D">
      <w:pPr>
        <w:rPr>
          <w:lang w:val="fr-CH"/>
        </w:rPr>
      </w:pPr>
      <w:r w:rsidRPr="003973B3">
        <w:rPr>
          <w:lang w:val="fr-CH"/>
        </w:rPr>
        <w:t>11</w:t>
      </w:r>
      <w:r w:rsidRPr="003973B3">
        <w:rPr>
          <w:lang w:val="fr-CH"/>
        </w:rPr>
        <w:tab/>
        <w:t>recommander au Conseil des points à inscrire à l'ordre du jour de la CMR suivante, conformément à l'article 7 de la Convention,</w:t>
      </w:r>
    </w:p>
    <w:p w:rsidR="00C3417A" w:rsidRPr="003973B3" w:rsidRDefault="00C3417A" w:rsidP="0048142D">
      <w:pPr>
        <w:pStyle w:val="Call"/>
        <w:rPr>
          <w:lang w:val="fr-CH"/>
        </w:rPr>
      </w:pPr>
      <w:r w:rsidRPr="003973B3">
        <w:rPr>
          <w:lang w:val="fr-CH"/>
        </w:rPr>
        <w:t>invite le Conseil</w:t>
      </w:r>
    </w:p>
    <w:p w:rsidR="00C3417A" w:rsidRPr="003973B3" w:rsidRDefault="00C3417A" w:rsidP="0048142D">
      <w:pPr>
        <w:rPr>
          <w:lang w:val="fr-CH"/>
        </w:rPr>
      </w:pPr>
      <w:r w:rsidRPr="003973B3">
        <w:rPr>
          <w:lang w:val="fr-CH"/>
        </w:rPr>
        <w:t>à examiner les avis formulés dans la présente Résolution,</w:t>
      </w:r>
    </w:p>
    <w:p w:rsidR="00C3417A" w:rsidRPr="003973B3" w:rsidRDefault="00C3417A" w:rsidP="0048142D">
      <w:pPr>
        <w:pStyle w:val="Call"/>
        <w:rPr>
          <w:lang w:val="fr-CH"/>
        </w:rPr>
      </w:pPr>
      <w:r w:rsidRPr="003973B3">
        <w:rPr>
          <w:lang w:val="fr-CH"/>
        </w:rPr>
        <w:t>charge le Directeur du Bureau des radiocommunications</w:t>
      </w:r>
    </w:p>
    <w:p w:rsidR="00C3417A" w:rsidRPr="003973B3" w:rsidRDefault="00C3417A" w:rsidP="0048142D">
      <w:pPr>
        <w:rPr>
          <w:lang w:val="fr-CH"/>
        </w:rPr>
      </w:pPr>
      <w:r w:rsidRPr="003973B3">
        <w:rPr>
          <w:lang w:val="fr-CH"/>
        </w:rPr>
        <w:t>de prendre les dispositions voulues pour la convocation des sessions de la Réunion de préparation à la Conférence et de préparer un Rapport à l'intention de la CMR</w:t>
      </w:r>
      <w:r w:rsidRPr="003973B3">
        <w:rPr>
          <w:lang w:val="fr-CH"/>
        </w:rPr>
        <w:noBreakHyphen/>
        <w:t>23,</w:t>
      </w:r>
    </w:p>
    <w:p w:rsidR="00C3417A" w:rsidRPr="003973B3" w:rsidRDefault="00C3417A" w:rsidP="0048142D">
      <w:pPr>
        <w:pStyle w:val="Call"/>
        <w:rPr>
          <w:lang w:val="fr-CH"/>
        </w:rPr>
      </w:pPr>
      <w:r w:rsidRPr="003973B3">
        <w:rPr>
          <w:lang w:val="fr-CH"/>
        </w:rPr>
        <w:t>charge le Secrétaire général</w:t>
      </w:r>
    </w:p>
    <w:p w:rsidR="00C3417A" w:rsidRPr="003973B3" w:rsidRDefault="00C3417A" w:rsidP="0048142D">
      <w:pPr>
        <w:rPr>
          <w:lang w:val="fr-CH"/>
        </w:rPr>
      </w:pPr>
      <w:r w:rsidRPr="003973B3">
        <w:rPr>
          <w:lang w:val="fr-CH"/>
        </w:rPr>
        <w:t>de communiquer la présente Résolution aux organisations internationales et régionales concernées.</w:t>
      </w:r>
    </w:p>
    <w:p w:rsidR="00C5071B" w:rsidRPr="003973B3" w:rsidRDefault="00BE3489" w:rsidP="0048142D">
      <w:pPr>
        <w:pStyle w:val="Reasons"/>
        <w:rPr>
          <w:lang w:val="fr-CH"/>
        </w:rPr>
      </w:pPr>
      <w:r w:rsidRPr="003973B3">
        <w:rPr>
          <w:b/>
          <w:lang w:val="fr-CH"/>
        </w:rPr>
        <w:t>Motifs:</w:t>
      </w:r>
      <w:r w:rsidRPr="003973B3">
        <w:rPr>
          <w:lang w:val="fr-CH"/>
        </w:rPr>
        <w:tab/>
      </w:r>
      <w:r w:rsidR="0074319B">
        <w:rPr>
          <w:lang w:val="fr-CH"/>
        </w:rPr>
        <w:t>Mener des études afin d</w:t>
      </w:r>
      <w:r w:rsidR="00B20F1D">
        <w:rPr>
          <w:lang w:val="fr-CH"/>
        </w:rPr>
        <w:t>'</w:t>
      </w:r>
      <w:r w:rsidR="0074319B">
        <w:rPr>
          <w:lang w:val="fr-CH"/>
        </w:rPr>
        <w:t xml:space="preserve">étudier la compatibilité </w:t>
      </w:r>
      <w:r w:rsidR="0074319B" w:rsidRPr="003973B3">
        <w:rPr>
          <w:lang w:val="fr-CH" w:eastAsia="en-AU"/>
        </w:rPr>
        <w:t>entre l</w:t>
      </w:r>
      <w:r w:rsidR="00B20F1D">
        <w:rPr>
          <w:lang w:val="fr-CH" w:eastAsia="en-AU"/>
        </w:rPr>
        <w:t>'</w:t>
      </w:r>
      <w:r w:rsidR="0074319B" w:rsidRPr="003973B3">
        <w:rPr>
          <w:lang w:val="fr-CH" w:eastAsia="en-AU"/>
        </w:rPr>
        <w:t xml:space="preserve">exploitation des sondeurs radar spatioportés dans la gamme de fréquences 40-50 MHz et les services existants ayant </w:t>
      </w:r>
      <w:r w:rsidR="00ED546C">
        <w:rPr>
          <w:lang w:val="fr-CH" w:eastAsia="en-AU"/>
        </w:rPr>
        <w:t>des</w:t>
      </w:r>
      <w:r w:rsidR="0074319B" w:rsidRPr="003973B3">
        <w:rPr>
          <w:lang w:val="fr-CH" w:eastAsia="en-AU"/>
        </w:rPr>
        <w:t xml:space="preserve"> attribution</w:t>
      </w:r>
      <w:r w:rsidR="00ED546C">
        <w:rPr>
          <w:lang w:val="fr-CH" w:eastAsia="en-AU"/>
        </w:rPr>
        <w:t>s</w:t>
      </w:r>
      <w:r w:rsidR="0074319B" w:rsidRPr="003973B3">
        <w:rPr>
          <w:lang w:val="fr-CH" w:eastAsia="en-AU"/>
        </w:rPr>
        <w:t xml:space="preserve"> </w:t>
      </w:r>
      <w:r w:rsidR="0074319B" w:rsidRPr="003973B3">
        <w:rPr>
          <w:lang w:val="fr-CH" w:eastAsia="en-AU"/>
        </w:rPr>
        <w:lastRenderedPageBreak/>
        <w:t>dans cette gamme</w:t>
      </w:r>
      <w:r w:rsidR="0074319B">
        <w:rPr>
          <w:lang w:val="fr-CH" w:eastAsia="en-AU"/>
        </w:rPr>
        <w:t xml:space="preserve"> et, éventuellement,</w:t>
      </w:r>
      <w:r w:rsidR="0074319B" w:rsidRPr="003973B3">
        <w:rPr>
          <w:lang w:val="fr-CH" w:eastAsia="en-AU"/>
        </w:rPr>
        <w:t xml:space="preserve"> modifier le Tableau d</w:t>
      </w:r>
      <w:r w:rsidR="00B20F1D">
        <w:rPr>
          <w:lang w:val="fr-CH" w:eastAsia="en-AU"/>
        </w:rPr>
        <w:t>'</w:t>
      </w:r>
      <w:r w:rsidR="0074319B" w:rsidRPr="003973B3">
        <w:rPr>
          <w:lang w:val="fr-CH" w:eastAsia="en-AU"/>
        </w:rPr>
        <w:t>attribution des bandes de fréquences afin d</w:t>
      </w:r>
      <w:r w:rsidR="00B20F1D">
        <w:rPr>
          <w:lang w:val="fr-CH" w:eastAsia="en-AU"/>
        </w:rPr>
        <w:t>'</w:t>
      </w:r>
      <w:r w:rsidR="0074319B" w:rsidRPr="003973B3">
        <w:rPr>
          <w:lang w:val="fr-CH" w:eastAsia="en-AU"/>
        </w:rPr>
        <w:t>y faire figurer une attribution au service d</w:t>
      </w:r>
      <w:r w:rsidR="00B20F1D">
        <w:rPr>
          <w:lang w:val="fr-CH" w:eastAsia="en-AU"/>
        </w:rPr>
        <w:t>'</w:t>
      </w:r>
      <w:r w:rsidR="0074319B" w:rsidRPr="003973B3">
        <w:rPr>
          <w:lang w:val="fr-CH" w:eastAsia="en-AU"/>
        </w:rPr>
        <w:t>exploration de la Terre par satellite (active</w:t>
      </w:r>
      <w:r w:rsidR="0074319B">
        <w:rPr>
          <w:lang w:val="fr-CH" w:eastAsia="en-AU"/>
        </w:rPr>
        <w:t>) pour permettre l</w:t>
      </w:r>
      <w:r w:rsidR="00B20F1D">
        <w:rPr>
          <w:lang w:val="fr-CH" w:eastAsia="en-AU"/>
        </w:rPr>
        <w:t>'</w:t>
      </w:r>
      <w:r w:rsidR="0074319B">
        <w:rPr>
          <w:lang w:val="fr-CH" w:eastAsia="en-AU"/>
        </w:rPr>
        <w:t>exploitation de systèmes de sondage radar spatioportés dans la gamme de fréquences 40-50 MHz</w:t>
      </w:r>
      <w:r w:rsidR="0047105E" w:rsidRPr="003973B3">
        <w:rPr>
          <w:lang w:val="fr-CH"/>
        </w:rPr>
        <w:t>.</w:t>
      </w:r>
    </w:p>
    <w:p w:rsidR="0047105E" w:rsidRPr="003973B3" w:rsidRDefault="0047105E" w:rsidP="0048142D">
      <w:pPr>
        <w:pStyle w:val="Reasons"/>
        <w:rPr>
          <w:lang w:val="fr-CH"/>
        </w:rPr>
      </w:pPr>
    </w:p>
    <w:p w:rsidR="00C5071B" w:rsidRPr="003973B3" w:rsidRDefault="00BE3489" w:rsidP="0048142D">
      <w:pPr>
        <w:pStyle w:val="Proposal"/>
        <w:rPr>
          <w:lang w:val="fr-CH"/>
        </w:rPr>
      </w:pPr>
      <w:r w:rsidRPr="003973B3">
        <w:rPr>
          <w:lang w:val="fr-CH"/>
        </w:rPr>
        <w:t>ADD</w:t>
      </w:r>
      <w:r w:rsidRPr="003973B3">
        <w:rPr>
          <w:lang w:val="fr-CH"/>
        </w:rPr>
        <w:tab/>
        <w:t>IAP/7A24A7/2</w:t>
      </w:r>
    </w:p>
    <w:p w:rsidR="00C5071B" w:rsidRPr="003973B3" w:rsidRDefault="00BE3489" w:rsidP="0048142D">
      <w:pPr>
        <w:pStyle w:val="ResNo"/>
        <w:rPr>
          <w:lang w:val="fr-CH"/>
        </w:rPr>
      </w:pPr>
      <w:r w:rsidRPr="003973B3">
        <w:rPr>
          <w:lang w:val="fr-CH"/>
        </w:rPr>
        <w:t>Projet de nouvelle Résolution [IAP-</w:t>
      </w:r>
      <w:r w:rsidR="0047105E" w:rsidRPr="003973B3">
        <w:rPr>
          <w:lang w:val="fr-CH"/>
        </w:rPr>
        <w:t>10G-40-50</w:t>
      </w:r>
      <w:r w:rsidRPr="003973B3">
        <w:rPr>
          <w:lang w:val="fr-CH"/>
        </w:rPr>
        <w:t>]</w:t>
      </w:r>
      <w:r w:rsidR="0047105E" w:rsidRPr="003973B3">
        <w:rPr>
          <w:lang w:val="fr-CH"/>
        </w:rPr>
        <w:t xml:space="preserve"> (CMR-15)</w:t>
      </w:r>
    </w:p>
    <w:p w:rsidR="00560263" w:rsidRPr="003973B3" w:rsidRDefault="00ED546C" w:rsidP="0048142D">
      <w:pPr>
        <w:pStyle w:val="Restitle"/>
        <w:rPr>
          <w:sz w:val="24"/>
          <w:szCs w:val="24"/>
          <w:lang w:val="fr-CH"/>
        </w:rPr>
      </w:pPr>
      <w:r>
        <w:rPr>
          <w:sz w:val="24"/>
          <w:szCs w:val="24"/>
          <w:lang w:val="fr-CH"/>
        </w:rPr>
        <w:t>Attribution</w:t>
      </w:r>
      <w:r w:rsidR="0074319B">
        <w:rPr>
          <w:sz w:val="24"/>
          <w:szCs w:val="24"/>
          <w:lang w:val="fr-CH"/>
        </w:rPr>
        <w:t xml:space="preserve"> possible au SETS (active) pour les sondeurs radar spatioportés</w:t>
      </w:r>
      <w:r w:rsidR="0074319B">
        <w:rPr>
          <w:sz w:val="24"/>
          <w:szCs w:val="24"/>
          <w:lang w:val="fr-CH"/>
        </w:rPr>
        <w:br/>
        <w:t>dans la gamme de fréquences 40-50 MHz</w:t>
      </w:r>
    </w:p>
    <w:p w:rsidR="00560263" w:rsidRPr="003973B3" w:rsidRDefault="00560263" w:rsidP="0048142D">
      <w:pPr>
        <w:pStyle w:val="Normalaftertitle0"/>
        <w:rPr>
          <w:lang w:val="fr-CH"/>
        </w:rPr>
      </w:pPr>
      <w:r w:rsidRPr="003973B3">
        <w:rPr>
          <w:lang w:val="fr-CH"/>
        </w:rPr>
        <w:t>La Conférence mondiale des radiocommunications (Genève, 2015),</w:t>
      </w:r>
    </w:p>
    <w:p w:rsidR="00560263" w:rsidRPr="003973B3" w:rsidRDefault="00560263" w:rsidP="0048142D">
      <w:pPr>
        <w:pStyle w:val="Call"/>
        <w:rPr>
          <w:lang w:val="fr-CH"/>
        </w:rPr>
      </w:pPr>
      <w:r w:rsidRPr="003973B3">
        <w:rPr>
          <w:lang w:val="fr-CH"/>
        </w:rPr>
        <w:t>considérant</w:t>
      </w:r>
    </w:p>
    <w:p w:rsidR="00560263" w:rsidRPr="003973B3" w:rsidRDefault="00560263" w:rsidP="0048142D">
      <w:pPr>
        <w:rPr>
          <w:lang w:val="fr-CH"/>
        </w:rPr>
      </w:pPr>
      <w:r w:rsidRPr="003973B3">
        <w:rPr>
          <w:i/>
          <w:lang w:val="fr-CH"/>
        </w:rPr>
        <w:t>a)</w:t>
      </w:r>
      <w:r w:rsidRPr="003973B3">
        <w:rPr>
          <w:i/>
          <w:lang w:val="fr-CH"/>
        </w:rPr>
        <w:tab/>
      </w:r>
      <w:r w:rsidRPr="003973B3">
        <w:rPr>
          <w:lang w:val="fr-CH"/>
        </w:rPr>
        <w:t>que la</w:t>
      </w:r>
      <w:r w:rsidR="00A9401F">
        <w:rPr>
          <w:lang w:val="fr-CH"/>
        </w:rPr>
        <w:t xml:space="preserve"> gamme </w:t>
      </w:r>
      <w:r w:rsidRPr="003973B3">
        <w:rPr>
          <w:lang w:val="fr-CH"/>
        </w:rPr>
        <w:t>40-50 MHz est attribuée au service fixe, au service mobile et au service de radiodiffusion à titre primaire;</w:t>
      </w:r>
    </w:p>
    <w:p w:rsidR="00560263" w:rsidRPr="003973B3" w:rsidRDefault="00560263" w:rsidP="0048142D">
      <w:pPr>
        <w:rPr>
          <w:lang w:val="fr-CH"/>
        </w:rPr>
      </w:pPr>
      <w:r w:rsidRPr="003973B3">
        <w:rPr>
          <w:i/>
          <w:iCs/>
          <w:lang w:val="fr-CH"/>
        </w:rPr>
        <w:t>b)</w:t>
      </w:r>
      <w:r w:rsidRPr="003973B3">
        <w:rPr>
          <w:lang w:val="fr-CH"/>
        </w:rPr>
        <w:tab/>
        <w:t xml:space="preserve">que le service de recherche spatiale utilise </w:t>
      </w:r>
      <w:r w:rsidR="00ED546C">
        <w:rPr>
          <w:lang w:val="fr-CH"/>
        </w:rPr>
        <w:t xml:space="preserve">les fréquences comprises entre 40,98 et </w:t>
      </w:r>
      <w:r w:rsidRPr="003973B3">
        <w:rPr>
          <w:lang w:val="fr-CH"/>
        </w:rPr>
        <w:t>41,015 MHz dans le cadre d'une attribution à titre secondaire;</w:t>
      </w:r>
    </w:p>
    <w:p w:rsidR="00560263" w:rsidRPr="003973B3" w:rsidRDefault="00560263" w:rsidP="0048142D">
      <w:pPr>
        <w:rPr>
          <w:lang w:val="fr-CH"/>
        </w:rPr>
      </w:pPr>
      <w:r w:rsidRPr="003973B3">
        <w:rPr>
          <w:i/>
          <w:iCs/>
          <w:lang w:val="fr-CH"/>
        </w:rPr>
        <w:t>c)</w:t>
      </w:r>
      <w:r w:rsidRPr="003973B3">
        <w:rPr>
          <w:lang w:val="fr-CH"/>
        </w:rPr>
        <w:tab/>
      </w:r>
      <w:r w:rsidR="00A9401F">
        <w:rPr>
          <w:lang w:val="fr-CH"/>
        </w:rPr>
        <w:t xml:space="preserve">que des </w:t>
      </w:r>
      <w:r w:rsidR="00A9401F" w:rsidRPr="003973B3">
        <w:rPr>
          <w:lang w:val="fr-CH"/>
        </w:rPr>
        <w:t>renvois relatifs à des pays figurant dans le Tableau d</w:t>
      </w:r>
      <w:r w:rsidR="00B20F1D">
        <w:rPr>
          <w:lang w:val="fr-CH"/>
        </w:rPr>
        <w:t>'</w:t>
      </w:r>
      <w:r w:rsidR="00A9401F" w:rsidRPr="003973B3">
        <w:rPr>
          <w:lang w:val="fr-CH"/>
        </w:rPr>
        <w:t>attribution des bandes de fréquences</w:t>
      </w:r>
      <w:r w:rsidR="00A9401F">
        <w:rPr>
          <w:lang w:val="fr-CH"/>
        </w:rPr>
        <w:t xml:space="preserve"> pour la gamme de fréquences 40-50 MHz</w:t>
      </w:r>
      <w:r w:rsidR="00A9401F" w:rsidRPr="003973B3">
        <w:rPr>
          <w:lang w:val="fr-CH"/>
        </w:rPr>
        <w:t xml:space="preserve"> prévoient des attributions à titre primaire au service de navigation aéronautique et au service de radiolocalisation dans certaines parties du monde</w:t>
      </w:r>
      <w:r w:rsidRPr="003973B3">
        <w:rPr>
          <w:lang w:val="fr-CH"/>
        </w:rPr>
        <w:t>;</w:t>
      </w:r>
    </w:p>
    <w:p w:rsidR="00560263" w:rsidRPr="003973B3" w:rsidRDefault="00560263" w:rsidP="0048142D">
      <w:pPr>
        <w:rPr>
          <w:lang w:val="fr-CH"/>
        </w:rPr>
      </w:pPr>
      <w:r w:rsidRPr="003973B3">
        <w:rPr>
          <w:i/>
          <w:iCs/>
          <w:lang w:val="fr-CH"/>
        </w:rPr>
        <w:t>d)</w:t>
      </w:r>
      <w:r w:rsidRPr="003973B3">
        <w:rPr>
          <w:lang w:val="fr-CH"/>
        </w:rPr>
        <w:tab/>
      </w:r>
      <w:r w:rsidR="00A9401F">
        <w:rPr>
          <w:lang w:val="fr-CH"/>
        </w:rPr>
        <w:t xml:space="preserve">que les radars spatioportés sont destinés à être utilisés uniquement dans des zones inhabitées ou peu peuplées du monde, en particulier les déserts et les </w:t>
      </w:r>
      <w:r w:rsidR="00ED546C">
        <w:rPr>
          <w:lang w:val="fr-CH"/>
        </w:rPr>
        <w:t>champs</w:t>
      </w:r>
      <w:r w:rsidR="00A9401F">
        <w:rPr>
          <w:lang w:val="fr-CH"/>
        </w:rPr>
        <w:t xml:space="preserve"> de glace polaire</w:t>
      </w:r>
      <w:r w:rsidR="00ED546C">
        <w:rPr>
          <w:lang w:val="fr-CH"/>
        </w:rPr>
        <w:t>s</w:t>
      </w:r>
      <w:r w:rsidR="00A9401F">
        <w:rPr>
          <w:lang w:val="fr-CH"/>
        </w:rPr>
        <w:t>, uniquement la nuit, de 3 à 6 heures heure locale</w:t>
      </w:r>
      <w:r w:rsidRPr="003973B3">
        <w:rPr>
          <w:lang w:val="fr-CH"/>
        </w:rPr>
        <w:t>;</w:t>
      </w:r>
    </w:p>
    <w:p w:rsidR="00C5071B" w:rsidRPr="003973B3" w:rsidRDefault="00BD4130" w:rsidP="0048142D">
      <w:pPr>
        <w:rPr>
          <w:lang w:val="fr-CH" w:eastAsia="ar-SA"/>
        </w:rPr>
      </w:pPr>
      <w:r w:rsidRPr="003973B3">
        <w:rPr>
          <w:i/>
          <w:iCs/>
          <w:lang w:val="fr-CH"/>
        </w:rPr>
        <w:t>e)</w:t>
      </w:r>
      <w:r w:rsidRPr="003973B3">
        <w:rPr>
          <w:lang w:val="fr-CH"/>
        </w:rPr>
        <w:tab/>
        <w:t>que la</w:t>
      </w:r>
      <w:r w:rsidRPr="003973B3">
        <w:rPr>
          <w:lang w:val="fr-CH" w:eastAsia="ar-SA"/>
        </w:rPr>
        <w:t xml:space="preserve"> Recommandation ITU-R RS.2042-0 donne les caractéristiques techniques et opérationnelles types des systèmes de sondage radar spatioportés </w:t>
      </w:r>
      <w:r w:rsidR="00ED546C">
        <w:rPr>
          <w:lang w:val="fr-CH" w:eastAsia="ar-SA"/>
        </w:rPr>
        <w:t>fonctionnant dans</w:t>
      </w:r>
      <w:r w:rsidRPr="003973B3">
        <w:rPr>
          <w:lang w:val="fr-CH" w:eastAsia="ar-SA"/>
        </w:rPr>
        <w:t xml:space="preserve"> la bande 40-50 MHz à utiliser pour les études</w:t>
      </w:r>
      <w:r w:rsidR="00A9401F">
        <w:rPr>
          <w:lang w:val="fr-CH" w:eastAsia="ar-SA"/>
        </w:rPr>
        <w:t xml:space="preserve"> relatives au brouillage et à la </w:t>
      </w:r>
      <w:r w:rsidRPr="003973B3">
        <w:rPr>
          <w:lang w:val="fr-CH" w:eastAsia="ar-SA"/>
        </w:rPr>
        <w:t>compatibilité,</w:t>
      </w:r>
    </w:p>
    <w:p w:rsidR="00BD4130" w:rsidRPr="003973B3" w:rsidRDefault="008D3115" w:rsidP="0048142D">
      <w:pPr>
        <w:pStyle w:val="Call"/>
        <w:rPr>
          <w:lang w:val="fr-CH"/>
        </w:rPr>
      </w:pPr>
      <w:r w:rsidRPr="003973B3">
        <w:rPr>
          <w:lang w:val="fr-CH"/>
        </w:rPr>
        <w:t>reconna</w:t>
      </w:r>
      <w:r w:rsidR="004D00CC" w:rsidRPr="003973B3">
        <w:rPr>
          <w:lang w:val="fr-CH"/>
        </w:rPr>
        <w:t>issant</w:t>
      </w:r>
    </w:p>
    <w:p w:rsidR="008D3115" w:rsidRPr="003973B3" w:rsidRDefault="008D3115" w:rsidP="0048142D">
      <w:pPr>
        <w:rPr>
          <w:lang w:val="fr-CH"/>
        </w:rPr>
      </w:pPr>
      <w:r w:rsidRPr="003973B3">
        <w:rPr>
          <w:i/>
          <w:iCs/>
          <w:lang w:val="fr-CH"/>
        </w:rPr>
        <w:t>a)</w:t>
      </w:r>
      <w:r w:rsidRPr="003973B3">
        <w:rPr>
          <w:i/>
          <w:iCs/>
          <w:lang w:val="fr-CH"/>
        </w:rPr>
        <w:tab/>
      </w:r>
      <w:r w:rsidRPr="003973B3">
        <w:rPr>
          <w:lang w:val="fr-CH"/>
        </w:rPr>
        <w:t xml:space="preserve">que les </w:t>
      </w:r>
      <w:r w:rsidR="00E3060D">
        <w:rPr>
          <w:lang w:val="fr-CH"/>
        </w:rPr>
        <w:t>détecteurs radioélectriques actifs spatioportés</w:t>
      </w:r>
      <w:r w:rsidRPr="003973B3">
        <w:rPr>
          <w:lang w:val="fr-CH"/>
        </w:rPr>
        <w:t xml:space="preserve"> sont les seuls à pouvoir fournir certains renseignements sur les propriétés physiques de la Terre et d'autres planètes;</w:t>
      </w:r>
    </w:p>
    <w:p w:rsidR="008D3115" w:rsidRPr="003973B3" w:rsidRDefault="008D3115" w:rsidP="0048142D">
      <w:pPr>
        <w:rPr>
          <w:lang w:val="fr-CH"/>
        </w:rPr>
      </w:pPr>
      <w:r w:rsidRPr="003973B3">
        <w:rPr>
          <w:i/>
          <w:iCs/>
          <w:lang w:val="fr-CH"/>
        </w:rPr>
        <w:t>b)</w:t>
      </w:r>
      <w:r w:rsidRPr="003973B3">
        <w:rPr>
          <w:lang w:val="fr-CH"/>
        </w:rPr>
        <w:tab/>
        <w:t>que la télédétection acti</w:t>
      </w:r>
      <w:r w:rsidR="00E3060D">
        <w:rPr>
          <w:lang w:val="fr-CH"/>
        </w:rPr>
        <w:t>ve</w:t>
      </w:r>
      <w:r w:rsidRPr="003973B3">
        <w:rPr>
          <w:lang w:val="fr-CH"/>
        </w:rPr>
        <w:t xml:space="preserve"> </w:t>
      </w:r>
      <w:r w:rsidR="00E3060D">
        <w:rPr>
          <w:lang w:val="fr-CH"/>
        </w:rPr>
        <w:t>spatioportée</w:t>
      </w:r>
      <w:r w:rsidRPr="003973B3">
        <w:rPr>
          <w:lang w:val="fr-CH"/>
        </w:rPr>
        <w:t xml:space="preserve"> nécessite des gammes de fréquences spécifiques, selon les phénomènes physiques à observer;</w:t>
      </w:r>
    </w:p>
    <w:p w:rsidR="008D3115" w:rsidRPr="003973B3" w:rsidRDefault="008D3115" w:rsidP="0048142D">
      <w:pPr>
        <w:rPr>
          <w:lang w:val="fr-CH"/>
        </w:rPr>
      </w:pPr>
      <w:r w:rsidRPr="003973B3">
        <w:rPr>
          <w:i/>
          <w:iCs/>
          <w:lang w:val="fr-CH"/>
        </w:rPr>
        <w:t>c)</w:t>
      </w:r>
      <w:r w:rsidRPr="003973B3">
        <w:rPr>
          <w:lang w:val="fr-CH"/>
        </w:rPr>
        <w:tab/>
      </w:r>
      <w:r w:rsidR="003B3AB0">
        <w:rPr>
          <w:lang w:val="fr-CH"/>
        </w:rPr>
        <w:t>qu</w:t>
      </w:r>
      <w:r w:rsidR="00B20F1D">
        <w:rPr>
          <w:lang w:val="fr-CH"/>
        </w:rPr>
        <w:t>'</w:t>
      </w:r>
      <w:r w:rsidR="003B3AB0">
        <w:rPr>
          <w:lang w:val="fr-CH"/>
        </w:rPr>
        <w:t>il y a un</w:t>
      </w:r>
      <w:r w:rsidRPr="003973B3">
        <w:rPr>
          <w:lang w:val="fr-CH"/>
        </w:rPr>
        <w:t xml:space="preserve"> intérêt certain </w:t>
      </w:r>
      <w:r w:rsidR="003B3AB0" w:rsidRPr="003973B3">
        <w:rPr>
          <w:lang w:val="fr-CH"/>
        </w:rPr>
        <w:t>pour l</w:t>
      </w:r>
      <w:r w:rsidR="00B20F1D">
        <w:rPr>
          <w:lang w:val="fr-CH"/>
        </w:rPr>
        <w:t>'</w:t>
      </w:r>
      <w:r w:rsidR="003B3AB0" w:rsidRPr="003973B3">
        <w:rPr>
          <w:lang w:val="fr-CH"/>
        </w:rPr>
        <w:t xml:space="preserve">utilisation de détecteurs actifs </w:t>
      </w:r>
      <w:r w:rsidR="00E3060D" w:rsidRPr="003973B3">
        <w:rPr>
          <w:lang w:val="fr-CH" w:eastAsia="ar-SA"/>
        </w:rPr>
        <w:t xml:space="preserve">spatioportés </w:t>
      </w:r>
      <w:r w:rsidR="003B3AB0">
        <w:rPr>
          <w:lang w:val="fr-CH"/>
        </w:rPr>
        <w:t>au voisinage</w:t>
      </w:r>
      <w:r w:rsidR="003B3AB0" w:rsidRPr="003973B3">
        <w:rPr>
          <w:lang w:val="fr-CH"/>
        </w:rPr>
        <w:t xml:space="preserve"> de 40-50 MHz afin d'effectuer des mesures sous la surface de la Terre pour établir des cartes radar des couches diffusantes de la subsurface, l'objectif étant de localiser de l'eau/de la glace/des gisements</w:t>
      </w:r>
      <w:r w:rsidR="00CD3E97" w:rsidRPr="003973B3">
        <w:rPr>
          <w:lang w:val="fr-CH"/>
        </w:rPr>
        <w:t>;</w:t>
      </w:r>
    </w:p>
    <w:p w:rsidR="00156690" w:rsidRPr="003973B3" w:rsidRDefault="00156690" w:rsidP="0048142D">
      <w:pPr>
        <w:rPr>
          <w:lang w:val="fr-CH"/>
        </w:rPr>
      </w:pPr>
      <w:r w:rsidRPr="003973B3">
        <w:rPr>
          <w:i/>
          <w:lang w:val="fr-CH"/>
        </w:rPr>
        <w:t>d)</w:t>
      </w:r>
      <w:r w:rsidRPr="003973B3">
        <w:rPr>
          <w:lang w:val="fr-CH"/>
        </w:rPr>
        <w:tab/>
      </w:r>
      <w:r w:rsidR="003B3AB0" w:rsidRPr="003B3AB0">
        <w:rPr>
          <w:lang w:val="fr-CH"/>
        </w:rPr>
        <w:t>que, dans le monde, les mesures</w:t>
      </w:r>
      <w:r w:rsidR="003B3AB0">
        <w:rPr>
          <w:lang w:val="fr-CH"/>
        </w:rPr>
        <w:t xml:space="preserve"> </w:t>
      </w:r>
      <w:r w:rsidR="00E3060D">
        <w:rPr>
          <w:lang w:val="fr-CH"/>
        </w:rPr>
        <w:t>réguliè</w:t>
      </w:r>
      <w:r w:rsidR="003B3AB0">
        <w:rPr>
          <w:lang w:val="fr-CH"/>
        </w:rPr>
        <w:t>r</w:t>
      </w:r>
      <w:r w:rsidR="00E3060D">
        <w:rPr>
          <w:lang w:val="fr-CH"/>
        </w:rPr>
        <w:t>e</w:t>
      </w:r>
      <w:r w:rsidR="003B3AB0">
        <w:rPr>
          <w:lang w:val="fr-CH"/>
        </w:rPr>
        <w:t xml:space="preserve">s </w:t>
      </w:r>
      <w:r w:rsidR="003B3AB0" w:rsidRPr="003B3AB0">
        <w:rPr>
          <w:lang w:val="fr-CH"/>
        </w:rPr>
        <w:t>des nappes d'eau souterraines</w:t>
      </w:r>
      <w:r w:rsidR="003B3AB0">
        <w:rPr>
          <w:lang w:val="fr-CH"/>
        </w:rPr>
        <w:t xml:space="preserve"> </w:t>
      </w:r>
      <w:r w:rsidR="003B3AB0" w:rsidRPr="003B3AB0">
        <w:rPr>
          <w:lang w:val="fr-CH"/>
        </w:rPr>
        <w:t>nécessitent l'utilisation de détecteurs actifs spatioportés</w:t>
      </w:r>
      <w:r w:rsidRPr="003973B3">
        <w:rPr>
          <w:lang w:val="fr-CH"/>
        </w:rPr>
        <w:t>;</w:t>
      </w:r>
    </w:p>
    <w:p w:rsidR="00156690" w:rsidRPr="003973B3" w:rsidRDefault="00156690" w:rsidP="0048142D">
      <w:pPr>
        <w:rPr>
          <w:lang w:val="fr-CH"/>
        </w:rPr>
      </w:pPr>
      <w:r w:rsidRPr="003973B3">
        <w:rPr>
          <w:i/>
          <w:lang w:val="fr-CH"/>
        </w:rPr>
        <w:t>e)</w:t>
      </w:r>
      <w:r w:rsidRPr="003973B3">
        <w:rPr>
          <w:i/>
          <w:lang w:val="fr-CH"/>
        </w:rPr>
        <w:tab/>
      </w:r>
      <w:r w:rsidRPr="003973B3">
        <w:rPr>
          <w:lang w:val="fr-CH"/>
        </w:rPr>
        <w:t xml:space="preserve">qu'il est préférable d'utiliser la gamme de fréquences 40-50 MHz pour satisfaire à toutes les exigences </w:t>
      </w:r>
      <w:r w:rsidR="00CD3E97" w:rsidRPr="003973B3">
        <w:rPr>
          <w:lang w:val="fr-CH"/>
        </w:rPr>
        <w:t>des sondeurs radar spatioportés,</w:t>
      </w:r>
    </w:p>
    <w:p w:rsidR="004D00CC" w:rsidRPr="003973B3" w:rsidRDefault="004D00CC" w:rsidP="0048142D">
      <w:pPr>
        <w:pStyle w:val="Call"/>
        <w:rPr>
          <w:lang w:val="fr-CH"/>
        </w:rPr>
      </w:pPr>
      <w:r w:rsidRPr="003973B3">
        <w:rPr>
          <w:lang w:val="fr-CH"/>
        </w:rPr>
        <w:lastRenderedPageBreak/>
        <w:t>décide d'inviter l'UIT-R</w:t>
      </w:r>
    </w:p>
    <w:p w:rsidR="004D00CC" w:rsidRPr="003973B3" w:rsidRDefault="004D00CC" w:rsidP="0048142D">
      <w:pPr>
        <w:rPr>
          <w:lang w:val="fr-CH"/>
        </w:rPr>
      </w:pPr>
      <w:r w:rsidRPr="003973B3">
        <w:rPr>
          <w:lang w:val="fr-CH"/>
        </w:rPr>
        <w:t>1</w:t>
      </w:r>
      <w:r w:rsidRPr="003973B3">
        <w:rPr>
          <w:lang w:val="fr-CH"/>
        </w:rPr>
        <w:tab/>
      </w:r>
      <w:r w:rsidR="00EB78FE">
        <w:rPr>
          <w:lang w:val="fr-CH"/>
        </w:rPr>
        <w:t>à mener des études de partage entre le service d</w:t>
      </w:r>
      <w:r w:rsidR="00B20F1D">
        <w:rPr>
          <w:lang w:val="fr-CH"/>
        </w:rPr>
        <w:t>'</w:t>
      </w:r>
      <w:r w:rsidR="00EB78FE">
        <w:rPr>
          <w:lang w:val="fr-CH"/>
        </w:rPr>
        <w:t>exploration de la Terre par satellite (active) et le service de radiolocalisation, le service fixe, le service mobile, le service de radiodiffusion et le service de recherche spatiale dans la gamme de fréquences 40-50 MHz</w:t>
      </w:r>
      <w:r w:rsidRPr="003973B3">
        <w:rPr>
          <w:lang w:val="fr-CH"/>
        </w:rPr>
        <w:t>;</w:t>
      </w:r>
    </w:p>
    <w:p w:rsidR="004D00CC" w:rsidRPr="003973B3" w:rsidRDefault="004D00CC" w:rsidP="0048142D">
      <w:pPr>
        <w:rPr>
          <w:lang w:val="fr-CH"/>
        </w:rPr>
      </w:pPr>
      <w:r w:rsidRPr="003973B3">
        <w:rPr>
          <w:lang w:val="fr-CH"/>
        </w:rPr>
        <w:t>2</w:t>
      </w:r>
      <w:r w:rsidRPr="003973B3">
        <w:rPr>
          <w:lang w:val="fr-CH"/>
        </w:rPr>
        <w:tab/>
        <w:t>à achever</w:t>
      </w:r>
      <w:r w:rsidR="00E3060D">
        <w:rPr>
          <w:lang w:val="fr-CH"/>
        </w:rPr>
        <w:t xml:space="preserve"> les études</w:t>
      </w:r>
      <w:r w:rsidRPr="003973B3">
        <w:rPr>
          <w:lang w:val="fr-CH"/>
        </w:rPr>
        <w:t>, compte tenu de l'utilisation actuelle de la bande attribuée, en vue de présenter, en temps voulu, les bases techniques pour les travaux de la CMR-23,</w:t>
      </w:r>
    </w:p>
    <w:p w:rsidR="004D00CC" w:rsidRPr="003973B3" w:rsidRDefault="00CD3E97" w:rsidP="0048142D">
      <w:pPr>
        <w:pStyle w:val="Call"/>
        <w:rPr>
          <w:lang w:val="fr-CH"/>
        </w:rPr>
      </w:pPr>
      <w:r w:rsidRPr="003973B3">
        <w:rPr>
          <w:lang w:val="fr-CH"/>
        </w:rPr>
        <w:t>décide d'inviter la CMR-23</w:t>
      </w:r>
    </w:p>
    <w:p w:rsidR="00CD3E97" w:rsidRPr="003973B3" w:rsidRDefault="00CD3E97" w:rsidP="0048142D">
      <w:pPr>
        <w:rPr>
          <w:lang w:val="fr-CH"/>
        </w:rPr>
      </w:pPr>
      <w:r w:rsidRPr="003973B3">
        <w:rPr>
          <w:lang w:val="fr-CH"/>
        </w:rPr>
        <w:t>1</w:t>
      </w:r>
      <w:r w:rsidRPr="003973B3">
        <w:rPr>
          <w:lang w:val="fr-CH"/>
        </w:rPr>
        <w:tab/>
      </w:r>
      <w:r w:rsidR="00E3060D">
        <w:rPr>
          <w:lang w:val="fr-CH"/>
        </w:rPr>
        <w:t xml:space="preserve">à mener et à </w:t>
      </w:r>
      <w:r w:rsidR="00EB78FE">
        <w:rPr>
          <w:lang w:val="fr-CH"/>
        </w:rPr>
        <w:t>achever à temps pour la CMR-23 les études en vue d</w:t>
      </w:r>
      <w:r w:rsidR="00B20F1D">
        <w:rPr>
          <w:lang w:val="fr-CH"/>
        </w:rPr>
        <w:t>'</w:t>
      </w:r>
      <w:r w:rsidR="00EB78FE">
        <w:rPr>
          <w:lang w:val="fr-CH"/>
        </w:rPr>
        <w:t xml:space="preserve">une possible </w:t>
      </w:r>
      <w:r w:rsidR="00E3060D">
        <w:rPr>
          <w:lang w:val="fr-CH"/>
        </w:rPr>
        <w:t>nouvelle attribution</w:t>
      </w:r>
      <w:r w:rsidR="00EB78FE">
        <w:rPr>
          <w:lang w:val="fr-CH"/>
        </w:rPr>
        <w:t xml:space="preserve"> au service d</w:t>
      </w:r>
      <w:r w:rsidR="00B20F1D">
        <w:rPr>
          <w:lang w:val="fr-CH"/>
        </w:rPr>
        <w:t>'</w:t>
      </w:r>
      <w:r w:rsidR="00EB78FE">
        <w:rPr>
          <w:lang w:val="fr-CH"/>
        </w:rPr>
        <w:t>exploration de la Terre par satellite (active) pour les sondeurs radar dans la gamme de fréquences 40-50 MHz, tout en protégeant les services existants</w:t>
      </w:r>
      <w:r w:rsidRPr="003973B3">
        <w:rPr>
          <w:lang w:val="fr-CH"/>
        </w:rPr>
        <w:t>;</w:t>
      </w:r>
    </w:p>
    <w:p w:rsidR="00CD3E97" w:rsidRPr="003973B3" w:rsidRDefault="00CD3E97" w:rsidP="0048142D">
      <w:pPr>
        <w:rPr>
          <w:lang w:val="fr-CH"/>
        </w:rPr>
      </w:pPr>
      <w:r w:rsidRPr="003973B3">
        <w:rPr>
          <w:lang w:val="fr-CH"/>
        </w:rPr>
        <w:t>2</w:t>
      </w:r>
      <w:r w:rsidRPr="003973B3">
        <w:rPr>
          <w:lang w:val="fr-CH"/>
        </w:rPr>
        <w:tab/>
      </w:r>
      <w:r w:rsidR="00E3060D">
        <w:rPr>
          <w:lang w:val="fr-CH"/>
        </w:rPr>
        <w:t xml:space="preserve">à </w:t>
      </w:r>
      <w:r w:rsidR="00EB78FE">
        <w:rPr>
          <w:lang w:val="fr-CH"/>
        </w:rPr>
        <w:t xml:space="preserve">examiner les résultats des études susmentionnées et </w:t>
      </w:r>
      <w:r w:rsidR="00E3060D">
        <w:rPr>
          <w:lang w:val="fr-CH"/>
        </w:rPr>
        <w:t>à</w:t>
      </w:r>
      <w:r w:rsidR="00EB78FE">
        <w:rPr>
          <w:lang w:val="fr-CH"/>
        </w:rPr>
        <w:t xml:space="preserve"> leur donner la suite voulue</w:t>
      </w:r>
      <w:r w:rsidRPr="003973B3">
        <w:rPr>
          <w:lang w:val="fr-CH"/>
        </w:rPr>
        <w:t>,</w:t>
      </w:r>
    </w:p>
    <w:p w:rsidR="004D00CC" w:rsidRPr="003973B3" w:rsidRDefault="004D00CC" w:rsidP="0048142D">
      <w:pPr>
        <w:pStyle w:val="Call"/>
        <w:rPr>
          <w:lang w:val="fr-CH"/>
        </w:rPr>
      </w:pPr>
      <w:r w:rsidRPr="003973B3">
        <w:rPr>
          <w:lang w:val="fr-CH"/>
        </w:rPr>
        <w:t>invite les administrations</w:t>
      </w:r>
    </w:p>
    <w:p w:rsidR="004D00CC" w:rsidRPr="003973B3" w:rsidRDefault="004D00CC" w:rsidP="0048142D">
      <w:pPr>
        <w:rPr>
          <w:lang w:val="fr-CH"/>
        </w:rPr>
      </w:pPr>
      <w:r w:rsidRPr="003973B3">
        <w:rPr>
          <w:lang w:val="fr-CH"/>
        </w:rPr>
        <w:t>à participer activement aux études en soumettant des contributions à l'UIT-R,</w:t>
      </w:r>
    </w:p>
    <w:p w:rsidR="004D00CC" w:rsidRPr="003973B3" w:rsidRDefault="004D00CC" w:rsidP="0048142D">
      <w:pPr>
        <w:pStyle w:val="Call"/>
        <w:rPr>
          <w:lang w:val="fr-CH"/>
        </w:rPr>
      </w:pPr>
      <w:r w:rsidRPr="003973B3">
        <w:rPr>
          <w:lang w:val="fr-CH"/>
        </w:rPr>
        <w:t>charge le Secrétaire général</w:t>
      </w:r>
    </w:p>
    <w:p w:rsidR="004D00CC" w:rsidRPr="003973B3" w:rsidRDefault="004D00CC" w:rsidP="0048142D">
      <w:pPr>
        <w:rPr>
          <w:lang w:val="fr-CH"/>
        </w:rPr>
      </w:pPr>
      <w:r w:rsidRPr="003973B3">
        <w:rPr>
          <w:lang w:val="fr-CH"/>
        </w:rPr>
        <w:t>de porter la présente Résolution à l'attention du Groupe de coordination des fréquences spatiales (SFCG) et des autres organisations internationales et régionales concernées.</w:t>
      </w:r>
    </w:p>
    <w:p w:rsidR="00156690" w:rsidRPr="003973B3" w:rsidRDefault="00CD3E97" w:rsidP="0048142D">
      <w:pPr>
        <w:pStyle w:val="Reasons"/>
        <w:rPr>
          <w:lang w:val="fr-CH"/>
        </w:rPr>
      </w:pPr>
      <w:r w:rsidRPr="003973B3">
        <w:rPr>
          <w:b/>
          <w:bCs/>
          <w:lang w:val="fr-CH"/>
        </w:rPr>
        <w:t>Motifs:</w:t>
      </w:r>
      <w:r w:rsidR="00EB78FE">
        <w:rPr>
          <w:b/>
          <w:bCs/>
          <w:lang w:val="fr-CH"/>
        </w:rPr>
        <w:t xml:space="preserve"> </w:t>
      </w:r>
      <w:r w:rsidR="00EB78FE" w:rsidRPr="00EB78FE">
        <w:rPr>
          <w:lang w:val="fr-CH"/>
        </w:rPr>
        <w:t>Une résolution appuiera les études devant être menée</w:t>
      </w:r>
      <w:r w:rsidR="00EB78FE">
        <w:rPr>
          <w:lang w:val="fr-CH"/>
        </w:rPr>
        <w:t>s</w:t>
      </w:r>
      <w:r w:rsidR="00EB78FE" w:rsidRPr="00EB78FE">
        <w:rPr>
          <w:lang w:val="fr-CH"/>
        </w:rPr>
        <w:t xml:space="preserve"> par l</w:t>
      </w:r>
      <w:r w:rsidR="00B20F1D">
        <w:rPr>
          <w:lang w:val="fr-CH"/>
        </w:rPr>
        <w:t>'</w:t>
      </w:r>
      <w:r w:rsidR="00EB78FE" w:rsidRPr="00EB78FE">
        <w:rPr>
          <w:lang w:val="fr-CH"/>
        </w:rPr>
        <w:t>UIT-R au titre du point pertinent de l</w:t>
      </w:r>
      <w:r w:rsidR="00B20F1D">
        <w:rPr>
          <w:lang w:val="fr-CH"/>
        </w:rPr>
        <w:t>'</w:t>
      </w:r>
      <w:r w:rsidR="00EB78FE" w:rsidRPr="00EB78FE">
        <w:rPr>
          <w:lang w:val="fr-CH"/>
        </w:rPr>
        <w:t>ordre du jour de la CMR-23.</w:t>
      </w:r>
    </w:p>
    <w:p w:rsidR="005E4DC2" w:rsidRPr="003973B3" w:rsidRDefault="005E4DC2" w:rsidP="0048142D">
      <w:pPr>
        <w:tabs>
          <w:tab w:val="clear" w:pos="1134"/>
          <w:tab w:val="clear" w:pos="1871"/>
          <w:tab w:val="clear" w:pos="2268"/>
        </w:tabs>
        <w:overflowPunct/>
        <w:autoSpaceDE/>
        <w:autoSpaceDN/>
        <w:adjustRightInd/>
        <w:spacing w:before="0"/>
        <w:textAlignment w:val="auto"/>
        <w:rPr>
          <w:lang w:val="fr-CH"/>
        </w:rPr>
      </w:pPr>
      <w:r w:rsidRPr="003973B3">
        <w:rPr>
          <w:lang w:val="fr-CH"/>
        </w:rPr>
        <w:br w:type="page"/>
      </w:r>
    </w:p>
    <w:p w:rsidR="00B262C4" w:rsidRPr="00C66B55" w:rsidRDefault="00EB78FE" w:rsidP="0048142D">
      <w:pPr>
        <w:jc w:val="center"/>
        <w:rPr>
          <w:b/>
          <w:bCs/>
          <w:lang w:val="fr-CH"/>
        </w:rPr>
      </w:pPr>
      <w:r w:rsidRPr="00C66B55">
        <w:rPr>
          <w:b/>
          <w:bCs/>
          <w:lang w:val="fr-CH"/>
        </w:rPr>
        <w:lastRenderedPageBreak/>
        <w:t>PIECE JOINTE</w:t>
      </w:r>
    </w:p>
    <w:p w:rsidR="00B262C4" w:rsidRPr="00C66B55" w:rsidRDefault="00B262C4" w:rsidP="0048142D">
      <w:pPr>
        <w:rPr>
          <w:b/>
          <w:bCs/>
          <w:lang w:val="fr-CH"/>
        </w:rPr>
      </w:pPr>
    </w:p>
    <w:p w:rsidR="00B262C4" w:rsidRPr="00C66B55" w:rsidRDefault="00EB78FE" w:rsidP="0048142D">
      <w:pPr>
        <w:tabs>
          <w:tab w:val="left" w:pos="699"/>
          <w:tab w:val="left" w:pos="1080"/>
          <w:tab w:val="left" w:pos="7257"/>
          <w:tab w:val="left" w:pos="7920"/>
          <w:tab w:val="left" w:pos="8508"/>
          <w:tab w:val="left" w:pos="9216"/>
        </w:tabs>
        <w:jc w:val="center"/>
        <w:rPr>
          <w:b/>
          <w:bCs/>
          <w:caps/>
          <w:szCs w:val="24"/>
          <w:lang w:val="fr-CH"/>
        </w:rPr>
      </w:pPr>
      <w:r w:rsidRPr="00C66B55">
        <w:rPr>
          <w:b/>
          <w:bCs/>
          <w:szCs w:val="24"/>
          <w:lang w:val="fr-CH"/>
        </w:rPr>
        <w:t xml:space="preserve">PROPOSITION DE POINT A INSCRIRE </w:t>
      </w:r>
      <w:r w:rsidR="0048142D" w:rsidRPr="00C66B55">
        <w:rPr>
          <w:b/>
          <w:bCs/>
          <w:szCs w:val="24"/>
          <w:lang w:val="fr-CH"/>
        </w:rPr>
        <w:t>À</w:t>
      </w:r>
      <w:r w:rsidRPr="00C66B55">
        <w:rPr>
          <w:b/>
          <w:bCs/>
          <w:szCs w:val="24"/>
          <w:lang w:val="fr-CH"/>
        </w:rPr>
        <w:t xml:space="preserve"> L</w:t>
      </w:r>
      <w:r w:rsidR="00B20F1D" w:rsidRPr="00C66B55">
        <w:rPr>
          <w:b/>
          <w:bCs/>
          <w:szCs w:val="24"/>
          <w:lang w:val="fr-CH"/>
        </w:rPr>
        <w:t>'</w:t>
      </w:r>
      <w:r w:rsidRPr="00C66B55">
        <w:rPr>
          <w:b/>
          <w:bCs/>
          <w:szCs w:val="24"/>
          <w:lang w:val="fr-CH"/>
        </w:rPr>
        <w:t>ORDRE DU JOUR AFIN D</w:t>
      </w:r>
      <w:r w:rsidR="00B20F1D" w:rsidRPr="00C66B55">
        <w:rPr>
          <w:b/>
          <w:bCs/>
          <w:szCs w:val="24"/>
          <w:lang w:val="fr-CH"/>
        </w:rPr>
        <w:t>'</w:t>
      </w:r>
      <w:r w:rsidRPr="00C66B55">
        <w:rPr>
          <w:b/>
          <w:bCs/>
          <w:szCs w:val="24"/>
          <w:lang w:val="fr-CH"/>
        </w:rPr>
        <w:t>ETUDIER UNE POSSIBLE ATTRIBUTI</w:t>
      </w:r>
      <w:r w:rsidR="00E32183" w:rsidRPr="00C66B55">
        <w:rPr>
          <w:b/>
          <w:bCs/>
          <w:szCs w:val="24"/>
          <w:lang w:val="fr-CH"/>
        </w:rPr>
        <w:t>ON AU SETS (ACTIVE) POUR LES SO</w:t>
      </w:r>
      <w:r w:rsidRPr="00C66B55">
        <w:rPr>
          <w:b/>
          <w:bCs/>
          <w:szCs w:val="24"/>
          <w:lang w:val="fr-CH"/>
        </w:rPr>
        <w:t>NDEURS RADAR SPATIOPORTES DANS LA GAMME DE FREQUENCES 40-50 MHZ</w:t>
      </w:r>
    </w:p>
    <w:p w:rsidR="00B262C4" w:rsidRPr="003973B3" w:rsidRDefault="00B262C4" w:rsidP="0048142D">
      <w:pPr>
        <w:tabs>
          <w:tab w:val="left" w:pos="699"/>
          <w:tab w:val="left" w:pos="1080"/>
          <w:tab w:val="left" w:pos="7257"/>
          <w:tab w:val="left" w:pos="7920"/>
          <w:tab w:val="left" w:pos="8508"/>
          <w:tab w:val="left" w:pos="9216"/>
        </w:tabs>
        <w:jc w:val="center"/>
        <w:rPr>
          <w:bCs/>
          <w:szCs w:val="24"/>
          <w:lang w:val="fr-CH"/>
        </w:rPr>
      </w:pPr>
    </w:p>
    <w:p w:rsidR="00B262C4" w:rsidRPr="003973B3" w:rsidRDefault="00B262C4" w:rsidP="0048142D">
      <w:pPr>
        <w:pStyle w:val="Headingb"/>
        <w:spacing w:before="0"/>
        <w:jc w:val="both"/>
        <w:rPr>
          <w:b w:val="0"/>
          <w:color w:val="000000"/>
          <w:szCs w:val="24"/>
          <w:lang w:val="fr-CH"/>
        </w:rPr>
      </w:pPr>
      <w:r w:rsidRPr="003973B3">
        <w:rPr>
          <w:bCs/>
          <w:i/>
          <w:color w:val="000000"/>
          <w:szCs w:val="24"/>
          <w:lang w:val="fr-CH"/>
        </w:rPr>
        <w:t>Objet</w:t>
      </w:r>
      <w:r w:rsidRPr="003973B3">
        <w:rPr>
          <w:i/>
          <w:color w:val="000000"/>
          <w:szCs w:val="24"/>
          <w:lang w:val="fr-CH"/>
        </w:rPr>
        <w:t>:</w:t>
      </w:r>
      <w:r w:rsidRPr="003973B3">
        <w:rPr>
          <w:color w:val="000000"/>
          <w:szCs w:val="24"/>
          <w:lang w:val="fr-CH"/>
        </w:rPr>
        <w:t xml:space="preserve"> </w:t>
      </w:r>
      <w:r w:rsidR="00E32183">
        <w:rPr>
          <w:b w:val="0"/>
          <w:bCs/>
          <w:color w:val="000000"/>
          <w:szCs w:val="24"/>
          <w:lang w:val="fr-CH"/>
        </w:rPr>
        <w:t>Proposition de point</w:t>
      </w:r>
      <w:r w:rsidR="00EB78FE">
        <w:rPr>
          <w:b w:val="0"/>
          <w:bCs/>
          <w:color w:val="000000"/>
          <w:szCs w:val="24"/>
          <w:lang w:val="fr-CH"/>
        </w:rPr>
        <w:t xml:space="preserve"> à inscrire à l</w:t>
      </w:r>
      <w:r w:rsidR="00B20F1D">
        <w:rPr>
          <w:b w:val="0"/>
          <w:bCs/>
          <w:color w:val="000000"/>
          <w:szCs w:val="24"/>
          <w:lang w:val="fr-CH"/>
        </w:rPr>
        <w:t>'</w:t>
      </w:r>
      <w:r w:rsidR="00EB78FE">
        <w:rPr>
          <w:b w:val="0"/>
          <w:bCs/>
          <w:color w:val="000000"/>
          <w:szCs w:val="24"/>
          <w:lang w:val="fr-CH"/>
        </w:rPr>
        <w:t>ordre du jour de la CMR-23 afin d</w:t>
      </w:r>
      <w:r w:rsidR="00B20F1D">
        <w:rPr>
          <w:b w:val="0"/>
          <w:bCs/>
          <w:color w:val="000000"/>
          <w:szCs w:val="24"/>
          <w:lang w:val="fr-CH"/>
        </w:rPr>
        <w:t>'</w:t>
      </w:r>
      <w:r w:rsidR="00EB78FE">
        <w:rPr>
          <w:b w:val="0"/>
          <w:bCs/>
          <w:color w:val="000000"/>
          <w:szCs w:val="24"/>
          <w:lang w:val="fr-CH"/>
        </w:rPr>
        <w:t>étudier une possible attribution pour les sondeurs radar spatioportés dans la gamme de fréquences 40-50 MHz.</w:t>
      </w:r>
    </w:p>
    <w:p w:rsidR="00B262C4" w:rsidRPr="003973B3" w:rsidRDefault="00B262C4" w:rsidP="0048142D">
      <w:pPr>
        <w:pStyle w:val="Index1"/>
        <w:pBdr>
          <w:bottom w:val="single" w:sz="12" w:space="1" w:color="auto"/>
        </w:pBdr>
        <w:spacing w:before="0"/>
        <w:rPr>
          <w:color w:val="000000"/>
          <w:szCs w:val="24"/>
          <w:highlight w:val="yellow"/>
          <w:lang w:val="fr-CH"/>
        </w:rPr>
      </w:pPr>
    </w:p>
    <w:p w:rsidR="00B262C4" w:rsidRPr="003973B3" w:rsidRDefault="00B262C4" w:rsidP="0048142D">
      <w:pPr>
        <w:rPr>
          <w:color w:val="000000"/>
          <w:szCs w:val="24"/>
          <w:lang w:val="fr-CH"/>
        </w:rPr>
      </w:pPr>
      <w:r w:rsidRPr="003973B3">
        <w:rPr>
          <w:b/>
          <w:i/>
          <w:color w:val="000000"/>
          <w:szCs w:val="24"/>
          <w:lang w:val="fr-CH"/>
        </w:rPr>
        <w:t>Origine:</w:t>
      </w:r>
      <w:r w:rsidRPr="003973B3">
        <w:rPr>
          <w:color w:val="000000"/>
          <w:szCs w:val="24"/>
          <w:lang w:val="fr-CH"/>
        </w:rPr>
        <w:t xml:space="preserve"> </w:t>
      </w:r>
      <w:r w:rsidR="0048142D" w:rsidRPr="003973B3">
        <w:rPr>
          <w:lang w:val="fr-CH"/>
        </w:rPr>
        <w:t>États</w:t>
      </w:r>
      <w:r w:rsidR="00EB78FE" w:rsidRPr="003973B3">
        <w:rPr>
          <w:lang w:val="fr-CH"/>
        </w:rPr>
        <w:t xml:space="preserve"> Membres de la Commission interaméricaine des télécommunications </w:t>
      </w:r>
      <w:r w:rsidRPr="003973B3">
        <w:rPr>
          <w:lang w:val="fr-CH"/>
        </w:rPr>
        <w:t>(CITEL)</w:t>
      </w:r>
    </w:p>
    <w:p w:rsidR="00B262C4" w:rsidRPr="003973B3" w:rsidRDefault="00B262C4" w:rsidP="0048142D">
      <w:pPr>
        <w:pStyle w:val="Index1"/>
        <w:pBdr>
          <w:bottom w:val="single" w:sz="12" w:space="1" w:color="auto"/>
        </w:pBdr>
        <w:spacing w:before="0"/>
        <w:rPr>
          <w:color w:val="000000"/>
          <w:szCs w:val="24"/>
          <w:highlight w:val="yellow"/>
          <w:lang w:val="fr-CH"/>
        </w:rPr>
      </w:pPr>
    </w:p>
    <w:p w:rsidR="00B262C4" w:rsidRPr="003973B3" w:rsidRDefault="00B262C4" w:rsidP="0048142D">
      <w:pPr>
        <w:pStyle w:val="BodyText"/>
        <w:rPr>
          <w:b/>
          <w:bCs/>
          <w:color w:val="000000"/>
          <w:szCs w:val="24"/>
          <w:lang w:val="fr-CH"/>
        </w:rPr>
      </w:pPr>
    </w:p>
    <w:p w:rsidR="00B262C4" w:rsidRPr="003973B3" w:rsidRDefault="00B262C4" w:rsidP="0048142D">
      <w:pPr>
        <w:pStyle w:val="BodyText"/>
        <w:rPr>
          <w:b/>
          <w:bCs/>
          <w:iCs w:val="0"/>
          <w:color w:val="000000"/>
          <w:szCs w:val="24"/>
          <w:highlight w:val="yellow"/>
          <w:lang w:val="fr-CH"/>
        </w:rPr>
      </w:pPr>
      <w:r w:rsidRPr="003973B3">
        <w:rPr>
          <w:b/>
          <w:bCs/>
          <w:lang w:val="fr-CH"/>
        </w:rPr>
        <w:t>Proposition</w:t>
      </w:r>
      <w:r w:rsidRPr="003973B3">
        <w:rPr>
          <w:b/>
          <w:bCs/>
          <w:color w:val="000000"/>
          <w:szCs w:val="24"/>
          <w:lang w:val="fr-CH"/>
        </w:rPr>
        <w:t>:</w:t>
      </w:r>
      <w:r w:rsidRPr="003973B3">
        <w:rPr>
          <w:i w:val="0"/>
          <w:szCs w:val="24"/>
          <w:lang w:val="fr-CH"/>
        </w:rPr>
        <w:t xml:space="preserve"> </w:t>
      </w:r>
      <w:r w:rsidR="00EB78FE" w:rsidRPr="00EB78FE">
        <w:rPr>
          <w:bCs/>
          <w:i w:val="0"/>
          <w:iCs w:val="0"/>
          <w:szCs w:val="24"/>
          <w:lang w:val="fr-CH"/>
        </w:rPr>
        <w:t>examiner le Tableau d</w:t>
      </w:r>
      <w:r w:rsidR="00B20F1D">
        <w:rPr>
          <w:bCs/>
          <w:i w:val="0"/>
          <w:iCs w:val="0"/>
          <w:szCs w:val="24"/>
          <w:lang w:val="fr-CH"/>
        </w:rPr>
        <w:t>'</w:t>
      </w:r>
      <w:r w:rsidR="00EB78FE" w:rsidRPr="00EB78FE">
        <w:rPr>
          <w:bCs/>
          <w:i w:val="0"/>
          <w:iCs w:val="0"/>
          <w:szCs w:val="24"/>
          <w:lang w:val="fr-CH"/>
        </w:rPr>
        <w:t>attribution des bandes de fréquences en vue d</w:t>
      </w:r>
      <w:r w:rsidR="00B20F1D">
        <w:rPr>
          <w:bCs/>
          <w:i w:val="0"/>
          <w:iCs w:val="0"/>
          <w:szCs w:val="24"/>
          <w:lang w:val="fr-CH"/>
        </w:rPr>
        <w:t>'</w:t>
      </w:r>
      <w:r w:rsidR="00EB78FE" w:rsidRPr="00EB78FE">
        <w:rPr>
          <w:bCs/>
          <w:i w:val="0"/>
          <w:iCs w:val="0"/>
          <w:szCs w:val="24"/>
          <w:lang w:val="fr-CH"/>
        </w:rPr>
        <w:t>y apporter des modifications pour permettre une attribution au service d</w:t>
      </w:r>
      <w:r w:rsidR="00B20F1D">
        <w:rPr>
          <w:bCs/>
          <w:i w:val="0"/>
          <w:iCs w:val="0"/>
          <w:szCs w:val="24"/>
          <w:lang w:val="fr-CH"/>
        </w:rPr>
        <w:t>'</w:t>
      </w:r>
      <w:r w:rsidR="00EB78FE" w:rsidRPr="00EB78FE">
        <w:rPr>
          <w:bCs/>
          <w:i w:val="0"/>
          <w:iCs w:val="0"/>
          <w:szCs w:val="24"/>
          <w:lang w:val="fr-CH"/>
        </w:rPr>
        <w:t>exploration de la Terre par satellite (active) dans la gamme de fréquences 40-50 MHz, conformément à la Résolution</w:t>
      </w:r>
      <w:r w:rsidR="00EB78FE" w:rsidRPr="00EB78FE">
        <w:rPr>
          <w:b/>
          <w:bCs/>
          <w:i w:val="0"/>
          <w:iCs w:val="0"/>
          <w:szCs w:val="24"/>
          <w:lang w:val="fr-CH"/>
        </w:rPr>
        <w:t xml:space="preserve"> [IAP</w:t>
      </w:r>
      <w:r w:rsidR="00EB78FE" w:rsidRPr="00EB78FE">
        <w:rPr>
          <w:b/>
          <w:bCs/>
          <w:i w:val="0"/>
          <w:iCs w:val="0"/>
          <w:szCs w:val="24"/>
          <w:lang w:val="fr-CH"/>
        </w:rPr>
        <w:noBreakHyphen/>
        <w:t>10G-40-50</w:t>
      </w:r>
      <w:r w:rsidR="00EB78FE" w:rsidRPr="00EB78FE">
        <w:rPr>
          <w:i w:val="0"/>
          <w:iCs w:val="0"/>
          <w:szCs w:val="24"/>
          <w:lang w:val="fr-CH"/>
        </w:rPr>
        <w:t xml:space="preserve">] </w:t>
      </w:r>
      <w:r w:rsidR="00E32183">
        <w:rPr>
          <w:b/>
          <w:bCs/>
          <w:i w:val="0"/>
          <w:iCs w:val="0"/>
          <w:szCs w:val="24"/>
          <w:lang w:val="fr-CH"/>
        </w:rPr>
        <w:t>(</w:t>
      </w:r>
      <w:r w:rsidR="00EB78FE" w:rsidRPr="00EB78FE">
        <w:rPr>
          <w:b/>
          <w:bCs/>
          <w:i w:val="0"/>
          <w:iCs w:val="0"/>
          <w:szCs w:val="24"/>
          <w:lang w:val="fr-CH"/>
        </w:rPr>
        <w:t>C</w:t>
      </w:r>
      <w:r w:rsidR="00E32183">
        <w:rPr>
          <w:b/>
          <w:bCs/>
          <w:i w:val="0"/>
          <w:iCs w:val="0"/>
          <w:szCs w:val="24"/>
          <w:lang w:val="fr-CH"/>
        </w:rPr>
        <w:t>MR</w:t>
      </w:r>
      <w:r w:rsidR="00EB78FE" w:rsidRPr="00EB78FE">
        <w:rPr>
          <w:b/>
          <w:bCs/>
          <w:i w:val="0"/>
          <w:iCs w:val="0"/>
          <w:szCs w:val="24"/>
          <w:lang w:val="fr-CH"/>
        </w:rPr>
        <w:noBreakHyphen/>
        <w:t>15).</w:t>
      </w:r>
    </w:p>
    <w:p w:rsidR="00B262C4" w:rsidRPr="003973B3" w:rsidRDefault="00B262C4" w:rsidP="0048142D">
      <w:pPr>
        <w:pStyle w:val="Index1"/>
        <w:pBdr>
          <w:bottom w:val="single" w:sz="12" w:space="0" w:color="auto"/>
        </w:pBdr>
        <w:spacing w:before="0"/>
        <w:rPr>
          <w:color w:val="000000"/>
          <w:szCs w:val="24"/>
          <w:highlight w:val="yellow"/>
          <w:lang w:val="fr-CH"/>
        </w:rPr>
      </w:pPr>
    </w:p>
    <w:p w:rsidR="00B262C4" w:rsidRPr="003973B3" w:rsidRDefault="00B262C4" w:rsidP="0048142D">
      <w:pPr>
        <w:pStyle w:val="headingb0"/>
        <w:rPr>
          <w:lang w:val="fr-CH"/>
        </w:rPr>
      </w:pPr>
      <w:r w:rsidRPr="003973B3">
        <w:rPr>
          <w:lang w:val="fr-CH"/>
        </w:rPr>
        <w:t>Contexte/motif:</w:t>
      </w:r>
    </w:p>
    <w:p w:rsidR="00B262C4" w:rsidRPr="003973B3" w:rsidRDefault="00E32183" w:rsidP="0048142D">
      <w:pPr>
        <w:rPr>
          <w:lang w:val="fr-CH"/>
        </w:rPr>
      </w:pPr>
      <w:r>
        <w:rPr>
          <w:lang w:val="fr-CH"/>
        </w:rPr>
        <w:t>Les agences spatiales s'intéressent à</w:t>
      </w:r>
      <w:r w:rsidR="006633CB" w:rsidRPr="003973B3">
        <w:rPr>
          <w:lang w:val="fr-CH"/>
        </w:rPr>
        <w:t xml:space="preserve"> l</w:t>
      </w:r>
      <w:r w:rsidR="00B20F1D">
        <w:rPr>
          <w:lang w:val="fr-CH"/>
        </w:rPr>
        <w:t>'</w:t>
      </w:r>
      <w:r w:rsidR="006633CB" w:rsidRPr="003973B3">
        <w:rPr>
          <w:lang w:val="fr-CH"/>
        </w:rPr>
        <w:t xml:space="preserve">utilisation de détecteurs actifs spatioportés dans la gamme de fréquences de 40-50 MHz </w:t>
      </w:r>
      <w:r>
        <w:rPr>
          <w:lang w:val="fr-CH"/>
        </w:rPr>
        <w:t xml:space="preserve">pour </w:t>
      </w:r>
      <w:r w:rsidR="006633CB" w:rsidRPr="003973B3">
        <w:rPr>
          <w:lang w:val="fr-CH"/>
        </w:rPr>
        <w:t xml:space="preserve">effectuer des mesures sous la surface de la Terre </w:t>
      </w:r>
      <w:r>
        <w:rPr>
          <w:lang w:val="fr-CH"/>
        </w:rPr>
        <w:t>afin d'</w:t>
      </w:r>
      <w:r w:rsidR="006633CB" w:rsidRPr="003973B3">
        <w:rPr>
          <w:lang w:val="fr-CH"/>
        </w:rPr>
        <w:t>établir des cartes radar des couches diffusantes de la subsurface, l'objectif étant de localiser de l'eau/de la glace/des gisements.</w:t>
      </w:r>
      <w:r w:rsidR="006633CB">
        <w:rPr>
          <w:lang w:val="fr-CH"/>
        </w:rPr>
        <w:t xml:space="preserve"> Ces </w:t>
      </w:r>
      <w:r>
        <w:rPr>
          <w:lang w:val="fr-CH"/>
        </w:rPr>
        <w:t>données</w:t>
      </w:r>
      <w:r w:rsidR="006633CB">
        <w:rPr>
          <w:lang w:val="fr-CH"/>
        </w:rPr>
        <w:t xml:space="preserve"> </w:t>
      </w:r>
      <w:r w:rsidR="006633CB" w:rsidRPr="003973B3">
        <w:rPr>
          <w:lang w:val="fr-CH"/>
        </w:rPr>
        <w:t>seraient très utiles pour les études en cours dans le monde sur les changements climatiques et aiderai</w:t>
      </w:r>
      <w:r>
        <w:rPr>
          <w:lang w:val="fr-CH"/>
        </w:rPr>
        <w:t>en</w:t>
      </w:r>
      <w:r w:rsidR="006633CB" w:rsidRPr="003973B3">
        <w:rPr>
          <w:lang w:val="fr-CH"/>
        </w:rPr>
        <w:t>t grandement les administrations à évaluer les réserves d</w:t>
      </w:r>
      <w:r w:rsidR="00B20F1D">
        <w:rPr>
          <w:lang w:val="fr-CH"/>
        </w:rPr>
        <w:t>'</w:t>
      </w:r>
      <w:r w:rsidR="006633CB" w:rsidRPr="003973B3">
        <w:rPr>
          <w:lang w:val="fr-CH"/>
        </w:rPr>
        <w:t>eau souterraine</w:t>
      </w:r>
      <w:r>
        <w:rPr>
          <w:lang w:val="fr-CH"/>
        </w:rPr>
        <w:t>s</w:t>
      </w:r>
      <w:r w:rsidR="006633CB" w:rsidRPr="003973B3">
        <w:rPr>
          <w:lang w:val="fr-CH"/>
        </w:rPr>
        <w:t xml:space="preserve"> sur leur territoire. Dans la pratique, seuls des détecteurs actifs spatioportés permettent d</w:t>
      </w:r>
      <w:r w:rsidR="00B20F1D">
        <w:rPr>
          <w:lang w:val="fr-CH"/>
        </w:rPr>
        <w:t>'</w:t>
      </w:r>
      <w:r w:rsidR="006633CB" w:rsidRPr="003973B3">
        <w:rPr>
          <w:lang w:val="fr-CH"/>
        </w:rPr>
        <w:t>effectuer des mesures répétées des nappes d</w:t>
      </w:r>
      <w:r w:rsidR="00B20F1D">
        <w:rPr>
          <w:lang w:val="fr-CH"/>
        </w:rPr>
        <w:t>'</w:t>
      </w:r>
      <w:r w:rsidR="006633CB" w:rsidRPr="003973B3">
        <w:rPr>
          <w:lang w:val="fr-CH"/>
        </w:rPr>
        <w:t>eau souterraine</w:t>
      </w:r>
      <w:r>
        <w:rPr>
          <w:lang w:val="fr-CH"/>
        </w:rPr>
        <w:t>s</w:t>
      </w:r>
      <w:r w:rsidR="006633CB" w:rsidRPr="003973B3">
        <w:rPr>
          <w:lang w:val="fr-CH"/>
        </w:rPr>
        <w:t xml:space="preserve"> dans le monde</w:t>
      </w:r>
      <w:r w:rsidR="006633CB">
        <w:rPr>
          <w:lang w:val="fr-CH"/>
        </w:rPr>
        <w:t>.</w:t>
      </w:r>
    </w:p>
    <w:p w:rsidR="00304DC5" w:rsidRPr="003973B3" w:rsidRDefault="00304DC5" w:rsidP="0048142D">
      <w:pPr>
        <w:rPr>
          <w:lang w:val="fr-CH" w:eastAsia="ar-SA"/>
        </w:rPr>
      </w:pPr>
      <w:r w:rsidRPr="003973B3">
        <w:rPr>
          <w:lang w:val="fr-CH"/>
        </w:rPr>
        <w:t xml:space="preserve">La </w:t>
      </w:r>
      <w:r w:rsidR="00E32183">
        <w:rPr>
          <w:lang w:val="fr-CH"/>
        </w:rPr>
        <w:t>gamme de fréquences</w:t>
      </w:r>
      <w:r w:rsidRPr="003973B3">
        <w:rPr>
          <w:lang w:val="fr-CH"/>
        </w:rPr>
        <w:t xml:space="preserve"> 40-50 MHz est attribuée au service fixe, au service mobile et au service de radiodiffusion à titre primaire. Le service de recherche spatiale utilise </w:t>
      </w:r>
      <w:r w:rsidR="00E32183">
        <w:rPr>
          <w:lang w:val="fr-CH"/>
        </w:rPr>
        <w:t xml:space="preserve">les fréquences comprises entre 40,98 et </w:t>
      </w:r>
      <w:r w:rsidRPr="003973B3">
        <w:rPr>
          <w:lang w:val="fr-CH"/>
        </w:rPr>
        <w:t xml:space="preserve">41,015 MHz dans le cadre d'une attribution à titre secondaire. </w:t>
      </w:r>
      <w:r w:rsidRPr="003973B3">
        <w:rPr>
          <w:lang w:val="fr-CH" w:eastAsia="ar-SA"/>
        </w:rPr>
        <w:t xml:space="preserve">La Recommandation ITU-R RS.2042-0 donne les caractéristiques techniques et opérationnelles types des systèmes de sondage radar spatioportés </w:t>
      </w:r>
      <w:r w:rsidR="00E32183">
        <w:rPr>
          <w:lang w:val="fr-CH" w:eastAsia="ar-SA"/>
        </w:rPr>
        <w:t>fonctionnant dans</w:t>
      </w:r>
      <w:r w:rsidRPr="003973B3">
        <w:rPr>
          <w:lang w:val="fr-CH" w:eastAsia="ar-SA"/>
        </w:rPr>
        <w:t xml:space="preserve"> la bande 40-50 MHz à utiliser pour les études de compatibilité.</w:t>
      </w:r>
    </w:p>
    <w:p w:rsidR="00B262C4" w:rsidRPr="003973B3" w:rsidRDefault="006633CB" w:rsidP="0048142D">
      <w:pPr>
        <w:rPr>
          <w:lang w:val="fr-CH"/>
        </w:rPr>
      </w:pPr>
      <w:r w:rsidRPr="003973B3">
        <w:rPr>
          <w:lang w:val="fr-CH" w:eastAsia="en-AU"/>
        </w:rPr>
        <w:t>Au titre de ce point à inscrire à l</w:t>
      </w:r>
      <w:r w:rsidR="00B20F1D">
        <w:rPr>
          <w:lang w:val="fr-CH" w:eastAsia="en-AU"/>
        </w:rPr>
        <w:t>'</w:t>
      </w:r>
      <w:r w:rsidRPr="003973B3">
        <w:rPr>
          <w:lang w:val="fr-CH" w:eastAsia="en-AU"/>
        </w:rPr>
        <w:t>ordre du jour d</w:t>
      </w:r>
      <w:r w:rsidR="00E32183">
        <w:rPr>
          <w:lang w:val="fr-CH" w:eastAsia="en-AU"/>
        </w:rPr>
        <w:t>'une conférence future</w:t>
      </w:r>
      <w:r w:rsidRPr="003973B3">
        <w:rPr>
          <w:lang w:val="fr-CH" w:eastAsia="en-AU"/>
        </w:rPr>
        <w:t>, il est proposé d</w:t>
      </w:r>
      <w:r w:rsidR="00B20F1D">
        <w:rPr>
          <w:lang w:val="fr-CH" w:eastAsia="en-AU"/>
        </w:rPr>
        <w:t>'</w:t>
      </w:r>
      <w:r w:rsidRPr="003973B3">
        <w:rPr>
          <w:lang w:val="fr-CH" w:eastAsia="en-AU"/>
        </w:rPr>
        <w:t>étudier la compatibilité</w:t>
      </w:r>
      <w:r w:rsidR="00532A41">
        <w:rPr>
          <w:lang w:val="fr-CH" w:eastAsia="en-AU"/>
        </w:rPr>
        <w:t xml:space="preserve"> </w:t>
      </w:r>
      <w:r w:rsidR="00E32183">
        <w:rPr>
          <w:lang w:val="fr-CH" w:eastAsia="en-AU"/>
        </w:rPr>
        <w:t>entre l</w:t>
      </w:r>
      <w:r w:rsidR="00B20F1D">
        <w:rPr>
          <w:lang w:val="fr-CH" w:eastAsia="en-AU"/>
        </w:rPr>
        <w:t>'</w:t>
      </w:r>
      <w:r w:rsidR="00E32183">
        <w:rPr>
          <w:lang w:val="fr-CH" w:eastAsia="en-AU"/>
        </w:rPr>
        <w:t>exploitation de</w:t>
      </w:r>
      <w:r w:rsidR="00532A41" w:rsidRPr="003973B3">
        <w:rPr>
          <w:lang w:val="fr-CH" w:eastAsia="en-AU"/>
        </w:rPr>
        <w:t xml:space="preserve"> sondeurs radar spatioportés dans la gamme de fréquences 40-50 MHz et les services existants ayant </w:t>
      </w:r>
      <w:r w:rsidR="00E32183">
        <w:rPr>
          <w:lang w:val="fr-CH" w:eastAsia="en-AU"/>
        </w:rPr>
        <w:t>des</w:t>
      </w:r>
      <w:r w:rsidR="00532A41" w:rsidRPr="003973B3">
        <w:rPr>
          <w:lang w:val="fr-CH" w:eastAsia="en-AU"/>
        </w:rPr>
        <w:t xml:space="preserve"> attribution</w:t>
      </w:r>
      <w:r w:rsidR="00E32183">
        <w:rPr>
          <w:lang w:val="fr-CH" w:eastAsia="en-AU"/>
        </w:rPr>
        <w:t>s</w:t>
      </w:r>
      <w:r w:rsidR="00532A41" w:rsidRPr="003973B3">
        <w:rPr>
          <w:lang w:val="fr-CH" w:eastAsia="en-AU"/>
        </w:rPr>
        <w:t xml:space="preserve"> dans cette gamme</w:t>
      </w:r>
      <w:r w:rsidR="00532A41">
        <w:rPr>
          <w:lang w:val="fr-CH" w:eastAsia="en-AU"/>
        </w:rPr>
        <w:t xml:space="preserve"> et, éventuellement,</w:t>
      </w:r>
      <w:r w:rsidR="00532A41" w:rsidRPr="003973B3">
        <w:rPr>
          <w:lang w:val="fr-CH" w:eastAsia="en-AU"/>
        </w:rPr>
        <w:t xml:space="preserve"> de modifier le Tableau d</w:t>
      </w:r>
      <w:r w:rsidR="00B20F1D">
        <w:rPr>
          <w:lang w:val="fr-CH" w:eastAsia="en-AU"/>
        </w:rPr>
        <w:t>'</w:t>
      </w:r>
      <w:r w:rsidR="00532A41" w:rsidRPr="003973B3">
        <w:rPr>
          <w:lang w:val="fr-CH" w:eastAsia="en-AU"/>
        </w:rPr>
        <w:t>attribution des bandes de fréquences afin d</w:t>
      </w:r>
      <w:r w:rsidR="00B20F1D">
        <w:rPr>
          <w:lang w:val="fr-CH" w:eastAsia="en-AU"/>
        </w:rPr>
        <w:t>'</w:t>
      </w:r>
      <w:r w:rsidR="00532A41" w:rsidRPr="003973B3">
        <w:rPr>
          <w:lang w:val="fr-CH" w:eastAsia="en-AU"/>
        </w:rPr>
        <w:t>y faire figurer une attribution au service d</w:t>
      </w:r>
      <w:r w:rsidR="00B20F1D">
        <w:rPr>
          <w:lang w:val="fr-CH" w:eastAsia="en-AU"/>
        </w:rPr>
        <w:t>'</w:t>
      </w:r>
      <w:r w:rsidR="00532A41" w:rsidRPr="003973B3">
        <w:rPr>
          <w:lang w:val="fr-CH" w:eastAsia="en-AU"/>
        </w:rPr>
        <w:t>exploration de la Terre par satellite (active</w:t>
      </w:r>
      <w:r w:rsidR="00532A41">
        <w:rPr>
          <w:lang w:val="fr-CH" w:eastAsia="en-AU"/>
        </w:rPr>
        <w:t>) pour permettre l</w:t>
      </w:r>
      <w:r w:rsidR="00B20F1D">
        <w:rPr>
          <w:lang w:val="fr-CH" w:eastAsia="en-AU"/>
        </w:rPr>
        <w:t>'</w:t>
      </w:r>
      <w:r w:rsidR="00532A41">
        <w:rPr>
          <w:lang w:val="fr-CH" w:eastAsia="en-AU"/>
        </w:rPr>
        <w:t xml:space="preserve">exploitation de systèmes de sondage radar spatioportés dans </w:t>
      </w:r>
      <w:r w:rsidR="00E32183">
        <w:rPr>
          <w:lang w:val="fr-CH" w:eastAsia="en-AU"/>
        </w:rPr>
        <w:t>cette</w:t>
      </w:r>
      <w:r w:rsidR="00532A41">
        <w:rPr>
          <w:lang w:val="fr-CH" w:eastAsia="en-AU"/>
        </w:rPr>
        <w:t xml:space="preserve"> gamme de fréquences</w:t>
      </w:r>
      <w:r w:rsidR="00B262C4" w:rsidRPr="003973B3">
        <w:rPr>
          <w:lang w:val="fr-CH"/>
        </w:rPr>
        <w:t>.</w:t>
      </w:r>
    </w:p>
    <w:p w:rsidR="00B11EC0" w:rsidRPr="003973B3" w:rsidRDefault="00B11EC0" w:rsidP="0048142D">
      <w:pPr>
        <w:tabs>
          <w:tab w:val="clear" w:pos="1134"/>
          <w:tab w:val="clear" w:pos="1871"/>
          <w:tab w:val="clear" w:pos="2268"/>
        </w:tabs>
        <w:overflowPunct/>
        <w:autoSpaceDE/>
        <w:autoSpaceDN/>
        <w:adjustRightInd/>
        <w:spacing w:before="0"/>
        <w:textAlignment w:val="auto"/>
        <w:rPr>
          <w:lang w:val="fr-CH" w:eastAsia="en-AU"/>
        </w:rPr>
      </w:pPr>
      <w:r w:rsidRPr="003973B3">
        <w:rPr>
          <w:lang w:val="fr-CH" w:eastAsia="en-AU"/>
        </w:rPr>
        <w:br w:type="page"/>
      </w:r>
    </w:p>
    <w:p w:rsidR="00B262C4" w:rsidRPr="003973B3" w:rsidRDefault="00B262C4" w:rsidP="0048142D">
      <w:pPr>
        <w:pBdr>
          <w:bottom w:val="single" w:sz="12" w:space="1" w:color="auto"/>
        </w:pBdr>
        <w:rPr>
          <w:b/>
          <w:i/>
          <w:color w:val="000000"/>
          <w:szCs w:val="24"/>
          <w:lang w:val="fr-CH"/>
        </w:rPr>
      </w:pPr>
    </w:p>
    <w:p w:rsidR="00B262C4" w:rsidRPr="00532A41" w:rsidRDefault="00B11EC0" w:rsidP="0048142D">
      <w:pPr>
        <w:keepNext/>
        <w:rPr>
          <w:iCs/>
          <w:color w:val="000000"/>
          <w:szCs w:val="24"/>
          <w:lang w:val="fr-CH"/>
        </w:rPr>
      </w:pPr>
      <w:r w:rsidRPr="003973B3">
        <w:rPr>
          <w:b/>
          <w:bCs/>
          <w:i/>
          <w:iCs/>
          <w:lang w:val="fr-CH"/>
        </w:rPr>
        <w:t>Services de radiocommunication concernés</w:t>
      </w:r>
      <w:r w:rsidR="00B262C4" w:rsidRPr="003973B3">
        <w:rPr>
          <w:b/>
          <w:i/>
          <w:color w:val="000000"/>
          <w:szCs w:val="24"/>
          <w:lang w:val="fr-CH"/>
        </w:rPr>
        <w:t>:</w:t>
      </w:r>
      <w:r w:rsidR="00532A41">
        <w:rPr>
          <w:b/>
          <w:i/>
          <w:color w:val="000000"/>
          <w:szCs w:val="24"/>
          <w:lang w:val="fr-CH"/>
        </w:rPr>
        <w:t xml:space="preserve"> </w:t>
      </w:r>
      <w:r w:rsidR="00532A41" w:rsidRPr="00532A41">
        <w:rPr>
          <w:bCs/>
          <w:i/>
          <w:color w:val="000000"/>
          <w:szCs w:val="24"/>
          <w:lang w:val="fr-CH"/>
        </w:rPr>
        <w:t>Service</w:t>
      </w:r>
      <w:r w:rsidR="00532A41">
        <w:rPr>
          <w:b/>
          <w:i/>
          <w:color w:val="000000"/>
          <w:szCs w:val="24"/>
          <w:lang w:val="fr-CH"/>
        </w:rPr>
        <w:t xml:space="preserve"> </w:t>
      </w:r>
      <w:r w:rsidR="00532A41" w:rsidRPr="00532A41">
        <w:rPr>
          <w:bCs/>
          <w:i/>
          <w:color w:val="000000"/>
          <w:szCs w:val="24"/>
          <w:lang w:val="fr-CH"/>
        </w:rPr>
        <w:t>fixe</w:t>
      </w:r>
      <w:r w:rsidR="00532A41">
        <w:rPr>
          <w:bCs/>
          <w:color w:val="000000"/>
          <w:szCs w:val="24"/>
          <w:lang w:val="fr-CH"/>
        </w:rPr>
        <w:t>, service mobile, service de radiodiffusion, service de radiolocalisation, service de navigation aéronautique et services de recherche spatiale.</w:t>
      </w:r>
    </w:p>
    <w:p w:rsidR="00B262C4" w:rsidRPr="003973B3" w:rsidRDefault="00B262C4" w:rsidP="0048142D">
      <w:pPr>
        <w:pBdr>
          <w:bottom w:val="single" w:sz="12" w:space="1" w:color="auto"/>
        </w:pBdr>
        <w:rPr>
          <w:color w:val="000000"/>
          <w:szCs w:val="24"/>
          <w:lang w:val="fr-CH"/>
        </w:rPr>
      </w:pPr>
    </w:p>
    <w:p w:rsidR="00B262C4" w:rsidRPr="003973B3" w:rsidRDefault="00B11EC0" w:rsidP="0048142D">
      <w:pPr>
        <w:keepNext/>
        <w:rPr>
          <w:b/>
          <w:i/>
          <w:color w:val="000000"/>
          <w:szCs w:val="24"/>
          <w:lang w:val="fr-CH"/>
        </w:rPr>
      </w:pPr>
      <w:r w:rsidRPr="003973B3">
        <w:rPr>
          <w:b/>
          <w:bCs/>
          <w:i/>
          <w:iCs/>
          <w:lang w:val="fr-CH"/>
        </w:rPr>
        <w:t>Indication des difficultés éventuelles</w:t>
      </w:r>
      <w:r w:rsidR="00B262C4" w:rsidRPr="003973B3">
        <w:rPr>
          <w:b/>
          <w:i/>
          <w:color w:val="000000"/>
          <w:szCs w:val="24"/>
          <w:lang w:val="fr-CH"/>
        </w:rPr>
        <w:t>:</w:t>
      </w:r>
      <w:r w:rsidR="00B262C4" w:rsidRPr="003973B3">
        <w:rPr>
          <w:color w:val="000000"/>
          <w:szCs w:val="24"/>
          <w:lang w:val="fr-CH"/>
        </w:rPr>
        <w:t xml:space="preserve"> </w:t>
      </w:r>
      <w:r w:rsidR="00532A41">
        <w:rPr>
          <w:color w:val="000000"/>
          <w:szCs w:val="24"/>
          <w:lang w:val="fr-CH"/>
        </w:rPr>
        <w:t>Aucune prévue</w:t>
      </w:r>
    </w:p>
    <w:p w:rsidR="00B262C4" w:rsidRPr="003973B3" w:rsidRDefault="00B262C4" w:rsidP="0048142D">
      <w:pPr>
        <w:keepNext/>
        <w:pBdr>
          <w:bottom w:val="single" w:sz="12" w:space="1" w:color="auto"/>
        </w:pBdr>
        <w:rPr>
          <w:color w:val="000000"/>
          <w:szCs w:val="24"/>
          <w:lang w:val="fr-CH"/>
        </w:rPr>
      </w:pPr>
    </w:p>
    <w:p w:rsidR="00B262C4" w:rsidRPr="003973B3" w:rsidRDefault="0048142D" w:rsidP="0048142D">
      <w:pPr>
        <w:keepNext/>
        <w:rPr>
          <w:b/>
          <w:i/>
          <w:color w:val="000000"/>
          <w:szCs w:val="24"/>
          <w:lang w:val="fr-CH"/>
        </w:rPr>
      </w:pPr>
      <w:r w:rsidRPr="003973B3">
        <w:rPr>
          <w:b/>
          <w:bCs/>
          <w:i/>
          <w:iCs/>
          <w:lang w:val="fr-CH"/>
        </w:rPr>
        <w:t>Études</w:t>
      </w:r>
      <w:r w:rsidR="00B11EC0" w:rsidRPr="003973B3">
        <w:rPr>
          <w:b/>
          <w:bCs/>
          <w:i/>
          <w:iCs/>
          <w:lang w:val="fr-CH"/>
        </w:rPr>
        <w:t xml:space="preserve"> précédentes ou en cours sur la question</w:t>
      </w:r>
      <w:r w:rsidR="00B262C4" w:rsidRPr="003973B3">
        <w:rPr>
          <w:b/>
          <w:i/>
          <w:color w:val="000000"/>
          <w:szCs w:val="24"/>
          <w:lang w:val="fr-CH"/>
        </w:rPr>
        <w:t>:</w:t>
      </w:r>
      <w:r w:rsidR="00B262C4" w:rsidRPr="003973B3">
        <w:rPr>
          <w:color w:val="000000"/>
          <w:szCs w:val="24"/>
          <w:lang w:val="fr-CH"/>
        </w:rPr>
        <w:t xml:space="preserve"> </w:t>
      </w:r>
      <w:r w:rsidR="00532A41">
        <w:rPr>
          <w:color w:val="000000"/>
          <w:szCs w:val="24"/>
          <w:lang w:val="fr-CH"/>
        </w:rPr>
        <w:t>À déterminer</w:t>
      </w:r>
    </w:p>
    <w:p w:rsidR="00B262C4" w:rsidRPr="003973B3" w:rsidRDefault="00B262C4" w:rsidP="0048142D">
      <w:pPr>
        <w:keepNext/>
        <w:pBdr>
          <w:bottom w:val="single" w:sz="12" w:space="1" w:color="auto"/>
        </w:pBdr>
        <w:rPr>
          <w:color w:val="000000"/>
          <w:szCs w:val="24"/>
          <w:highlight w:val="yellow"/>
          <w:lang w:val="fr-CH"/>
        </w:rPr>
      </w:pPr>
    </w:p>
    <w:tbl>
      <w:tblPr>
        <w:tblW w:w="0" w:type="auto"/>
        <w:jc w:val="center"/>
        <w:tblBorders>
          <w:bottom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263"/>
        <w:gridCol w:w="5357"/>
      </w:tblGrid>
      <w:tr w:rsidR="00B262C4" w:rsidRPr="003973B3" w:rsidTr="003371C6">
        <w:trPr>
          <w:jc w:val="center"/>
        </w:trPr>
        <w:tc>
          <w:tcPr>
            <w:tcW w:w="4263" w:type="dxa"/>
          </w:tcPr>
          <w:p w:rsidR="00B262C4" w:rsidRPr="003973B3" w:rsidRDefault="0048142D" w:rsidP="0048142D">
            <w:pPr>
              <w:keepNext/>
              <w:framePr w:hSpace="181" w:wrap="notBeside" w:vAnchor="text" w:hAnchor="text" w:xAlign="center" w:y="1"/>
              <w:tabs>
                <w:tab w:val="left" w:pos="4366"/>
              </w:tabs>
              <w:rPr>
                <w:b/>
                <w:i/>
                <w:color w:val="000000"/>
                <w:szCs w:val="24"/>
                <w:lang w:val="fr-CH"/>
              </w:rPr>
            </w:pPr>
            <w:r w:rsidRPr="003973B3">
              <w:rPr>
                <w:b/>
                <w:bCs/>
                <w:i/>
                <w:iCs/>
                <w:lang w:val="fr-CH"/>
              </w:rPr>
              <w:t>Études</w:t>
            </w:r>
            <w:r w:rsidR="00B11EC0" w:rsidRPr="003973B3">
              <w:rPr>
                <w:b/>
                <w:bCs/>
                <w:i/>
                <w:iCs/>
                <w:lang w:val="fr-CH"/>
              </w:rPr>
              <w:t xml:space="preserve"> devant être réalisées par</w:t>
            </w:r>
            <w:r w:rsidR="00B262C4" w:rsidRPr="003973B3">
              <w:rPr>
                <w:b/>
                <w:i/>
                <w:color w:val="000000"/>
                <w:szCs w:val="24"/>
                <w:lang w:val="fr-CH"/>
              </w:rPr>
              <w:t>:</w:t>
            </w:r>
            <w:r w:rsidR="00532A41">
              <w:rPr>
                <w:color w:val="000000"/>
                <w:szCs w:val="24"/>
                <w:lang w:val="fr-CH"/>
              </w:rPr>
              <w:t xml:space="preserve"> GT </w:t>
            </w:r>
            <w:r w:rsidR="00B262C4" w:rsidRPr="003973B3">
              <w:rPr>
                <w:color w:val="000000"/>
                <w:szCs w:val="24"/>
                <w:lang w:val="fr-CH"/>
              </w:rPr>
              <w:t>7C</w:t>
            </w:r>
          </w:p>
        </w:tc>
        <w:tc>
          <w:tcPr>
            <w:tcW w:w="5357" w:type="dxa"/>
          </w:tcPr>
          <w:p w:rsidR="00B262C4" w:rsidRPr="003973B3" w:rsidRDefault="00B11EC0" w:rsidP="0048142D">
            <w:pPr>
              <w:keepNext/>
              <w:framePr w:hSpace="181" w:wrap="notBeside" w:vAnchor="text" w:hAnchor="text" w:xAlign="center" w:y="1"/>
              <w:tabs>
                <w:tab w:val="left" w:pos="4366"/>
              </w:tabs>
              <w:rPr>
                <w:bCs/>
                <w:iCs/>
                <w:color w:val="000000"/>
                <w:szCs w:val="24"/>
                <w:lang w:val="fr-CH"/>
              </w:rPr>
            </w:pPr>
            <w:r w:rsidRPr="003973B3">
              <w:rPr>
                <w:b/>
                <w:bCs/>
                <w:i/>
                <w:iCs/>
                <w:lang w:val="fr-CH"/>
              </w:rPr>
              <w:t>avec la participation de</w:t>
            </w:r>
            <w:r w:rsidRPr="003973B3">
              <w:rPr>
                <w:b/>
                <w:i/>
                <w:color w:val="000000"/>
                <w:szCs w:val="24"/>
                <w:lang w:val="fr-CH"/>
              </w:rPr>
              <w:t xml:space="preserve"> </w:t>
            </w:r>
            <w:r w:rsidR="00B262C4" w:rsidRPr="003973B3">
              <w:rPr>
                <w:b/>
                <w:i/>
                <w:color w:val="000000"/>
                <w:szCs w:val="24"/>
                <w:lang w:val="fr-CH"/>
              </w:rPr>
              <w:t>:</w:t>
            </w:r>
            <w:r w:rsidR="00532A41">
              <w:rPr>
                <w:bCs/>
                <w:iCs/>
                <w:color w:val="000000"/>
                <w:szCs w:val="24"/>
                <w:lang w:val="fr-CH"/>
              </w:rPr>
              <w:t xml:space="preserve"> GT </w:t>
            </w:r>
            <w:r w:rsidR="00B262C4" w:rsidRPr="003973B3">
              <w:rPr>
                <w:bCs/>
                <w:iCs/>
                <w:color w:val="000000"/>
                <w:szCs w:val="24"/>
                <w:lang w:val="fr-CH"/>
              </w:rPr>
              <w:t>5A, 5B, 5C, 6B, 7B</w:t>
            </w:r>
          </w:p>
          <w:p w:rsidR="00B262C4" w:rsidRPr="003973B3" w:rsidRDefault="00B262C4" w:rsidP="0048142D">
            <w:pPr>
              <w:keepNext/>
              <w:framePr w:hSpace="181" w:wrap="notBeside" w:vAnchor="text" w:hAnchor="text" w:xAlign="center" w:y="1"/>
              <w:tabs>
                <w:tab w:val="left" w:pos="4366"/>
              </w:tabs>
              <w:rPr>
                <w:b/>
                <w:i/>
                <w:color w:val="000000"/>
                <w:szCs w:val="24"/>
                <w:lang w:val="fr-CH"/>
              </w:rPr>
            </w:pPr>
          </w:p>
        </w:tc>
      </w:tr>
    </w:tbl>
    <w:p w:rsidR="00B262C4" w:rsidRPr="003973B3" w:rsidRDefault="00B11EC0" w:rsidP="0048142D">
      <w:pPr>
        <w:keepNext/>
        <w:rPr>
          <w:color w:val="000000"/>
          <w:szCs w:val="24"/>
          <w:lang w:val="fr-CH"/>
        </w:rPr>
      </w:pPr>
      <w:r w:rsidRPr="003973B3">
        <w:rPr>
          <w:b/>
          <w:bCs/>
          <w:i/>
          <w:iCs/>
          <w:lang w:val="fr-CH"/>
        </w:rPr>
        <w:t>Commissions d'études de l'UIT-R concernées</w:t>
      </w:r>
      <w:r w:rsidR="00B262C4" w:rsidRPr="003973B3">
        <w:rPr>
          <w:b/>
          <w:i/>
          <w:color w:val="000000"/>
          <w:szCs w:val="24"/>
          <w:lang w:val="fr-CH"/>
        </w:rPr>
        <w:t>:</w:t>
      </w:r>
      <w:r w:rsidR="00532A41">
        <w:rPr>
          <w:color w:val="000000"/>
          <w:szCs w:val="24"/>
          <w:lang w:val="fr-CH"/>
        </w:rPr>
        <w:t xml:space="preserve"> CE </w:t>
      </w:r>
      <w:r w:rsidR="00B262C4" w:rsidRPr="003973B3">
        <w:rPr>
          <w:color w:val="000000"/>
          <w:szCs w:val="24"/>
          <w:lang w:val="fr-CH"/>
        </w:rPr>
        <w:t>5, 6, 7</w:t>
      </w:r>
    </w:p>
    <w:p w:rsidR="00B262C4" w:rsidRPr="003973B3" w:rsidRDefault="00B262C4" w:rsidP="0048142D">
      <w:pPr>
        <w:keepNext/>
        <w:pBdr>
          <w:bottom w:val="single" w:sz="12" w:space="1" w:color="auto"/>
        </w:pBdr>
        <w:rPr>
          <w:color w:val="000000"/>
          <w:szCs w:val="24"/>
          <w:highlight w:val="yellow"/>
          <w:lang w:val="fr-CH"/>
        </w:rPr>
      </w:pPr>
    </w:p>
    <w:p w:rsidR="00B262C4" w:rsidRPr="003973B3" w:rsidRDefault="00B11EC0" w:rsidP="0048142D">
      <w:pPr>
        <w:keepNext/>
        <w:rPr>
          <w:bCs/>
          <w:iCs/>
          <w:color w:val="000000"/>
          <w:szCs w:val="24"/>
          <w:lang w:val="fr-CH"/>
        </w:rPr>
      </w:pPr>
      <w:r w:rsidRPr="003973B3">
        <w:rPr>
          <w:b/>
          <w:bCs/>
          <w:i/>
          <w:iCs/>
          <w:lang w:val="fr-CH"/>
        </w:rPr>
        <w:t>Répercussions au niveau des ressources de l'UIT, y compris incidences financières</w:t>
      </w:r>
      <w:r w:rsidRPr="003973B3">
        <w:rPr>
          <w:b/>
          <w:bCs/>
          <w:i/>
          <w:iCs/>
          <w:lang w:val="fr-CH"/>
        </w:rPr>
        <w:br/>
        <w:t>(voir le numéro 126 de la Convention)</w:t>
      </w:r>
      <w:r w:rsidR="00B262C4" w:rsidRPr="003973B3">
        <w:rPr>
          <w:b/>
          <w:i/>
          <w:color w:val="000000"/>
          <w:szCs w:val="24"/>
          <w:lang w:val="fr-CH"/>
        </w:rPr>
        <w:t xml:space="preserve">: </w:t>
      </w:r>
      <w:r w:rsidR="00532A41">
        <w:rPr>
          <w:bCs/>
          <w:iCs/>
          <w:color w:val="000000"/>
          <w:szCs w:val="24"/>
          <w:lang w:val="fr-CH"/>
        </w:rPr>
        <w:t>Minimales</w:t>
      </w:r>
    </w:p>
    <w:p w:rsidR="00B262C4" w:rsidRPr="003973B3" w:rsidRDefault="00B262C4" w:rsidP="0048142D">
      <w:pPr>
        <w:keepNext/>
        <w:pBdr>
          <w:bottom w:val="single" w:sz="12" w:space="1" w:color="auto"/>
        </w:pBdr>
        <w:rPr>
          <w:color w:val="000000"/>
          <w:szCs w:val="24"/>
          <w:lang w:val="fr-CH"/>
        </w:rPr>
      </w:pPr>
    </w:p>
    <w:p w:rsidR="00B262C4" w:rsidRPr="003973B3" w:rsidRDefault="00B11EC0" w:rsidP="0048142D">
      <w:pPr>
        <w:keepNext/>
        <w:tabs>
          <w:tab w:val="left" w:pos="4366"/>
        </w:tabs>
        <w:rPr>
          <w:color w:val="000000"/>
          <w:szCs w:val="24"/>
          <w:lang w:val="fr-CH"/>
        </w:rPr>
      </w:pPr>
      <w:r w:rsidRPr="003973B3">
        <w:rPr>
          <w:b/>
          <w:bCs/>
          <w:i/>
          <w:iCs/>
          <w:lang w:val="fr-CH"/>
        </w:rPr>
        <w:t>Proposition régionale commune</w:t>
      </w:r>
      <w:r w:rsidR="00B262C4" w:rsidRPr="003973B3">
        <w:rPr>
          <w:b/>
          <w:i/>
          <w:color w:val="000000"/>
          <w:szCs w:val="24"/>
          <w:lang w:val="fr-CH"/>
        </w:rPr>
        <w:t>:</w:t>
      </w:r>
      <w:r w:rsidR="00532A41">
        <w:rPr>
          <w:color w:val="000000"/>
          <w:szCs w:val="24"/>
          <w:lang w:val="fr-CH"/>
        </w:rPr>
        <w:t xml:space="preserve"> À déterminer</w:t>
      </w:r>
      <w:r w:rsidR="00B262C4" w:rsidRPr="003973B3">
        <w:rPr>
          <w:color w:val="000000"/>
          <w:szCs w:val="24"/>
          <w:lang w:val="fr-CH"/>
        </w:rPr>
        <w:tab/>
      </w:r>
      <w:r w:rsidRPr="003973B3">
        <w:rPr>
          <w:b/>
          <w:bCs/>
          <w:i/>
          <w:iCs/>
          <w:lang w:val="fr-CH"/>
        </w:rPr>
        <w:t>Proposition soumise par plusieurs pays</w:t>
      </w:r>
      <w:r w:rsidR="00B262C4" w:rsidRPr="003973B3">
        <w:rPr>
          <w:b/>
          <w:i/>
          <w:color w:val="000000"/>
          <w:szCs w:val="24"/>
          <w:lang w:val="fr-CH"/>
        </w:rPr>
        <w:t xml:space="preserve">: </w:t>
      </w:r>
      <w:r w:rsidR="00B262C4" w:rsidRPr="003973B3">
        <w:rPr>
          <w:color w:val="000000"/>
          <w:szCs w:val="24"/>
          <w:lang w:val="fr-CH"/>
        </w:rPr>
        <w:t>No</w:t>
      </w:r>
      <w:r w:rsidR="00532A41">
        <w:rPr>
          <w:color w:val="000000"/>
          <w:szCs w:val="24"/>
          <w:lang w:val="fr-CH"/>
        </w:rPr>
        <w:t>n</w:t>
      </w:r>
    </w:p>
    <w:p w:rsidR="00B262C4" w:rsidRPr="003973B3" w:rsidRDefault="00B262C4" w:rsidP="0048142D">
      <w:pPr>
        <w:keepNext/>
        <w:tabs>
          <w:tab w:val="left" w:pos="4366"/>
        </w:tabs>
        <w:rPr>
          <w:b/>
          <w:i/>
          <w:color w:val="000000"/>
          <w:szCs w:val="24"/>
          <w:lang w:val="fr-CH"/>
        </w:rPr>
      </w:pPr>
      <w:r w:rsidRPr="003973B3">
        <w:rPr>
          <w:color w:val="000000"/>
          <w:szCs w:val="24"/>
          <w:lang w:val="fr-CH"/>
        </w:rPr>
        <w:tab/>
      </w:r>
      <w:r w:rsidR="00B11EC0" w:rsidRPr="003973B3">
        <w:rPr>
          <w:b/>
          <w:bCs/>
          <w:i/>
          <w:iCs/>
          <w:lang w:val="fr-CH"/>
        </w:rPr>
        <w:t>Nombre de pays</w:t>
      </w:r>
      <w:r w:rsidRPr="003973B3">
        <w:rPr>
          <w:b/>
          <w:i/>
          <w:color w:val="000000"/>
          <w:szCs w:val="24"/>
          <w:lang w:val="fr-CH"/>
        </w:rPr>
        <w:t>:</w:t>
      </w:r>
    </w:p>
    <w:p w:rsidR="00B262C4" w:rsidRPr="003973B3" w:rsidRDefault="00B262C4" w:rsidP="0048142D">
      <w:pPr>
        <w:pBdr>
          <w:bottom w:val="single" w:sz="12" w:space="1" w:color="auto"/>
        </w:pBdr>
        <w:rPr>
          <w:color w:val="000000"/>
          <w:szCs w:val="24"/>
          <w:lang w:val="fr-CH"/>
        </w:rPr>
      </w:pPr>
    </w:p>
    <w:p w:rsidR="00B262C4" w:rsidRPr="003973B3" w:rsidRDefault="00B11EC0" w:rsidP="0048142D">
      <w:pPr>
        <w:spacing w:before="0"/>
        <w:rPr>
          <w:color w:val="000000"/>
          <w:szCs w:val="24"/>
          <w:lang w:val="fr-CH"/>
        </w:rPr>
      </w:pPr>
      <w:r w:rsidRPr="003973B3">
        <w:rPr>
          <w:b/>
          <w:bCs/>
          <w:i/>
          <w:iCs/>
          <w:lang w:val="fr-CH"/>
        </w:rPr>
        <w:t>Observations</w:t>
      </w:r>
    </w:p>
    <w:p w:rsidR="00960436" w:rsidRDefault="00960436" w:rsidP="0048142D">
      <w:pPr>
        <w:pStyle w:val="Reasons"/>
      </w:pPr>
    </w:p>
    <w:p w:rsidR="00960436" w:rsidRDefault="00960436" w:rsidP="0048142D">
      <w:pPr>
        <w:jc w:val="center"/>
      </w:pPr>
      <w:r>
        <w:t>______________</w:t>
      </w:r>
    </w:p>
    <w:sectPr w:rsidR="00960436">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23F8A">
      <w:rPr>
        <w:noProof/>
        <w:lang w:val="en-US"/>
      </w:rPr>
      <w:t>P:\FRA\ITU-R\CONF-R\CMR15\000\007ADD24ADD07F.docx</w:t>
    </w:r>
    <w:r>
      <w:fldChar w:fldCharType="end"/>
    </w:r>
    <w:r>
      <w:rPr>
        <w:lang w:val="en-US"/>
      </w:rPr>
      <w:tab/>
    </w:r>
    <w:r>
      <w:fldChar w:fldCharType="begin"/>
    </w:r>
    <w:r>
      <w:instrText xml:space="preserve"> SAVEDATE \@ DD.MM.YY </w:instrText>
    </w:r>
    <w:r>
      <w:fldChar w:fldCharType="separate"/>
    </w:r>
    <w:r w:rsidR="00E23F8A">
      <w:rPr>
        <w:noProof/>
      </w:rPr>
      <w:t>20.10.15</w:t>
    </w:r>
    <w:r>
      <w:fldChar w:fldCharType="end"/>
    </w:r>
    <w:r>
      <w:rPr>
        <w:lang w:val="en-US"/>
      </w:rPr>
      <w:tab/>
    </w:r>
    <w:r>
      <w:fldChar w:fldCharType="begin"/>
    </w:r>
    <w:r>
      <w:instrText xml:space="preserve"> PRINTDATE \@ DD.MM.YY </w:instrText>
    </w:r>
    <w:r>
      <w:fldChar w:fldCharType="separate"/>
    </w:r>
    <w:r w:rsidR="00E23F8A">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7247BF">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E23F8A">
      <w:rPr>
        <w:lang w:val="en-US"/>
      </w:rPr>
      <w:t>P:\FRA\ITU-R\CONF-R\CMR15\000\007ADD24ADD07F.docx</w:t>
    </w:r>
    <w:r>
      <w:fldChar w:fldCharType="end"/>
    </w:r>
    <w:r w:rsidR="007247BF">
      <w:t xml:space="preserve"> (387568)</w:t>
    </w:r>
    <w:r>
      <w:rPr>
        <w:lang w:val="en-US"/>
      </w:rPr>
      <w:tab/>
    </w:r>
    <w:r>
      <w:fldChar w:fldCharType="begin"/>
    </w:r>
    <w:r>
      <w:instrText xml:space="preserve"> SAVEDATE \@ DD.MM.YY </w:instrText>
    </w:r>
    <w:r>
      <w:fldChar w:fldCharType="separate"/>
    </w:r>
    <w:r w:rsidR="00E23F8A">
      <w:t>20.10.15</w:t>
    </w:r>
    <w:r>
      <w:fldChar w:fldCharType="end"/>
    </w:r>
    <w:r>
      <w:rPr>
        <w:lang w:val="en-US"/>
      </w:rPr>
      <w:tab/>
    </w:r>
    <w:r>
      <w:fldChar w:fldCharType="begin"/>
    </w:r>
    <w:r>
      <w:instrText xml:space="preserve"> PRINTDATE \@ DD.MM.YY </w:instrText>
    </w:r>
    <w:r>
      <w:fldChar w:fldCharType="separate"/>
    </w:r>
    <w:r w:rsidR="00E23F8A">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0A" w:rsidRDefault="00E23F8A" w:rsidP="007247BF">
    <w:pPr>
      <w:pStyle w:val="Footer"/>
      <w:tabs>
        <w:tab w:val="clear" w:pos="5954"/>
        <w:tab w:val="left" w:pos="6946"/>
      </w:tabs>
    </w:pPr>
    <w:r>
      <w:fldChar w:fldCharType="begin"/>
    </w:r>
    <w:r>
      <w:instrText xml:space="preserve"> FILENAME \p  \* MERGEFORMAT </w:instrText>
    </w:r>
    <w:r>
      <w:fldChar w:fldCharType="separate"/>
    </w:r>
    <w:r>
      <w:t>P:\FRA\ITU-R\CONF-R\CMR15\000\007ADD24ADD07F.docx</w:t>
    </w:r>
    <w:r>
      <w:fldChar w:fldCharType="end"/>
    </w:r>
    <w:r w:rsidR="007247BF">
      <w:t xml:space="preserve"> (387568)</w:t>
    </w:r>
    <w:r w:rsidR="00D5740A">
      <w:tab/>
    </w:r>
    <w:r w:rsidR="00D5740A">
      <w:fldChar w:fldCharType="begin"/>
    </w:r>
    <w:r w:rsidR="00D5740A">
      <w:instrText xml:space="preserve"> SAVEDATE \@ DD.MM.YY </w:instrText>
    </w:r>
    <w:r w:rsidR="00D5740A">
      <w:fldChar w:fldCharType="separate"/>
    </w:r>
    <w:r>
      <w:t>20.10.15</w:t>
    </w:r>
    <w:r w:rsidR="00D5740A">
      <w:fldChar w:fldCharType="end"/>
    </w:r>
    <w:r w:rsidR="00D5740A">
      <w:tab/>
    </w:r>
    <w:r w:rsidR="00D5740A">
      <w:fldChar w:fldCharType="begin"/>
    </w:r>
    <w:r w:rsidR="00D5740A">
      <w:instrText xml:space="preserve"> PRINTDATE \@ DD.MM.YY </w:instrText>
    </w:r>
    <w:r w:rsidR="00D5740A">
      <w:fldChar w:fldCharType="separate"/>
    </w:r>
    <w:r>
      <w:t>20.10.15</w:t>
    </w:r>
    <w:r w:rsidR="00D5740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23F8A">
      <w:rPr>
        <w:noProof/>
      </w:rPr>
      <w:t>6</w:t>
    </w:r>
    <w:r>
      <w:fldChar w:fldCharType="end"/>
    </w:r>
  </w:p>
  <w:p w:rsidR="004F1F8E" w:rsidRDefault="004F1F8E" w:rsidP="002C28A4">
    <w:pPr>
      <w:pStyle w:val="Header"/>
    </w:pPr>
    <w:r>
      <w:t>CMR1</w:t>
    </w:r>
    <w:r w:rsidR="002C28A4">
      <w:t>5</w:t>
    </w:r>
    <w:r>
      <w:t>/</w:t>
    </w:r>
    <w:r w:rsidR="006A4B45">
      <w:t>7(Add.24)(Add.7)-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CB892EB-83C4-4546-BC83-1FC561C77E05}"/>
    <w:docVar w:name="dgnword-eventsink" w:val="391884560"/>
  </w:docVars>
  <w:rsids>
    <w:rsidRoot w:val="00BB1D82"/>
    <w:rsid w:val="00007EC7"/>
    <w:rsid w:val="00010B43"/>
    <w:rsid w:val="00016648"/>
    <w:rsid w:val="0003522F"/>
    <w:rsid w:val="00080E2C"/>
    <w:rsid w:val="000A4755"/>
    <w:rsid w:val="000B11BE"/>
    <w:rsid w:val="000B2E0C"/>
    <w:rsid w:val="000B3D0C"/>
    <w:rsid w:val="000B7E64"/>
    <w:rsid w:val="001167B9"/>
    <w:rsid w:val="001267A0"/>
    <w:rsid w:val="0015203F"/>
    <w:rsid w:val="00156690"/>
    <w:rsid w:val="00160C64"/>
    <w:rsid w:val="0018169B"/>
    <w:rsid w:val="0019352B"/>
    <w:rsid w:val="001960D0"/>
    <w:rsid w:val="001B32CC"/>
    <w:rsid w:val="001C2A40"/>
    <w:rsid w:val="001F17E8"/>
    <w:rsid w:val="00204306"/>
    <w:rsid w:val="00232FD2"/>
    <w:rsid w:val="002442C0"/>
    <w:rsid w:val="0026554E"/>
    <w:rsid w:val="002A4622"/>
    <w:rsid w:val="002A6F8F"/>
    <w:rsid w:val="002B17E5"/>
    <w:rsid w:val="002C0EBF"/>
    <w:rsid w:val="002C28A4"/>
    <w:rsid w:val="00304DC5"/>
    <w:rsid w:val="00315AFE"/>
    <w:rsid w:val="003606A6"/>
    <w:rsid w:val="0036650C"/>
    <w:rsid w:val="00386A61"/>
    <w:rsid w:val="00393ACD"/>
    <w:rsid w:val="003973B3"/>
    <w:rsid w:val="003A583E"/>
    <w:rsid w:val="003B3AB0"/>
    <w:rsid w:val="003B75C6"/>
    <w:rsid w:val="003D7999"/>
    <w:rsid w:val="003E112B"/>
    <w:rsid w:val="003E1D1C"/>
    <w:rsid w:val="003E7B05"/>
    <w:rsid w:val="00404D25"/>
    <w:rsid w:val="004209D0"/>
    <w:rsid w:val="00466211"/>
    <w:rsid w:val="0047105E"/>
    <w:rsid w:val="0048142D"/>
    <w:rsid w:val="004834A9"/>
    <w:rsid w:val="004D00CC"/>
    <w:rsid w:val="004D01FC"/>
    <w:rsid w:val="004E28C3"/>
    <w:rsid w:val="004E4AE5"/>
    <w:rsid w:val="004F1F8E"/>
    <w:rsid w:val="00512A32"/>
    <w:rsid w:val="00532A41"/>
    <w:rsid w:val="00560263"/>
    <w:rsid w:val="0058491C"/>
    <w:rsid w:val="00586CF2"/>
    <w:rsid w:val="005C3768"/>
    <w:rsid w:val="005C6C3F"/>
    <w:rsid w:val="005E4DC2"/>
    <w:rsid w:val="005E6D06"/>
    <w:rsid w:val="005E7A2B"/>
    <w:rsid w:val="00613635"/>
    <w:rsid w:val="0062093D"/>
    <w:rsid w:val="00637ECF"/>
    <w:rsid w:val="00647B59"/>
    <w:rsid w:val="006633CB"/>
    <w:rsid w:val="00690C7B"/>
    <w:rsid w:val="00694F44"/>
    <w:rsid w:val="006A4B45"/>
    <w:rsid w:val="006C3EEB"/>
    <w:rsid w:val="006D4724"/>
    <w:rsid w:val="006E26E1"/>
    <w:rsid w:val="00701941"/>
    <w:rsid w:val="00701BAE"/>
    <w:rsid w:val="00721F04"/>
    <w:rsid w:val="0072402F"/>
    <w:rsid w:val="007247BF"/>
    <w:rsid w:val="00730E95"/>
    <w:rsid w:val="007426B9"/>
    <w:rsid w:val="0074319B"/>
    <w:rsid w:val="00762253"/>
    <w:rsid w:val="00764342"/>
    <w:rsid w:val="00774362"/>
    <w:rsid w:val="00786598"/>
    <w:rsid w:val="007A04E8"/>
    <w:rsid w:val="007D039C"/>
    <w:rsid w:val="007E2CFF"/>
    <w:rsid w:val="00800724"/>
    <w:rsid w:val="008339A6"/>
    <w:rsid w:val="00851625"/>
    <w:rsid w:val="00863C0A"/>
    <w:rsid w:val="00876FE2"/>
    <w:rsid w:val="008A3120"/>
    <w:rsid w:val="008D3115"/>
    <w:rsid w:val="008D41BE"/>
    <w:rsid w:val="008D58D3"/>
    <w:rsid w:val="008F18D0"/>
    <w:rsid w:val="00923064"/>
    <w:rsid w:val="00930FFD"/>
    <w:rsid w:val="00936D25"/>
    <w:rsid w:val="00941EA5"/>
    <w:rsid w:val="00960436"/>
    <w:rsid w:val="00964700"/>
    <w:rsid w:val="00966C16"/>
    <w:rsid w:val="00977AA7"/>
    <w:rsid w:val="0098732F"/>
    <w:rsid w:val="009A045F"/>
    <w:rsid w:val="009C7E7C"/>
    <w:rsid w:val="00A00473"/>
    <w:rsid w:val="00A03C9B"/>
    <w:rsid w:val="00A04D6F"/>
    <w:rsid w:val="00A3234A"/>
    <w:rsid w:val="00A37105"/>
    <w:rsid w:val="00A42984"/>
    <w:rsid w:val="00A606C3"/>
    <w:rsid w:val="00A74237"/>
    <w:rsid w:val="00A83B09"/>
    <w:rsid w:val="00A84541"/>
    <w:rsid w:val="00A916E8"/>
    <w:rsid w:val="00A9401F"/>
    <w:rsid w:val="00AE36A0"/>
    <w:rsid w:val="00B00294"/>
    <w:rsid w:val="00B11EC0"/>
    <w:rsid w:val="00B20F1D"/>
    <w:rsid w:val="00B262C4"/>
    <w:rsid w:val="00B64FD0"/>
    <w:rsid w:val="00B90DBB"/>
    <w:rsid w:val="00BA5BD0"/>
    <w:rsid w:val="00BB1D82"/>
    <w:rsid w:val="00BD4130"/>
    <w:rsid w:val="00BE3489"/>
    <w:rsid w:val="00BF26E7"/>
    <w:rsid w:val="00C11A50"/>
    <w:rsid w:val="00C3417A"/>
    <w:rsid w:val="00C5071B"/>
    <w:rsid w:val="00C53FCA"/>
    <w:rsid w:val="00C66B55"/>
    <w:rsid w:val="00C76BAF"/>
    <w:rsid w:val="00C814B9"/>
    <w:rsid w:val="00CD3E97"/>
    <w:rsid w:val="00CD516F"/>
    <w:rsid w:val="00D119A7"/>
    <w:rsid w:val="00D25FBA"/>
    <w:rsid w:val="00D32B28"/>
    <w:rsid w:val="00D41151"/>
    <w:rsid w:val="00D42954"/>
    <w:rsid w:val="00D514B1"/>
    <w:rsid w:val="00D5740A"/>
    <w:rsid w:val="00D66EAC"/>
    <w:rsid w:val="00D730DF"/>
    <w:rsid w:val="00D772F0"/>
    <w:rsid w:val="00D77BDC"/>
    <w:rsid w:val="00DA709C"/>
    <w:rsid w:val="00DC402B"/>
    <w:rsid w:val="00DE0932"/>
    <w:rsid w:val="00E03A27"/>
    <w:rsid w:val="00E049F1"/>
    <w:rsid w:val="00E23F8A"/>
    <w:rsid w:val="00E3060D"/>
    <w:rsid w:val="00E32183"/>
    <w:rsid w:val="00E37A25"/>
    <w:rsid w:val="00E537FF"/>
    <w:rsid w:val="00E6539B"/>
    <w:rsid w:val="00E70A31"/>
    <w:rsid w:val="00E80513"/>
    <w:rsid w:val="00EA3F38"/>
    <w:rsid w:val="00EA5AB6"/>
    <w:rsid w:val="00EB78FE"/>
    <w:rsid w:val="00EC7615"/>
    <w:rsid w:val="00ED16AA"/>
    <w:rsid w:val="00ED546C"/>
    <w:rsid w:val="00ED6FB7"/>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23EB357-5BBD-4761-81AF-E26F1A75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Normalaftertitle0">
    <w:name w:val="Normal_after_title"/>
    <w:basedOn w:val="Normal"/>
    <w:next w:val="Normal"/>
    <w:link w:val="NormalaftertitleChar"/>
    <w:rsid w:val="002442C0"/>
    <w:pPr>
      <w:spacing w:before="360"/>
    </w:pPr>
  </w:style>
  <w:style w:type="character" w:customStyle="1" w:styleId="CallChar">
    <w:name w:val="Call Char"/>
    <w:basedOn w:val="DefaultParagraphFont"/>
    <w:link w:val="Call"/>
    <w:locked/>
    <w:rsid w:val="002442C0"/>
    <w:rPr>
      <w:rFonts w:ascii="Times New Roman" w:hAnsi="Times New Roman"/>
      <w:i/>
      <w:sz w:val="24"/>
      <w:lang w:val="fr-FR" w:eastAsia="en-US"/>
    </w:rPr>
  </w:style>
  <w:style w:type="character" w:customStyle="1" w:styleId="NormalaftertitleChar">
    <w:name w:val="Normal_after_title Char"/>
    <w:basedOn w:val="DefaultParagraphFont"/>
    <w:link w:val="Normalaftertitle0"/>
    <w:locked/>
    <w:rsid w:val="002442C0"/>
    <w:rPr>
      <w:rFonts w:ascii="Times New Roman" w:hAnsi="Times New Roman"/>
      <w:sz w:val="24"/>
      <w:lang w:val="fr-FR" w:eastAsia="en-US"/>
    </w:rPr>
  </w:style>
  <w:style w:type="character" w:customStyle="1" w:styleId="AnnextitleChar">
    <w:name w:val="Annex_title Char"/>
    <w:basedOn w:val="DefaultParagraphFont"/>
    <w:link w:val="Annextitle"/>
    <w:locked/>
    <w:rsid w:val="005E4DC2"/>
    <w:rPr>
      <w:rFonts w:ascii="Times New Roman Bold" w:hAnsi="Times New Roman Bold"/>
      <w:b/>
      <w:sz w:val="28"/>
      <w:lang w:val="fr-FR" w:eastAsia="en-US"/>
    </w:rPr>
  </w:style>
  <w:style w:type="character" w:customStyle="1" w:styleId="AnnexNoCar">
    <w:name w:val="Annex_No Car"/>
    <w:basedOn w:val="DefaultParagraphFont"/>
    <w:link w:val="AnnexNo"/>
    <w:rsid w:val="005E4DC2"/>
    <w:rPr>
      <w:rFonts w:ascii="Times New Roman" w:hAnsi="Times New Roman"/>
      <w:caps/>
      <w:sz w:val="28"/>
      <w:lang w:val="fr-FR" w:eastAsia="en-US"/>
    </w:rPr>
  </w:style>
  <w:style w:type="paragraph" w:customStyle="1" w:styleId="headingb0">
    <w:name w:val="heading_b"/>
    <w:basedOn w:val="Heading3"/>
    <w:next w:val="Normal"/>
    <w:rsid w:val="00B262C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ReasonsChar">
    <w:name w:val="Reasons Char"/>
    <w:link w:val="Reasons"/>
    <w:locked/>
    <w:rsid w:val="00B262C4"/>
    <w:rPr>
      <w:rFonts w:ascii="Times New Roman" w:hAnsi="Times New Roman"/>
      <w:sz w:val="24"/>
      <w:lang w:val="fr-FR" w:eastAsia="en-US"/>
    </w:rPr>
  </w:style>
  <w:style w:type="paragraph" w:styleId="BodyText">
    <w:name w:val="Body Text"/>
    <w:basedOn w:val="Normal"/>
    <w:link w:val="BodyTextChar"/>
    <w:uiPriority w:val="99"/>
    <w:rsid w:val="00B262C4"/>
    <w:pPr>
      <w:tabs>
        <w:tab w:val="clear" w:pos="1134"/>
        <w:tab w:val="clear" w:pos="1871"/>
        <w:tab w:val="clear" w:pos="2268"/>
        <w:tab w:val="left" w:pos="360"/>
        <w:tab w:val="left" w:pos="900"/>
      </w:tabs>
      <w:overflowPunct/>
      <w:autoSpaceDE/>
      <w:autoSpaceDN/>
      <w:adjustRightInd/>
      <w:spacing w:before="0"/>
      <w:textAlignment w:val="auto"/>
    </w:pPr>
    <w:rPr>
      <w:i/>
      <w:iCs/>
      <w:lang w:val="x-none" w:eastAsia="x-none"/>
    </w:rPr>
  </w:style>
  <w:style w:type="character" w:customStyle="1" w:styleId="BodyTextChar">
    <w:name w:val="Body Text Char"/>
    <w:basedOn w:val="DefaultParagraphFont"/>
    <w:link w:val="BodyText"/>
    <w:uiPriority w:val="99"/>
    <w:rsid w:val="00B262C4"/>
    <w:rPr>
      <w:rFonts w:ascii="Times New Roman" w:hAnsi="Times New Roman"/>
      <w:i/>
      <w:iCs/>
      <w:sz w:val="24"/>
      <w:lang w:val="x-none" w:eastAsia="x-none"/>
    </w:rPr>
  </w:style>
  <w:style w:type="character" w:customStyle="1" w:styleId="HeadingbChar">
    <w:name w:val="Heading_b Char"/>
    <w:link w:val="Headingb"/>
    <w:locked/>
    <w:rsid w:val="00B262C4"/>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0B8C17CD-3D2E-4066-A691-9A9E1A377091}">
  <ds:schemaRefs>
    <ds:schemaRef ds:uri="http://purl.org/dc/dcmitype/"/>
    <ds:schemaRef ds:uri="http://www.w3.org/XML/1998/namespace"/>
    <ds:schemaRef ds:uri="996b2e75-67fd-4955-a3b0-5ab9934cb50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408B06-B3A9-4F34-906F-112A0DCC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2262</Words>
  <Characters>13103</Characters>
  <Application>Microsoft Office Word</Application>
  <DocSecurity>0</DocSecurity>
  <Lines>243</Lines>
  <Paragraphs>95</Paragraphs>
  <ScaleCrop>false</ScaleCrop>
  <HeadingPairs>
    <vt:vector size="2" baseType="variant">
      <vt:variant>
        <vt:lpstr>Title</vt:lpstr>
      </vt:variant>
      <vt:variant>
        <vt:i4>1</vt:i4>
      </vt:variant>
    </vt:vector>
  </HeadingPairs>
  <TitlesOfParts>
    <vt:vector size="1" baseType="lpstr">
      <vt:lpstr>R15-WRC15-C-0007!A24-A7!MSW-F</vt:lpstr>
    </vt:vector>
  </TitlesOfParts>
  <Manager>Secrétariat général - Pool</Manager>
  <Company>Union internationale des télécommunications (UIT)</Company>
  <LinksUpToDate>false</LinksUpToDate>
  <CharactersWithSpaces>15271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R15-WRC15-C-0007!A24-A7!MSW-F</dc:title>
  <dc:subject>Conférence mondiale des radiocommunications - 2015</dc:subject>
  <dc:creator>Documents Proposals Manager (DPM)</dc:creator>
  <cp:keywords>DPM_v5.2015.9.16_prod</cp:keywords>
  <dc:description/>
  <cp:lastModifiedBy>Jones, Jacqueline</cp:lastModifiedBy>
  <cp:revision>20</cp:revision>
  <cp:lastPrinted>2015-10-20T13:50:00Z</cp:lastPrinted>
  <dcterms:created xsi:type="dcterms:W3CDTF">2015-10-14T12:50:00Z</dcterms:created>
  <dcterms:modified xsi:type="dcterms:W3CDTF">2015-10-20T13:50:00Z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