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44599E">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44599E">
            <w:pPr>
              <w:pStyle w:val="Adress"/>
              <w:framePr w:hSpace="0" w:wrap="auto" w:xAlign="left" w:yAlign="inline"/>
              <w:spacing w:before="0"/>
              <w:rPr>
                <w:rtl/>
              </w:rPr>
            </w:pPr>
          </w:p>
        </w:tc>
        <w:tc>
          <w:tcPr>
            <w:tcW w:w="3053" w:type="dxa"/>
            <w:tcBorders>
              <w:top w:val="single" w:sz="12" w:space="0" w:color="auto"/>
            </w:tcBorders>
          </w:tcPr>
          <w:p w:rsidR="00280E04" w:rsidRPr="00BD6EF3" w:rsidRDefault="00280E04" w:rsidP="0044599E">
            <w:pPr>
              <w:pStyle w:val="Adress"/>
              <w:framePr w:hSpace="0" w:wrap="auto" w:xAlign="left" w:yAlign="inline"/>
              <w:spacing w:before="0"/>
            </w:pPr>
          </w:p>
        </w:tc>
      </w:tr>
      <w:tr w:rsidR="003E1608" w:rsidTr="003E1608">
        <w:trPr>
          <w:cantSplit/>
        </w:trPr>
        <w:tc>
          <w:tcPr>
            <w:tcW w:w="6619" w:type="dxa"/>
            <w:shd w:val="clear" w:color="auto" w:fill="auto"/>
          </w:tcPr>
          <w:p w:rsidR="003E1608" w:rsidRPr="001230E3" w:rsidRDefault="00E165ED" w:rsidP="0044599E">
            <w:pPr>
              <w:pStyle w:val="Committee"/>
              <w:framePr w:hSpace="0" w:wrap="auto" w:hAnchor="text" w:yAlign="inline"/>
              <w:tabs>
                <w:tab w:val="clear" w:pos="2268"/>
                <w:tab w:val="left" w:pos="2448"/>
              </w:tabs>
              <w:bidi/>
              <w:rPr>
                <w:rFonts w:ascii="Verdana Bold" w:hAnsi="Verdana Bold" w:cs="Traditional Arabic"/>
                <w:sz w:val="30"/>
                <w:szCs w:val="30"/>
                <w:rtl/>
              </w:rPr>
            </w:pPr>
            <w:r w:rsidRPr="001230E3">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5E3689" w:rsidRDefault="003E1608" w:rsidP="0044599E">
            <w:pPr>
              <w:pStyle w:val="Adress"/>
              <w:framePr w:hSpace="0" w:wrap="auto" w:xAlign="left" w:yAlign="inline"/>
              <w:spacing w:before="0"/>
              <w:rPr>
                <w:rtl/>
              </w:rPr>
            </w:pPr>
            <w:r w:rsidRPr="005E3689">
              <w:rPr>
                <w:rtl/>
              </w:rPr>
              <w:t xml:space="preserve">الإضافة </w:t>
            </w:r>
            <w:r w:rsidRPr="005E3689">
              <w:t>2</w:t>
            </w:r>
            <w:r w:rsidRPr="005E3689">
              <w:br/>
            </w:r>
            <w:r w:rsidRPr="005E3689">
              <w:rPr>
                <w:rtl/>
              </w:rPr>
              <w:t xml:space="preserve">للوثيقة </w:t>
            </w:r>
            <w:r w:rsidRPr="005E3689">
              <w:t>7(Add.9)</w:t>
            </w:r>
            <w:r w:rsidR="001230E3" w:rsidRPr="005E3689">
              <w:t>-A</w:t>
            </w:r>
          </w:p>
        </w:tc>
      </w:tr>
      <w:tr w:rsidR="00764079" w:rsidTr="003E1608">
        <w:trPr>
          <w:cantSplit/>
        </w:trPr>
        <w:tc>
          <w:tcPr>
            <w:tcW w:w="6619" w:type="dxa"/>
            <w:shd w:val="clear" w:color="auto" w:fill="auto"/>
          </w:tcPr>
          <w:p w:rsidR="00764079" w:rsidRPr="001230E3" w:rsidRDefault="00764079" w:rsidP="0044599E">
            <w:pPr>
              <w:pStyle w:val="Adress"/>
              <w:framePr w:hSpace="0" w:wrap="auto" w:xAlign="left" w:yAlign="inline"/>
              <w:spacing w:before="0"/>
              <w:rPr>
                <w:rtl/>
              </w:rPr>
            </w:pPr>
          </w:p>
        </w:tc>
        <w:tc>
          <w:tcPr>
            <w:tcW w:w="3053" w:type="dxa"/>
            <w:shd w:val="clear" w:color="auto" w:fill="auto"/>
            <w:vAlign w:val="center"/>
          </w:tcPr>
          <w:p w:rsidR="00764079" w:rsidRPr="005E3689" w:rsidRDefault="00764079" w:rsidP="0044599E">
            <w:pPr>
              <w:pStyle w:val="Adress"/>
              <w:framePr w:hSpace="0" w:wrap="auto" w:xAlign="left" w:yAlign="inline"/>
              <w:spacing w:before="0"/>
              <w:rPr>
                <w:rtl/>
              </w:rPr>
            </w:pPr>
            <w:r w:rsidRPr="005E3689">
              <w:rPr>
                <w:rFonts w:eastAsia="SimSun"/>
              </w:rPr>
              <w:t>29</w:t>
            </w:r>
            <w:r w:rsidRPr="005E3689">
              <w:rPr>
                <w:rFonts w:eastAsia="SimSun"/>
                <w:rtl/>
              </w:rPr>
              <w:t xml:space="preserve"> سبتمبر </w:t>
            </w:r>
            <w:r w:rsidRPr="005E3689">
              <w:rPr>
                <w:rFonts w:eastAsia="SimSun"/>
              </w:rPr>
              <w:t>2015</w:t>
            </w:r>
          </w:p>
        </w:tc>
      </w:tr>
      <w:tr w:rsidR="00764079" w:rsidTr="003E1608">
        <w:trPr>
          <w:cantSplit/>
        </w:trPr>
        <w:tc>
          <w:tcPr>
            <w:tcW w:w="6619" w:type="dxa"/>
          </w:tcPr>
          <w:p w:rsidR="00764079" w:rsidRPr="001230E3" w:rsidRDefault="00764079" w:rsidP="0044599E">
            <w:pPr>
              <w:pStyle w:val="Adress"/>
              <w:framePr w:hSpace="0" w:wrap="auto" w:xAlign="left" w:yAlign="inline"/>
              <w:spacing w:before="0"/>
              <w:rPr>
                <w:rFonts w:eastAsia="SimSun" w:hint="eastAsia"/>
                <w:rtl/>
              </w:rPr>
            </w:pPr>
          </w:p>
        </w:tc>
        <w:tc>
          <w:tcPr>
            <w:tcW w:w="3053" w:type="dxa"/>
            <w:vAlign w:val="center"/>
          </w:tcPr>
          <w:p w:rsidR="00764079" w:rsidRPr="005E3689" w:rsidRDefault="00764079" w:rsidP="0044599E">
            <w:pPr>
              <w:pStyle w:val="Adress"/>
              <w:framePr w:hSpace="0" w:wrap="auto" w:xAlign="left" w:yAlign="inline"/>
              <w:spacing w:before="0"/>
              <w:rPr>
                <w:rFonts w:eastAsia="SimSun" w:hint="eastAsia"/>
              </w:rPr>
            </w:pPr>
            <w:r w:rsidRPr="005E3689">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5E3689" w:rsidRDefault="005E3689" w:rsidP="005E3689">
            <w:pPr>
              <w:pStyle w:val="Source"/>
              <w:rPr>
                <w:rtl/>
              </w:rPr>
            </w:pPr>
            <w:r w:rsidRPr="005E3689">
              <w:rPr>
                <w:rFonts w:hint="cs"/>
                <w:rtl/>
              </w:rPr>
              <w:t xml:space="preserve">الدول الأعضاء في لجنة البلدان الأمريكية للاتصالات </w:t>
            </w:r>
            <w:r w:rsidRPr="005E3689">
              <w:t>(CITEL)</w:t>
            </w:r>
          </w:p>
        </w:tc>
      </w:tr>
      <w:tr w:rsidR="00764079" w:rsidTr="003E1608">
        <w:trPr>
          <w:cantSplit/>
        </w:trPr>
        <w:tc>
          <w:tcPr>
            <w:tcW w:w="9672" w:type="dxa"/>
            <w:gridSpan w:val="2"/>
          </w:tcPr>
          <w:p w:rsidR="00764079" w:rsidRPr="005E3689" w:rsidRDefault="001230E3" w:rsidP="005E3689">
            <w:pPr>
              <w:pStyle w:val="Title1"/>
              <w:rPr>
                <w:rtl/>
              </w:rPr>
            </w:pPr>
            <w:r w:rsidRPr="005E3689">
              <w:rPr>
                <w:rFonts w:hint="cs"/>
                <w:rtl/>
              </w:rPr>
              <w:t>مقترحات بشأن أعمال ال‍مؤت‍مر</w:t>
            </w:r>
          </w:p>
        </w:tc>
      </w:tr>
      <w:tr w:rsidR="00764079" w:rsidTr="003E1608">
        <w:trPr>
          <w:cantSplit/>
        </w:trPr>
        <w:tc>
          <w:tcPr>
            <w:tcW w:w="9672" w:type="dxa"/>
            <w:gridSpan w:val="2"/>
          </w:tcPr>
          <w:p w:rsidR="00764079" w:rsidRPr="005E3689" w:rsidRDefault="00764079" w:rsidP="005E3689">
            <w:pPr>
              <w:pStyle w:val="Title2"/>
              <w:rPr>
                <w:rtl/>
              </w:rPr>
            </w:pPr>
          </w:p>
        </w:tc>
      </w:tr>
      <w:tr w:rsidR="001230E3" w:rsidTr="003E1608">
        <w:trPr>
          <w:cantSplit/>
        </w:trPr>
        <w:tc>
          <w:tcPr>
            <w:tcW w:w="9672" w:type="dxa"/>
            <w:gridSpan w:val="2"/>
          </w:tcPr>
          <w:p w:rsidR="001230E3" w:rsidRPr="005E3689" w:rsidRDefault="001230E3" w:rsidP="005E3689">
            <w:pPr>
              <w:pStyle w:val="Agendaitem"/>
            </w:pPr>
            <w:r w:rsidRPr="005E3689">
              <w:rPr>
                <w:rtl/>
              </w:rPr>
              <w:t xml:space="preserve">البنـد </w:t>
            </w:r>
            <w:r w:rsidR="002C540F" w:rsidRPr="005E3689">
              <w:t>2.9.1</w:t>
            </w:r>
            <w:r w:rsidRPr="005E3689">
              <w:rPr>
                <w:rtl/>
              </w:rPr>
              <w:t xml:space="preserve"> من جدول الأعمال</w:t>
            </w:r>
          </w:p>
        </w:tc>
      </w:tr>
    </w:tbl>
    <w:p w:rsidR="001230E3" w:rsidRPr="00431196" w:rsidRDefault="001230E3" w:rsidP="00224CD4">
      <w:pPr>
        <w:pStyle w:val="Normalaftertitle"/>
        <w:rPr>
          <w:rFonts w:eastAsia="SimSun"/>
          <w:rtl/>
        </w:rPr>
      </w:pPr>
      <w:r>
        <w:rPr>
          <w:rFonts w:eastAsia="SimSun"/>
        </w:rPr>
        <w:t>9.1</w:t>
      </w:r>
      <w:r w:rsidRPr="00431196">
        <w:rPr>
          <w:rFonts w:eastAsia="SimSun" w:hint="cs"/>
          <w:rtl/>
        </w:rPr>
        <w:tab/>
        <w:t xml:space="preserve">النظر وفقاً للقرار </w:t>
      </w:r>
      <w:r w:rsidRPr="00431196">
        <w:rPr>
          <w:rFonts w:eastAsia="SimSun"/>
          <w:b/>
          <w:bCs/>
        </w:rPr>
        <w:t>758 </w:t>
      </w:r>
      <w:r w:rsidRPr="00431196">
        <w:rPr>
          <w:rFonts w:eastAsia="SimSun"/>
          <w:b/>
        </w:rPr>
        <w:t>(WRC</w:t>
      </w:r>
      <w:r w:rsidRPr="00431196">
        <w:rPr>
          <w:rFonts w:eastAsia="SimSun"/>
          <w:b/>
        </w:rPr>
        <w:noBreakHyphen/>
        <w:t>12)</w:t>
      </w:r>
      <w:r w:rsidRPr="00431196">
        <w:rPr>
          <w:rFonts w:eastAsia="SimSun" w:hint="cs"/>
          <w:rtl/>
        </w:rPr>
        <w:t xml:space="preserve"> في:</w:t>
      </w:r>
    </w:p>
    <w:p w:rsidR="00F16602" w:rsidRDefault="001230E3" w:rsidP="001230E3">
      <w:pPr>
        <w:rPr>
          <w:rFonts w:eastAsia="SimSun"/>
          <w:rtl/>
        </w:rPr>
      </w:pPr>
      <w:r w:rsidRPr="00431196">
        <w:rPr>
          <w:rFonts w:eastAsia="SimSun"/>
        </w:rPr>
        <w:t>2.9.1</w:t>
      </w:r>
      <w:r w:rsidRPr="00431196">
        <w:rPr>
          <w:rFonts w:eastAsia="SimSun" w:hint="cs"/>
          <w:rtl/>
        </w:rPr>
        <w:tab/>
        <w:t xml:space="preserve">إمكانية توزيع النطاقين </w:t>
      </w:r>
      <w:r w:rsidRPr="00431196">
        <w:rPr>
          <w:rFonts w:eastAsia="SimSun"/>
        </w:rPr>
        <w:t>MHz 7 750</w:t>
      </w:r>
      <w:r w:rsidRPr="00431196">
        <w:rPr>
          <w:rFonts w:eastAsia="SimSun"/>
        </w:rPr>
        <w:noBreakHyphen/>
        <w:t>7 375</w:t>
      </w:r>
      <w:r w:rsidRPr="00431196">
        <w:rPr>
          <w:rFonts w:eastAsia="SimSun" w:hint="cs"/>
          <w:rtl/>
        </w:rPr>
        <w:t xml:space="preserve"> و</w:t>
      </w:r>
      <w:r w:rsidRPr="00431196">
        <w:rPr>
          <w:rFonts w:eastAsia="SimSun"/>
        </w:rPr>
        <w:t>MHz 8 400</w:t>
      </w:r>
      <w:r w:rsidRPr="00431196">
        <w:rPr>
          <w:rFonts w:eastAsia="SimSun"/>
        </w:rPr>
        <w:noBreakHyphen/>
        <w:t>8 025</w:t>
      </w:r>
      <w:r w:rsidRPr="00431196">
        <w:rPr>
          <w:rFonts w:eastAsia="SimSun" w:hint="cs"/>
          <w:rtl/>
        </w:rPr>
        <w:t xml:space="preserve"> للخدمة المتنقلة البحرية الساتلية والتدابير التنظيمية الإضافية حسب نتائج الدراسات ذات الصلة؛</w:t>
      </w:r>
    </w:p>
    <w:p w:rsidR="003F4F46" w:rsidRDefault="003F4F46" w:rsidP="001230E3">
      <w:pPr>
        <w:rPr>
          <w:rFonts w:eastAsia="SimSun"/>
        </w:rPr>
      </w:pPr>
    </w:p>
    <w:p w:rsidR="0052458F" w:rsidRPr="00A05EDF" w:rsidRDefault="0052458F" w:rsidP="00A05EDF">
      <w:pPr>
        <w:pStyle w:val="Headingb"/>
        <w:rPr>
          <w:rtl/>
        </w:rPr>
      </w:pPr>
      <w:r w:rsidRPr="00A05EDF">
        <w:rPr>
          <w:rFonts w:hint="cs"/>
          <w:rtl/>
        </w:rPr>
        <w:t>معلومات أساسية</w:t>
      </w:r>
    </w:p>
    <w:p w:rsidR="005E3689" w:rsidRPr="005E3689" w:rsidRDefault="005E3689" w:rsidP="005E3689">
      <w:pPr>
        <w:rPr>
          <w:spacing w:val="-2"/>
          <w:rtl/>
          <w:lang w:bidi="ar-EG"/>
        </w:rPr>
      </w:pPr>
      <w:r w:rsidRPr="005E3689">
        <w:rPr>
          <w:rFonts w:hint="cs"/>
          <w:spacing w:val="-2"/>
          <w:rtl/>
          <w:lang w:eastAsia="ko-KR"/>
        </w:rPr>
        <w:t xml:space="preserve">كما ورد في </w:t>
      </w:r>
      <w:r w:rsidRPr="005E3689">
        <w:rPr>
          <w:rFonts w:hint="cs"/>
          <w:spacing w:val="-2"/>
          <w:rtl/>
        </w:rPr>
        <w:t xml:space="preserve">القرار </w:t>
      </w:r>
      <w:r w:rsidRPr="005E3689">
        <w:rPr>
          <w:rFonts w:eastAsia="SimSun"/>
          <w:spacing w:val="-2"/>
        </w:rPr>
        <w:t>758 (WRC</w:t>
      </w:r>
      <w:r w:rsidRPr="005E3689">
        <w:rPr>
          <w:rFonts w:eastAsia="SimSun"/>
          <w:spacing w:val="-2"/>
        </w:rPr>
        <w:noBreakHyphen/>
        <w:t>12)</w:t>
      </w:r>
      <w:r w:rsidRPr="005E3689">
        <w:rPr>
          <w:rFonts w:eastAsia="SimSun" w:hint="cs"/>
          <w:spacing w:val="-2"/>
          <w:rtl/>
          <w:lang w:bidi="ar-EG"/>
        </w:rPr>
        <w:t xml:space="preserve">، أبلغت بعض الإدارات عن نقص في الطيف المتاح لتطبيقاتها الحالية والمستقبلية في هذين النطاقين وأن الاحتياجات الإضافية من عرض النطاق قدرت بنحو </w:t>
      </w:r>
      <w:r w:rsidRPr="005E3689">
        <w:rPr>
          <w:rFonts w:eastAsia="SimSun"/>
          <w:spacing w:val="-2"/>
          <w:lang w:bidi="ar-EG"/>
        </w:rPr>
        <w:t xml:space="preserve">MHz </w:t>
      </w:r>
      <w:r w:rsidRPr="005E3689">
        <w:rPr>
          <w:spacing w:val="-2"/>
        </w:rPr>
        <w:t>100</w:t>
      </w:r>
      <w:r w:rsidRPr="005E3689">
        <w:rPr>
          <w:rFonts w:hint="cs"/>
          <w:spacing w:val="-2"/>
          <w:rtl/>
        </w:rPr>
        <w:t xml:space="preserve"> كحد أقصى. ومع ذلك، لم يحدد مقدار الاحتياجات الاضافية من عرض النطاق المطلوبة لإرسال البيانات بالنسبة لسواتل الجيل التالي للخدمة المتنقلة البحرية </w:t>
      </w:r>
      <w:r w:rsidRPr="005E3689">
        <w:rPr>
          <w:spacing w:val="-2"/>
        </w:rPr>
        <w:t>(MMSS)</w:t>
      </w:r>
      <w:r w:rsidRPr="005E3689">
        <w:rPr>
          <w:rFonts w:hint="cs"/>
          <w:spacing w:val="-2"/>
          <w:rtl/>
          <w:lang w:bidi="ar-EG"/>
        </w:rPr>
        <w:t xml:space="preserve">. وتشير الفقرة </w:t>
      </w:r>
      <w:r w:rsidRPr="005E3689">
        <w:rPr>
          <w:spacing w:val="-2"/>
          <w:lang w:bidi="ar-EG"/>
        </w:rPr>
        <w:t>3</w:t>
      </w:r>
      <w:r w:rsidRPr="005E3689">
        <w:rPr>
          <w:rFonts w:hint="cs"/>
          <w:spacing w:val="-2"/>
          <w:rtl/>
          <w:lang w:bidi="ar-EG"/>
        </w:rPr>
        <w:t xml:space="preserve"> من </w:t>
      </w:r>
      <w:r w:rsidRPr="005E3689">
        <w:rPr>
          <w:rFonts w:hint="cs"/>
          <w:i/>
          <w:iCs/>
          <w:spacing w:val="-2"/>
          <w:rtl/>
          <w:lang w:bidi="ar-EG"/>
        </w:rPr>
        <w:t>يقرر</w:t>
      </w:r>
      <w:r w:rsidRPr="005E3689">
        <w:rPr>
          <w:rFonts w:hint="cs"/>
          <w:spacing w:val="-2"/>
          <w:rtl/>
          <w:lang w:bidi="ar-EG"/>
        </w:rPr>
        <w:t xml:space="preserve"> </w:t>
      </w:r>
      <w:r w:rsidRPr="005E3689">
        <w:rPr>
          <w:rFonts w:eastAsia="SimSun" w:hint="cs"/>
          <w:spacing w:val="-2"/>
          <w:rtl/>
          <w:lang w:bidi="ar-EG"/>
        </w:rPr>
        <w:t>ب</w:t>
      </w:r>
      <w:r w:rsidRPr="005E3689">
        <w:rPr>
          <w:rFonts w:hint="cs"/>
          <w:spacing w:val="-2"/>
          <w:rtl/>
        </w:rPr>
        <w:t xml:space="preserve">القرار </w:t>
      </w:r>
      <w:r w:rsidRPr="005E3689">
        <w:rPr>
          <w:rFonts w:eastAsia="SimSun"/>
          <w:spacing w:val="-2"/>
        </w:rPr>
        <w:t>758 (WRC</w:t>
      </w:r>
      <w:r w:rsidRPr="005E3689">
        <w:rPr>
          <w:rFonts w:eastAsia="SimSun"/>
          <w:spacing w:val="-2"/>
        </w:rPr>
        <w:noBreakHyphen/>
        <w:t>12)</w:t>
      </w:r>
      <w:r w:rsidRPr="005E3689">
        <w:rPr>
          <w:rFonts w:eastAsia="SimSun" w:hint="cs"/>
          <w:spacing w:val="-2"/>
          <w:rtl/>
        </w:rPr>
        <w:t xml:space="preserve"> إلى إمكانية توزيع أقل من المدى </w:t>
      </w:r>
      <w:r w:rsidRPr="005E3689">
        <w:rPr>
          <w:spacing w:val="-2"/>
        </w:rPr>
        <w:t>MHz 7 750-7 375</w:t>
      </w:r>
      <w:r w:rsidRPr="005E3689">
        <w:rPr>
          <w:rFonts w:hint="cs"/>
          <w:spacing w:val="-2"/>
          <w:rtl/>
          <w:lang w:bidi="ar-EG"/>
        </w:rPr>
        <w:t xml:space="preserve"> (فضاء-أرض) و</w:t>
      </w:r>
      <w:r w:rsidRPr="005E3689">
        <w:rPr>
          <w:spacing w:val="-2"/>
        </w:rPr>
        <w:t>MHz 8 400</w:t>
      </w:r>
      <w:r w:rsidRPr="005E3689">
        <w:rPr>
          <w:spacing w:val="-2"/>
        </w:rPr>
        <w:noBreakHyphen/>
        <w:t>8 025</w:t>
      </w:r>
      <w:r w:rsidRPr="005E3689">
        <w:rPr>
          <w:rFonts w:hint="cs"/>
          <w:spacing w:val="-2"/>
          <w:rtl/>
          <w:lang w:bidi="ar-EG"/>
        </w:rPr>
        <w:t xml:space="preserve"> (أرض-فضاء) بالكامل للخدمة </w:t>
      </w:r>
      <w:r w:rsidRPr="005E3689">
        <w:rPr>
          <w:spacing w:val="-2"/>
          <w:lang w:bidi="ar-EG"/>
        </w:rPr>
        <w:t>MMSS</w:t>
      </w:r>
      <w:r w:rsidRPr="005E3689">
        <w:rPr>
          <w:rFonts w:hint="cs"/>
          <w:spacing w:val="-2"/>
          <w:rtl/>
          <w:lang w:bidi="ar-EG"/>
        </w:rPr>
        <w:t>.</w:t>
      </w:r>
    </w:p>
    <w:p w:rsidR="005E3689" w:rsidRDefault="005E3689" w:rsidP="00EC7F2E">
      <w:pPr>
        <w:rPr>
          <w:rtl/>
          <w:lang w:bidi="ar-EG"/>
        </w:rPr>
      </w:pPr>
      <w:r>
        <w:rPr>
          <w:rFonts w:hint="cs"/>
          <w:rtl/>
          <w:lang w:bidi="ar-EG"/>
        </w:rPr>
        <w:t xml:space="preserve">والنطاقان </w:t>
      </w:r>
      <w:r w:rsidRPr="005E3689">
        <w:t>MHz 7 </w:t>
      </w:r>
      <w:r w:rsidR="00EC7F2E">
        <w:t>3</w:t>
      </w:r>
      <w:r w:rsidRPr="005E3689">
        <w:t>50-7 </w:t>
      </w:r>
      <w:r>
        <w:t>250</w:t>
      </w:r>
      <w:r w:rsidRPr="005E3689">
        <w:rPr>
          <w:rFonts w:hint="cs"/>
          <w:rtl/>
          <w:lang w:bidi="ar-EG"/>
        </w:rPr>
        <w:t xml:space="preserve"> (فضاء-أرض) و</w:t>
      </w:r>
      <w:r w:rsidRPr="005E3689">
        <w:t>MHz 8 400</w:t>
      </w:r>
      <w:r w:rsidRPr="005E3689">
        <w:noBreakHyphen/>
      </w:r>
      <w:r>
        <w:t>7</w:t>
      </w:r>
      <w:r w:rsidRPr="005E3689">
        <w:t> </w:t>
      </w:r>
      <w:r>
        <w:t>900</w:t>
      </w:r>
      <w:r w:rsidRPr="005E3689">
        <w:rPr>
          <w:rFonts w:hint="cs"/>
          <w:rtl/>
          <w:lang w:bidi="ar-EG"/>
        </w:rPr>
        <w:t xml:space="preserve"> (أرض-فضاء) </w:t>
      </w:r>
      <w:r>
        <w:rPr>
          <w:rFonts w:hint="cs"/>
          <w:rtl/>
          <w:lang w:bidi="ar-EG"/>
        </w:rPr>
        <w:t xml:space="preserve">موزعان على أساس أولي للخدمة الثابتة الساتلية </w:t>
      </w:r>
      <w:r>
        <w:rPr>
          <w:lang w:bidi="ar-EG"/>
        </w:rPr>
        <w:t>(FSS)</w:t>
      </w:r>
      <w:r>
        <w:rPr>
          <w:rFonts w:hint="cs"/>
          <w:rtl/>
          <w:lang w:bidi="ar-EG"/>
        </w:rPr>
        <w:t xml:space="preserve">. كما أن النطاقين </w:t>
      </w:r>
      <w:r w:rsidRPr="005E3689">
        <w:t>MHz 7 </w:t>
      </w:r>
      <w:r w:rsidR="00EC7F2E">
        <w:t>3</w:t>
      </w:r>
      <w:r w:rsidRPr="005E3689">
        <w:t>75-7 </w:t>
      </w:r>
      <w:r w:rsidR="00EC7F2E">
        <w:t>250</w:t>
      </w:r>
      <w:r w:rsidRPr="005E3689">
        <w:rPr>
          <w:rFonts w:hint="cs"/>
          <w:rtl/>
          <w:lang w:bidi="ar-EG"/>
        </w:rPr>
        <w:t xml:space="preserve"> (فضاء-أرض) و</w:t>
      </w:r>
      <w:r w:rsidRPr="005E3689">
        <w:t>MHz 8 </w:t>
      </w:r>
      <w:r w:rsidR="00EC7F2E">
        <w:t>025</w:t>
      </w:r>
      <w:r w:rsidRPr="005E3689">
        <w:noBreakHyphen/>
      </w:r>
      <w:r w:rsidR="00EC7F2E">
        <w:t>7 900</w:t>
      </w:r>
      <w:r w:rsidRPr="005E3689">
        <w:rPr>
          <w:rFonts w:hint="cs"/>
          <w:rtl/>
          <w:lang w:bidi="ar-EG"/>
        </w:rPr>
        <w:t xml:space="preserve"> (أرض-فضاء) </w:t>
      </w:r>
      <w:r w:rsidR="00EC7F2E">
        <w:rPr>
          <w:rFonts w:hint="cs"/>
          <w:rtl/>
          <w:lang w:bidi="ar-EG"/>
        </w:rPr>
        <w:t xml:space="preserve">موزعان للخدمة المتنقلة الساتلية على أساس أولي، رهناً بموافقة يتم الحصول عليها بموجب الرقم </w:t>
      </w:r>
      <w:r w:rsidR="00EC7F2E">
        <w:rPr>
          <w:lang w:bidi="ar-EG"/>
        </w:rPr>
        <w:t>21.9</w:t>
      </w:r>
      <w:r w:rsidR="00EC7F2E">
        <w:rPr>
          <w:rFonts w:hint="cs"/>
          <w:rtl/>
          <w:lang w:bidi="ar-EG"/>
        </w:rPr>
        <w:t xml:space="preserve">، كما يشترط الرقم </w:t>
      </w:r>
      <w:r w:rsidR="00EC7F2E">
        <w:rPr>
          <w:lang w:bidi="ar-EG"/>
        </w:rPr>
        <w:t>461.5</w:t>
      </w:r>
      <w:r w:rsidR="00EC7F2E">
        <w:rPr>
          <w:rFonts w:hint="cs"/>
          <w:rtl/>
          <w:lang w:bidi="ar-EG"/>
        </w:rPr>
        <w:t xml:space="preserve">. والنطاق </w:t>
      </w:r>
      <w:r w:rsidR="00EC7F2E" w:rsidRPr="005E3689">
        <w:t>MHz </w:t>
      </w:r>
      <w:r w:rsidR="00EC7F2E">
        <w:t>8</w:t>
      </w:r>
      <w:r w:rsidR="00EC7F2E" w:rsidRPr="005E3689">
        <w:t> 5</w:t>
      </w:r>
      <w:r w:rsidR="00EC7F2E">
        <w:t>00</w:t>
      </w:r>
      <w:r w:rsidR="00EC7F2E" w:rsidRPr="005E3689">
        <w:t>-7 </w:t>
      </w:r>
      <w:r w:rsidR="00EC7F2E">
        <w:t>300</w:t>
      </w:r>
      <w:r w:rsidR="00EC7F2E">
        <w:rPr>
          <w:rFonts w:hint="cs"/>
          <w:rtl/>
          <w:lang w:bidi="ar-EG"/>
        </w:rPr>
        <w:t xml:space="preserve"> موزع على أساس أولي للخدمة الثابتة </w:t>
      </w:r>
      <w:r w:rsidR="00EC7F2E">
        <w:rPr>
          <w:lang w:bidi="ar-EG"/>
        </w:rPr>
        <w:t>(FS)</w:t>
      </w:r>
      <w:r w:rsidR="00EC7F2E">
        <w:rPr>
          <w:rFonts w:hint="cs"/>
          <w:rtl/>
          <w:lang w:bidi="ar-EG"/>
        </w:rPr>
        <w:t>. ومن شأن التوزيع المقترح أن يسمح بالفعل للخدمة</w:t>
      </w:r>
      <w:r w:rsidR="00EC7F2E">
        <w:rPr>
          <w:rFonts w:hint="eastAsia"/>
          <w:rtl/>
          <w:lang w:bidi="ar-EG"/>
        </w:rPr>
        <w:t> </w:t>
      </w:r>
      <w:r w:rsidR="00EC7F2E">
        <w:rPr>
          <w:lang w:bidi="ar-EG"/>
        </w:rPr>
        <w:t>MMSS</w:t>
      </w:r>
      <w:r w:rsidR="00EC7F2E">
        <w:rPr>
          <w:rFonts w:hint="cs"/>
          <w:rtl/>
          <w:lang w:bidi="ar-EG"/>
        </w:rPr>
        <w:t xml:space="preserve"> بالنفاذ إلى النطاقين </w:t>
      </w:r>
      <w:r w:rsidR="00EC7F2E" w:rsidRPr="005E3689">
        <w:t>MHz 7 </w:t>
      </w:r>
      <w:r w:rsidR="00EC7F2E">
        <w:t>3750</w:t>
      </w:r>
      <w:r w:rsidR="00EC7F2E" w:rsidRPr="005E3689">
        <w:t>-7 </w:t>
      </w:r>
      <w:r w:rsidR="00EC7F2E">
        <w:t>250</w:t>
      </w:r>
      <w:r w:rsidR="00EC7F2E" w:rsidRPr="005E3689">
        <w:rPr>
          <w:rFonts w:hint="cs"/>
          <w:rtl/>
          <w:lang w:bidi="ar-EG"/>
        </w:rPr>
        <w:t xml:space="preserve"> (فضاء-أرض) و</w:t>
      </w:r>
      <w:r w:rsidR="00EC7F2E" w:rsidRPr="005E3689">
        <w:t>MHz 8 </w:t>
      </w:r>
      <w:r w:rsidR="00EC7F2E">
        <w:t>400</w:t>
      </w:r>
      <w:r w:rsidR="00EC7F2E" w:rsidRPr="005E3689">
        <w:noBreakHyphen/>
      </w:r>
      <w:r w:rsidR="00EC7F2E">
        <w:t>7 900</w:t>
      </w:r>
      <w:r w:rsidR="00EC7F2E" w:rsidRPr="005E3689">
        <w:rPr>
          <w:rFonts w:hint="cs"/>
          <w:rtl/>
          <w:lang w:bidi="ar-EG"/>
        </w:rPr>
        <w:t xml:space="preserve"> (أرض-فضاء) </w:t>
      </w:r>
      <w:r w:rsidR="00EC7F2E">
        <w:rPr>
          <w:rFonts w:hint="cs"/>
          <w:rtl/>
          <w:lang w:bidi="ar-EG"/>
        </w:rPr>
        <w:t>بالكامل، مما يجعله مماثلاً للتوزيعات الحالية للخدمة الثابتة الساتلية.</w:t>
      </w:r>
    </w:p>
    <w:p w:rsidR="002C540F" w:rsidRDefault="00EC7F2E" w:rsidP="00224CD4">
      <w:pPr>
        <w:keepNext/>
        <w:keepLines/>
        <w:rPr>
          <w:rtl/>
          <w:lang w:eastAsia="ko-KR"/>
        </w:rPr>
      </w:pPr>
      <w:r>
        <w:rPr>
          <w:rFonts w:hint="cs"/>
          <w:rtl/>
          <w:lang w:bidi="ar-EG"/>
        </w:rPr>
        <w:lastRenderedPageBreak/>
        <w:t xml:space="preserve">ولخدمة استكشاف الأرض الساتلية (فضاء-أرض) توزيع أولي عالمي في النطاق </w:t>
      </w:r>
      <w:r w:rsidRPr="005E3689">
        <w:t>MHz</w:t>
      </w:r>
      <w:r>
        <w:t xml:space="preserve"> 8 400-</w:t>
      </w:r>
      <w:r w:rsidRPr="005E3689">
        <w:t>8 </w:t>
      </w:r>
      <w:r>
        <w:t>025</w:t>
      </w:r>
      <w:r>
        <w:rPr>
          <w:rFonts w:hint="cs"/>
          <w:rtl/>
          <w:lang w:bidi="ar-EG"/>
        </w:rPr>
        <w:t xml:space="preserve">. ويدعم ذلك الوصلة الهابطة للبيانات البيئية والمناخية من السواتل الموجودة في مدار غير مستقر بالنسبة إلى الأرض والتي تدور غالباً في مدارات قطبية، إلى المحطات الأرضية التي قد تكون منصوبة عند خطوط عرض مرتفعة و/أو بالقرب من مناطق ساحلية. ولخدمة الأبحاث الفضائية (فضاء-أرض) توزيع أولي عالمي في النطاق </w:t>
      </w:r>
      <w:r w:rsidRPr="005E3689">
        <w:t>MHz 8 </w:t>
      </w:r>
      <w:r>
        <w:t>500</w:t>
      </w:r>
      <w:r w:rsidRPr="005E3689">
        <w:noBreakHyphen/>
      </w:r>
      <w:r>
        <w:t>8 400</w:t>
      </w:r>
      <w:r w:rsidRPr="005E3689">
        <w:rPr>
          <w:rFonts w:hint="cs"/>
          <w:rtl/>
          <w:lang w:bidi="ar-EG"/>
        </w:rPr>
        <w:t xml:space="preserve"> </w:t>
      </w:r>
      <w:r>
        <w:rPr>
          <w:rFonts w:hint="cs"/>
          <w:rtl/>
          <w:lang w:bidi="ar-EG"/>
        </w:rPr>
        <w:t xml:space="preserve">المجاور، مع قصر الرقم </w:t>
      </w:r>
      <w:r w:rsidRPr="007E1935">
        <w:t>465</w:t>
      </w:r>
      <w:r>
        <w:t>.5</w:t>
      </w:r>
      <w:r>
        <w:rPr>
          <w:rFonts w:hint="cs"/>
          <w:rtl/>
          <w:lang w:bidi="ar-EG"/>
        </w:rPr>
        <w:t xml:space="preserve"> للنطاق </w:t>
      </w:r>
      <w:r w:rsidRPr="005E3689">
        <w:t>MHz 8 </w:t>
      </w:r>
      <w:r>
        <w:t>450</w:t>
      </w:r>
      <w:r w:rsidRPr="005E3689">
        <w:noBreakHyphen/>
      </w:r>
      <w:r>
        <w:t>8 400</w:t>
      </w:r>
      <w:r w:rsidR="00D4353D">
        <w:rPr>
          <w:rFonts w:hint="cs"/>
          <w:rtl/>
          <w:lang w:bidi="ar-EG"/>
        </w:rPr>
        <w:t xml:space="preserve"> على استعمالات الفضاء السحيق.</w:t>
      </w:r>
      <w:r w:rsidR="004F5AF7">
        <w:rPr>
          <w:rFonts w:hint="cs"/>
          <w:rtl/>
          <w:lang w:bidi="ar-EG"/>
        </w:rPr>
        <w:t xml:space="preserve"> </w:t>
      </w:r>
      <w:r w:rsidR="00D4353D">
        <w:rPr>
          <w:rFonts w:hint="cs"/>
          <w:rtl/>
          <w:lang w:eastAsia="ko-KR"/>
        </w:rPr>
        <w:t xml:space="preserve">وهناك استعمال مكثف </w:t>
      </w:r>
      <w:r w:rsidR="00D4353D">
        <w:rPr>
          <w:rFonts w:hint="cs"/>
          <w:rtl/>
          <w:lang w:bidi="ar-EG"/>
        </w:rPr>
        <w:t xml:space="preserve">للنطاق </w:t>
      </w:r>
      <w:r w:rsidR="00D4353D" w:rsidRPr="005E3689">
        <w:t>MHz 8 </w:t>
      </w:r>
      <w:r w:rsidR="00D4353D">
        <w:t>450</w:t>
      </w:r>
      <w:r w:rsidR="00D4353D" w:rsidRPr="005E3689">
        <w:noBreakHyphen/>
      </w:r>
      <w:r w:rsidR="00D4353D">
        <w:t>8 400</w:t>
      </w:r>
      <w:r w:rsidR="00D4353D">
        <w:rPr>
          <w:rFonts w:hint="cs"/>
          <w:rtl/>
          <w:lang w:eastAsia="ko-KR"/>
        </w:rPr>
        <w:t xml:space="preserve"> في مواقع في جميع أنحاء العالم، بما في ذلك مواقع ساحلية، من جانب خدمة الأبحاث الفضائية (فضاء-ارض) في الفضاء السحيق. بهوائيات كبيرة جداً ومستقبلات حساسة تكون عرضة للتداخلات من الإرسالات خارج النطاق.</w:t>
      </w:r>
    </w:p>
    <w:p w:rsidR="00B12DE8" w:rsidRPr="00B12DE8" w:rsidRDefault="00D4353D" w:rsidP="006B2291">
      <w:r>
        <w:rPr>
          <w:rFonts w:hint="cs"/>
          <w:rtl/>
          <w:lang w:eastAsia="ko-KR"/>
        </w:rPr>
        <w:t xml:space="preserve">وتوضح دراسات التقاسم لقطاع الاتصالات الراديوية أن الوصلات الصاعدة المقترحة للخدمة </w:t>
      </w:r>
      <w:r>
        <w:rPr>
          <w:lang w:eastAsia="ko-KR"/>
        </w:rPr>
        <w:t>MMSS</w:t>
      </w:r>
      <w:r>
        <w:rPr>
          <w:rFonts w:hint="cs"/>
          <w:rtl/>
          <w:lang w:eastAsia="ko-KR" w:bidi="ar-EG"/>
        </w:rPr>
        <w:t xml:space="preserve"> في النطاقات </w:t>
      </w:r>
      <w:r w:rsidRPr="005E3689">
        <w:rPr>
          <w:spacing w:val="-2"/>
        </w:rPr>
        <w:t>MHz 8 400</w:t>
      </w:r>
      <w:r w:rsidRPr="005E3689">
        <w:rPr>
          <w:spacing w:val="-2"/>
        </w:rPr>
        <w:noBreakHyphen/>
        <w:t>8 025</w:t>
      </w:r>
      <w:r>
        <w:rPr>
          <w:rFonts w:hint="cs"/>
          <w:rtl/>
          <w:lang w:eastAsia="ko-KR" w:bidi="ar-EG"/>
        </w:rPr>
        <w:t xml:space="preserve"> ستتداخل مع الخدمات القائمة في النطاق، وتحديداً خدمة استكشاف الأرض الساتلية (فضاء-أرض). وستتسبب إرسالات الوصلات الصاعدة الساتلية المقترحة في تداخلات على مستقبلات المحطات الأرضية لخدمة استكشاف الأرض الساتلية</w:t>
      </w:r>
      <w:r w:rsidR="0031639E">
        <w:rPr>
          <w:rFonts w:hint="cs"/>
          <w:rtl/>
          <w:lang w:eastAsia="ko-KR" w:bidi="ar-EG"/>
        </w:rPr>
        <w:t>. ومسافات الفصل كبيرة جداً من الساحل اللازمة للتخفيف من حدة هذه التداخلات ستعجل من استعمال الخدمة</w:t>
      </w:r>
      <w:r w:rsidR="0031639E">
        <w:rPr>
          <w:rFonts w:hint="eastAsia"/>
          <w:rtl/>
          <w:lang w:eastAsia="ko-KR" w:bidi="ar-EG"/>
        </w:rPr>
        <w:t> </w:t>
      </w:r>
      <w:r w:rsidR="0031639E">
        <w:rPr>
          <w:lang w:eastAsia="ko-KR" w:bidi="ar-EG"/>
        </w:rPr>
        <w:t>MMSS</w:t>
      </w:r>
      <w:r w:rsidR="0031639E">
        <w:rPr>
          <w:rFonts w:hint="cs"/>
          <w:rtl/>
          <w:lang w:eastAsia="ko-KR" w:bidi="ar-EG"/>
        </w:rPr>
        <w:t xml:space="preserve"> أمراً غير عملي. وتبين دراسات تقاسم قطاع الاتصالات الراديوية أن الوصلات الصاعدة المقترحة للخدمة</w:t>
      </w:r>
      <w:r w:rsidR="0031639E">
        <w:rPr>
          <w:rFonts w:hint="eastAsia"/>
          <w:rtl/>
          <w:lang w:eastAsia="ko-KR" w:bidi="ar-EG"/>
        </w:rPr>
        <w:t> </w:t>
      </w:r>
      <w:r w:rsidR="0031639E">
        <w:rPr>
          <w:lang w:eastAsia="ko-KR" w:bidi="ar-EG"/>
        </w:rPr>
        <w:t>MMSS</w:t>
      </w:r>
      <w:r w:rsidR="0031639E">
        <w:rPr>
          <w:rFonts w:hint="cs"/>
          <w:rtl/>
          <w:lang w:eastAsia="ko-KR" w:bidi="ar-EG"/>
        </w:rPr>
        <w:t xml:space="preserve"> في النطاقات </w:t>
      </w:r>
      <w:r w:rsidRPr="005E3689">
        <w:rPr>
          <w:rFonts w:hint="cs"/>
          <w:spacing w:val="-2"/>
          <w:rtl/>
          <w:lang w:bidi="ar-EG"/>
        </w:rPr>
        <w:t>و</w:t>
      </w:r>
      <w:r w:rsidRPr="005E3689">
        <w:rPr>
          <w:spacing w:val="-2"/>
        </w:rPr>
        <w:t>MHz 8 400</w:t>
      </w:r>
      <w:r w:rsidRPr="005E3689">
        <w:rPr>
          <w:spacing w:val="-2"/>
        </w:rPr>
        <w:noBreakHyphen/>
        <w:t>8 025</w:t>
      </w:r>
      <w:r w:rsidR="0031639E">
        <w:rPr>
          <w:rFonts w:hint="cs"/>
          <w:spacing w:val="-2"/>
          <w:rtl/>
        </w:rPr>
        <w:t xml:space="preserve"> ستتداخل أيضاً مع التوزيع المجاور لخدمة الأبحاث الفضائية (فضاء-أرض) في</w:t>
      </w:r>
      <w:r w:rsidR="006B2291">
        <w:rPr>
          <w:rFonts w:hint="eastAsia"/>
          <w:spacing w:val="-2"/>
          <w:rtl/>
        </w:rPr>
        <w:t> </w:t>
      </w:r>
      <w:r w:rsidR="0031639E">
        <w:rPr>
          <w:rFonts w:hint="cs"/>
          <w:rtl/>
          <w:lang w:bidi="ar-EG"/>
        </w:rPr>
        <w:t>النطاق</w:t>
      </w:r>
      <w:r w:rsidR="006B2291">
        <w:rPr>
          <w:rFonts w:hint="eastAsia"/>
          <w:rtl/>
          <w:lang w:bidi="ar-EG"/>
        </w:rPr>
        <w:t> </w:t>
      </w:r>
      <w:r w:rsidR="0031639E" w:rsidRPr="0031639E">
        <w:t>MHz 8 500</w:t>
      </w:r>
      <w:r w:rsidR="0031639E" w:rsidRPr="0031639E">
        <w:noBreakHyphen/>
        <w:t>8 400</w:t>
      </w:r>
      <w:r w:rsidR="0031639E" w:rsidRPr="0031639E">
        <w:rPr>
          <w:rFonts w:hint="cs"/>
          <w:rtl/>
        </w:rPr>
        <w:t>، وتح</w:t>
      </w:r>
      <w:r w:rsidR="0031639E">
        <w:rPr>
          <w:rFonts w:hint="cs"/>
          <w:rtl/>
        </w:rPr>
        <w:t xml:space="preserve">ديد النطاق الفرعي </w:t>
      </w:r>
      <w:r w:rsidR="0031639E">
        <w:rPr>
          <w:rFonts w:hint="cs"/>
          <w:rtl/>
          <w:lang w:bidi="ar-EG"/>
        </w:rPr>
        <w:t xml:space="preserve">في النطاق </w:t>
      </w:r>
      <w:r w:rsidR="0031639E" w:rsidRPr="005E3689">
        <w:t>MHz 8 </w:t>
      </w:r>
      <w:r w:rsidR="0031639E">
        <w:t>450</w:t>
      </w:r>
      <w:r w:rsidR="0031639E" w:rsidRPr="005E3689">
        <w:noBreakHyphen/>
      </w:r>
      <w:r w:rsidR="0031639E">
        <w:t>8 400</w:t>
      </w:r>
      <w:r w:rsidR="0031639E">
        <w:rPr>
          <w:rFonts w:hint="cs"/>
          <w:rtl/>
          <w:lang w:bidi="ar-EG"/>
        </w:rPr>
        <w:t xml:space="preserve"> المقتصر على أبحاث الفضاء السحيق. وسيتعين وجود مسافات فصل كبيرة و/أو مباعدات ترددية من أجل التخفيف من حدة التداخلات.</w:t>
      </w:r>
    </w:p>
    <w:p w:rsidR="009B22E9" w:rsidRDefault="006D568E" w:rsidP="007F408E">
      <w:pPr>
        <w:pStyle w:val="Headingb"/>
        <w:rPr>
          <w:rtl/>
        </w:rPr>
      </w:pPr>
      <w:r>
        <w:rPr>
          <w:rFonts w:hint="cs"/>
          <w:rtl/>
        </w:rPr>
        <w:t>المقترح</w:t>
      </w:r>
    </w:p>
    <w:p w:rsidR="0031639E" w:rsidRDefault="0031639E">
      <w:pPr>
        <w:tabs>
          <w:tab w:val="clear" w:pos="1134"/>
        </w:tabs>
        <w:bidi w:val="0"/>
        <w:spacing w:before="0" w:line="240" w:lineRule="auto"/>
        <w:jc w:val="left"/>
        <w:rPr>
          <w:rFonts w:ascii="Times New Roman Bold" w:hAnsi="Times New Roman Bold"/>
          <w:bCs/>
          <w:kern w:val="14"/>
          <w:sz w:val="24"/>
          <w:szCs w:val="32"/>
          <w:lang w:bidi="ar-EG"/>
        </w:rPr>
      </w:pPr>
      <w:r>
        <w:rPr>
          <w:rtl/>
        </w:rPr>
        <w:br w:type="page"/>
      </w:r>
    </w:p>
    <w:p w:rsidR="009F37C9" w:rsidRDefault="0096620C" w:rsidP="008A6056">
      <w:pPr>
        <w:pStyle w:val="ArtNo"/>
        <w:rPr>
          <w:rtl/>
        </w:rPr>
      </w:pPr>
      <w:r>
        <w:rPr>
          <w:rtl/>
        </w:rPr>
        <w:lastRenderedPageBreak/>
        <w:t xml:space="preserve">المـادة </w:t>
      </w:r>
      <w:r w:rsidRPr="008462AD">
        <w:rPr>
          <w:rStyle w:val="href"/>
        </w:rPr>
        <w:t>5</w:t>
      </w:r>
    </w:p>
    <w:p w:rsidR="009F37C9" w:rsidRPr="007031A9" w:rsidRDefault="0096620C" w:rsidP="009F37C9">
      <w:pPr>
        <w:pStyle w:val="Arttitle"/>
        <w:rPr>
          <w:b w:val="0"/>
          <w:rtl/>
        </w:rPr>
      </w:pPr>
      <w:bookmarkStart w:id="1" w:name="_Toc331055733"/>
      <w:r w:rsidRPr="007031A9">
        <w:rPr>
          <w:b w:val="0"/>
          <w:rtl/>
        </w:rPr>
        <w:t>توزيع نطاقات التردد</w:t>
      </w:r>
      <w:bookmarkEnd w:id="1"/>
    </w:p>
    <w:p w:rsidR="005500E9" w:rsidRDefault="0096620C">
      <w:pPr>
        <w:pStyle w:val="Proposal"/>
      </w:pPr>
      <w:r>
        <w:rPr>
          <w:u w:val="single"/>
        </w:rPr>
        <w:t>NOC</w:t>
      </w:r>
      <w:r>
        <w:tab/>
      </w:r>
      <w:r w:rsidR="0028121F">
        <w:t>IAP</w:t>
      </w:r>
      <w:r>
        <w:t>/7A9A2/1</w:t>
      </w:r>
    </w:p>
    <w:p w:rsidR="009F37C9" w:rsidRDefault="0096620C" w:rsidP="00B7446F">
      <w:pPr>
        <w:pStyle w:val="Section1"/>
        <w:rPr>
          <w:rtl/>
        </w:rPr>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4F5AF7" w:rsidRDefault="004F5AF7" w:rsidP="00B7446F">
      <w:pPr>
        <w:pStyle w:val="Section1"/>
        <w:rPr>
          <w:lang w:bidi="ar-SA"/>
        </w:rPr>
      </w:pPr>
    </w:p>
    <w:p w:rsidR="005500E9" w:rsidRDefault="0096620C" w:rsidP="00A20D67">
      <w:pPr>
        <w:pStyle w:val="Reasons"/>
        <w:rPr>
          <w:rtl/>
          <w:lang w:bidi="ar-EG"/>
        </w:rPr>
      </w:pPr>
      <w:r>
        <w:rPr>
          <w:rtl/>
        </w:rPr>
        <w:t>الأسباب:</w:t>
      </w:r>
      <w:r>
        <w:tab/>
      </w:r>
      <w:r w:rsidR="0028121F">
        <w:rPr>
          <w:rFonts w:hint="cs"/>
          <w:b w:val="0"/>
          <w:bCs w:val="0"/>
          <w:rtl/>
          <w:lang w:bidi="ar-EG"/>
        </w:rPr>
        <w:t>تظهر دراسات قطاع الاتصالات الراديوية احتمال وقوع تداخلات على الخدمات القائمة سواء داخل النطاق أو</w:t>
      </w:r>
      <w:r w:rsidR="00A20D67">
        <w:rPr>
          <w:rFonts w:hint="eastAsia"/>
          <w:b w:val="0"/>
          <w:bCs w:val="0"/>
          <w:rtl/>
          <w:lang w:bidi="ar-EG"/>
        </w:rPr>
        <w:t> </w:t>
      </w:r>
      <w:bookmarkStart w:id="2" w:name="_GoBack"/>
      <w:bookmarkEnd w:id="2"/>
      <w:r w:rsidR="0028121F">
        <w:rPr>
          <w:rFonts w:hint="cs"/>
          <w:b w:val="0"/>
          <w:bCs w:val="0"/>
          <w:rtl/>
          <w:lang w:bidi="ar-EG"/>
        </w:rPr>
        <w:t>في</w:t>
      </w:r>
      <w:r w:rsidR="00A20D67">
        <w:rPr>
          <w:rFonts w:hint="eastAsia"/>
          <w:b w:val="0"/>
          <w:bCs w:val="0"/>
          <w:rtl/>
          <w:lang w:bidi="ar-EG"/>
        </w:rPr>
        <w:t> </w:t>
      </w:r>
      <w:r w:rsidR="0028121F">
        <w:rPr>
          <w:rFonts w:hint="cs"/>
          <w:b w:val="0"/>
          <w:bCs w:val="0"/>
          <w:rtl/>
          <w:lang w:bidi="ar-EG"/>
        </w:rPr>
        <w:t>النطاق المجاور.</w:t>
      </w:r>
    </w:p>
    <w:p w:rsidR="005500E9" w:rsidRDefault="0096620C">
      <w:pPr>
        <w:pStyle w:val="Proposal"/>
      </w:pPr>
      <w:r>
        <w:t>SUP</w:t>
      </w:r>
      <w:r>
        <w:tab/>
      </w:r>
      <w:r w:rsidR="00F35B96">
        <w:t>IAP</w:t>
      </w:r>
      <w:r>
        <w:t>/7A9A2/2</w:t>
      </w:r>
    </w:p>
    <w:p w:rsidR="00D053B6" w:rsidRPr="00F555FE" w:rsidRDefault="0096620C" w:rsidP="00BE28D7">
      <w:pPr>
        <w:pStyle w:val="ResNo"/>
        <w:tabs>
          <w:tab w:val="left" w:pos="782"/>
          <w:tab w:val="center" w:pos="4819"/>
        </w:tabs>
        <w:spacing w:line="185" w:lineRule="auto"/>
        <w:rPr>
          <w:rtl/>
        </w:rPr>
      </w:pPr>
      <w:bookmarkStart w:id="3" w:name="_Toc327956783"/>
      <w:r w:rsidRPr="00F555FE">
        <w:rPr>
          <w:rFonts w:hint="cs"/>
          <w:rtl/>
        </w:rPr>
        <w:t xml:space="preserve">القـرار </w:t>
      </w:r>
      <w:r w:rsidRPr="00A21FE4">
        <w:rPr>
          <w:rStyle w:val="href"/>
        </w:rPr>
        <w:t>758</w:t>
      </w:r>
      <w:r w:rsidR="00BE28D7">
        <w:t> </w:t>
      </w:r>
      <w:r w:rsidRPr="00F555FE">
        <w:t>(WRC</w:t>
      </w:r>
      <w:r w:rsidRPr="00F555FE">
        <w:noBreakHyphen/>
        <w:t>12)</w:t>
      </w:r>
      <w:bookmarkEnd w:id="3"/>
    </w:p>
    <w:p w:rsidR="00D053B6" w:rsidRDefault="0096620C" w:rsidP="004F5AF7">
      <w:pPr>
        <w:pStyle w:val="Restitle"/>
        <w:spacing w:line="185" w:lineRule="auto"/>
        <w:rPr>
          <w:rtl/>
        </w:rPr>
      </w:pPr>
      <w:bookmarkStart w:id="4" w:name="_Toc327956784"/>
      <w:r>
        <w:rPr>
          <w:rFonts w:hint="cs"/>
          <w:rtl/>
        </w:rPr>
        <w:t xml:space="preserve">التوزيعات للخدمة الثابتة الساتلية </w:t>
      </w:r>
      <w:r w:rsidR="004F5AF7">
        <w:rPr>
          <w:rFonts w:hint="cs"/>
          <w:rtl/>
        </w:rPr>
        <w:t>والخدمة المتنقلة البحرية الساتلية</w:t>
      </w:r>
      <w:r>
        <w:rPr>
          <w:rtl/>
        </w:rPr>
        <w:br/>
      </w:r>
      <w:r>
        <w:rPr>
          <w:rFonts w:hint="cs"/>
          <w:rtl/>
        </w:rPr>
        <w:t xml:space="preserve">في المدى </w:t>
      </w:r>
      <w:r>
        <w:t>GHz 8/7</w:t>
      </w:r>
      <w:bookmarkEnd w:id="4"/>
    </w:p>
    <w:p w:rsidR="005500E9" w:rsidRDefault="0096620C" w:rsidP="00B356EF">
      <w:pPr>
        <w:pStyle w:val="Reasons"/>
        <w:rPr>
          <w:rtl/>
          <w:lang w:bidi="ar-EG"/>
        </w:rPr>
      </w:pPr>
      <w:r>
        <w:rPr>
          <w:rtl/>
        </w:rPr>
        <w:t>الأسباب:</w:t>
      </w:r>
      <w:r>
        <w:tab/>
      </w:r>
      <w:r w:rsidR="00F35B96">
        <w:rPr>
          <w:rFonts w:hint="cs"/>
          <w:b w:val="0"/>
          <w:bCs w:val="0"/>
          <w:rtl/>
          <w:lang w:bidi="ar-EG"/>
        </w:rPr>
        <w:t xml:space="preserve">هذا المقترح ناتج عن استكمال البند </w:t>
      </w:r>
      <w:r w:rsidR="00F35B96">
        <w:rPr>
          <w:b w:val="0"/>
          <w:bCs w:val="0"/>
          <w:lang w:bidi="ar-EG"/>
        </w:rPr>
        <w:t>2.9.1</w:t>
      </w:r>
      <w:r w:rsidR="00F35B96">
        <w:rPr>
          <w:rFonts w:hint="cs"/>
          <w:b w:val="0"/>
          <w:bCs w:val="0"/>
          <w:rtl/>
          <w:lang w:bidi="ar-EG"/>
        </w:rPr>
        <w:t xml:space="preserve"> من جدول الأعمال. ولا</w:t>
      </w:r>
      <w:r w:rsidR="00B356EF">
        <w:rPr>
          <w:rFonts w:hint="eastAsia"/>
          <w:b w:val="0"/>
          <w:bCs w:val="0"/>
          <w:rtl/>
          <w:lang w:bidi="ar-EG"/>
        </w:rPr>
        <w:t> </w:t>
      </w:r>
      <w:r w:rsidR="00F35B96">
        <w:rPr>
          <w:rFonts w:hint="cs"/>
          <w:b w:val="0"/>
          <w:bCs w:val="0"/>
          <w:rtl/>
          <w:lang w:bidi="ar-EG"/>
        </w:rPr>
        <w:t xml:space="preserve">يعكس هذه المقترح موقفاً بشأن الدراسات </w:t>
      </w:r>
      <w:proofErr w:type="spellStart"/>
      <w:r w:rsidR="00F35B96">
        <w:rPr>
          <w:rFonts w:hint="cs"/>
          <w:b w:val="0"/>
          <w:bCs w:val="0"/>
          <w:rtl/>
          <w:lang w:bidi="ar-EG"/>
        </w:rPr>
        <w:t>المجراة</w:t>
      </w:r>
      <w:proofErr w:type="spellEnd"/>
      <w:r w:rsidR="00F35B96">
        <w:rPr>
          <w:rFonts w:hint="cs"/>
          <w:b w:val="0"/>
          <w:bCs w:val="0"/>
          <w:rtl/>
          <w:lang w:bidi="ar-EG"/>
        </w:rPr>
        <w:t xml:space="preserve"> طبقاً لهذا القرار من أجل البند </w:t>
      </w:r>
      <w:r w:rsidR="00F35B96">
        <w:rPr>
          <w:b w:val="0"/>
          <w:bCs w:val="0"/>
          <w:lang w:bidi="ar-EG"/>
        </w:rPr>
        <w:t>1.9.1</w:t>
      </w:r>
      <w:r w:rsidR="00F35B96">
        <w:rPr>
          <w:rFonts w:hint="cs"/>
          <w:b w:val="0"/>
          <w:bCs w:val="0"/>
          <w:rtl/>
          <w:lang w:bidi="ar-EG"/>
        </w:rPr>
        <w:t xml:space="preserve"> من جدول الأعمال.</w:t>
      </w:r>
    </w:p>
    <w:p w:rsidR="00B356EF" w:rsidRPr="00B356EF" w:rsidRDefault="00B356EF" w:rsidP="00B356EF">
      <w:pPr>
        <w:pStyle w:val="Reasons"/>
        <w:rPr>
          <w:rFonts w:hint="cs"/>
          <w:rtl/>
          <w:lang w:bidi="ar-EG"/>
        </w:rPr>
      </w:pPr>
    </w:p>
    <w:p w:rsidR="007310AF" w:rsidRPr="007310AF" w:rsidRDefault="007310AF" w:rsidP="0031639E">
      <w:pPr>
        <w:spacing w:before="600"/>
        <w:jc w:val="center"/>
      </w:pPr>
      <w:r>
        <w:rPr>
          <w:rFonts w:hint="cs"/>
          <w:rtl/>
        </w:rPr>
        <w:t>__________</w:t>
      </w:r>
    </w:p>
    <w:sectPr w:rsidR="007310AF" w:rsidRPr="007310AF">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7310AF" w:rsidRDefault="00281F5F" w:rsidP="007310AF">
    <w:pPr>
      <w:pStyle w:val="Footer"/>
      <w:tabs>
        <w:tab w:val="clear" w:pos="5812"/>
        <w:tab w:val="left" w:pos="5670"/>
      </w:tabs>
    </w:pPr>
    <w:r w:rsidRPr="00CB4300">
      <w:fldChar w:fldCharType="begin"/>
    </w:r>
    <w:r w:rsidRPr="007310AF">
      <w:instrText xml:space="preserve"> FILENAME \p \* MERGEFORMAT </w:instrText>
    </w:r>
    <w:r w:rsidRPr="00CB4300">
      <w:fldChar w:fldCharType="separate"/>
    </w:r>
    <w:r w:rsidR="007310AF" w:rsidRPr="007310AF">
      <w:rPr>
        <w:noProof/>
      </w:rPr>
      <w:t>P:\TRAD\A\ITU-R\CONF-R\CMR15\000\007ADD09ADD02.docx</w:t>
    </w:r>
    <w:r w:rsidRPr="00CB4300">
      <w:fldChar w:fldCharType="end"/>
    </w:r>
    <w:r w:rsidRPr="007310AF">
      <w:t xml:space="preserve">  (</w:t>
    </w:r>
    <w:r w:rsidR="007310AF">
      <w:rPr>
        <w:rFonts w:hint="cs"/>
        <w:rtl/>
      </w:rPr>
      <w:t>387378</w:t>
    </w:r>
    <w:r w:rsidRPr="007310AF">
      <w:t>)</w:t>
    </w:r>
    <w:r w:rsidRPr="007310AF">
      <w:tab/>
    </w:r>
    <w:r w:rsidRPr="00CB4300">
      <w:fldChar w:fldCharType="begin"/>
    </w:r>
    <w:r w:rsidRPr="00CB4300">
      <w:instrText xml:space="preserve"> savedate \@ dd.MM.yy </w:instrText>
    </w:r>
    <w:r w:rsidRPr="00CB4300">
      <w:fldChar w:fldCharType="separate"/>
    </w:r>
    <w:r w:rsidR="00B356EF">
      <w:rPr>
        <w:noProof/>
      </w:rPr>
      <w:t>25.10.15</w:t>
    </w:r>
    <w:r w:rsidRPr="00CB4300">
      <w:fldChar w:fldCharType="end"/>
    </w:r>
    <w:r w:rsidRPr="007310AF">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7310AF" w:rsidRDefault="007310AF" w:rsidP="00CB4300">
    <w:pPr>
      <w:pStyle w:val="Footer"/>
    </w:pPr>
    <w:r w:rsidRPr="00CB4300">
      <w:fldChar w:fldCharType="begin"/>
    </w:r>
    <w:r w:rsidRPr="007310AF">
      <w:instrText xml:space="preserve"> FILENAME \p \* MERGEFORMAT </w:instrText>
    </w:r>
    <w:r w:rsidRPr="00CB4300">
      <w:fldChar w:fldCharType="separate"/>
    </w:r>
    <w:r w:rsidRPr="007310AF">
      <w:rPr>
        <w:noProof/>
      </w:rPr>
      <w:t>P:\TRAD\A\ITU-R\CONF-R\CMR15\000\007ADD09ADD02.docx</w:t>
    </w:r>
    <w:r w:rsidRPr="00CB4300">
      <w:fldChar w:fldCharType="end"/>
    </w:r>
    <w:r w:rsidRPr="007310AF">
      <w:t xml:space="preserve">  (</w:t>
    </w:r>
    <w:r>
      <w:rPr>
        <w:rFonts w:hint="cs"/>
        <w:rtl/>
      </w:rPr>
      <w:t>387378</w:t>
    </w:r>
    <w:r w:rsidRPr="007310AF">
      <w:t>)</w:t>
    </w:r>
    <w:r w:rsidRPr="007310AF">
      <w:tab/>
    </w:r>
    <w:r w:rsidRPr="00CB4300">
      <w:fldChar w:fldCharType="begin"/>
    </w:r>
    <w:r w:rsidRPr="00CB4300">
      <w:instrText xml:space="preserve"> savedate \@ dd.MM.yy </w:instrText>
    </w:r>
    <w:r w:rsidRPr="00CB4300">
      <w:fldChar w:fldCharType="separate"/>
    </w:r>
    <w:r w:rsidR="00B356EF">
      <w:rPr>
        <w:noProof/>
      </w:rPr>
      <w:t>25.10.15</w:t>
    </w:r>
    <w:r w:rsidRPr="00CB4300">
      <w:fldChar w:fldCharType="end"/>
    </w:r>
    <w:r w:rsidRPr="007310AF">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20D67">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7(Add.9)(Add.2)-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230E3"/>
    <w:rsid w:val="001464F2"/>
    <w:rsid w:val="001629EC"/>
    <w:rsid w:val="00167364"/>
    <w:rsid w:val="001903B2"/>
    <w:rsid w:val="001E190C"/>
    <w:rsid w:val="001E54F6"/>
    <w:rsid w:val="001E5A8C"/>
    <w:rsid w:val="001F49C8"/>
    <w:rsid w:val="00201A0A"/>
    <w:rsid w:val="002075D4"/>
    <w:rsid w:val="00211B2A"/>
    <w:rsid w:val="00224CD4"/>
    <w:rsid w:val="002333A0"/>
    <w:rsid w:val="002543CF"/>
    <w:rsid w:val="00255868"/>
    <w:rsid w:val="0026062E"/>
    <w:rsid w:val="00260F50"/>
    <w:rsid w:val="00261EF7"/>
    <w:rsid w:val="0027069F"/>
    <w:rsid w:val="00277869"/>
    <w:rsid w:val="00280E04"/>
    <w:rsid w:val="0028121F"/>
    <w:rsid w:val="00281F5F"/>
    <w:rsid w:val="002843E4"/>
    <w:rsid w:val="002919E1"/>
    <w:rsid w:val="00295917"/>
    <w:rsid w:val="00296071"/>
    <w:rsid w:val="002A4572"/>
    <w:rsid w:val="002A7E2E"/>
    <w:rsid w:val="002B16D8"/>
    <w:rsid w:val="002C540F"/>
    <w:rsid w:val="002D5F64"/>
    <w:rsid w:val="002D6FBF"/>
    <w:rsid w:val="002E48BF"/>
    <w:rsid w:val="002E61C2"/>
    <w:rsid w:val="0031639E"/>
    <w:rsid w:val="0033737F"/>
    <w:rsid w:val="00353652"/>
    <w:rsid w:val="003569E1"/>
    <w:rsid w:val="003815E2"/>
    <w:rsid w:val="00381FAD"/>
    <w:rsid w:val="00382A66"/>
    <w:rsid w:val="003923B1"/>
    <w:rsid w:val="003965FE"/>
    <w:rsid w:val="003A234F"/>
    <w:rsid w:val="003A6AB4"/>
    <w:rsid w:val="003B27AD"/>
    <w:rsid w:val="003B4F23"/>
    <w:rsid w:val="003C12F6"/>
    <w:rsid w:val="003C3A13"/>
    <w:rsid w:val="003E02EF"/>
    <w:rsid w:val="003E1608"/>
    <w:rsid w:val="003E1D90"/>
    <w:rsid w:val="003F4F46"/>
    <w:rsid w:val="00400CD4"/>
    <w:rsid w:val="004147B9"/>
    <w:rsid w:val="00422C04"/>
    <w:rsid w:val="00426144"/>
    <w:rsid w:val="0044599E"/>
    <w:rsid w:val="00447236"/>
    <w:rsid w:val="00461FA7"/>
    <w:rsid w:val="00470CBD"/>
    <w:rsid w:val="0047407D"/>
    <w:rsid w:val="004909DD"/>
    <w:rsid w:val="004A05E6"/>
    <w:rsid w:val="004A6C66"/>
    <w:rsid w:val="004A7AA0"/>
    <w:rsid w:val="004C11BC"/>
    <w:rsid w:val="004D4AE6"/>
    <w:rsid w:val="004E34FA"/>
    <w:rsid w:val="004F5AF7"/>
    <w:rsid w:val="00505FCA"/>
    <w:rsid w:val="00510C2D"/>
    <w:rsid w:val="005169F4"/>
    <w:rsid w:val="005210D1"/>
    <w:rsid w:val="00523146"/>
    <w:rsid w:val="00523275"/>
    <w:rsid w:val="0052458F"/>
    <w:rsid w:val="00531DC7"/>
    <w:rsid w:val="005350B0"/>
    <w:rsid w:val="00546A99"/>
    <w:rsid w:val="005500E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E3689"/>
    <w:rsid w:val="005F05CC"/>
    <w:rsid w:val="005F65DE"/>
    <w:rsid w:val="00613492"/>
    <w:rsid w:val="006315B5"/>
    <w:rsid w:val="00651343"/>
    <w:rsid w:val="0065562F"/>
    <w:rsid w:val="00680A66"/>
    <w:rsid w:val="00681391"/>
    <w:rsid w:val="006A12AC"/>
    <w:rsid w:val="006A2162"/>
    <w:rsid w:val="006B0D94"/>
    <w:rsid w:val="006B2291"/>
    <w:rsid w:val="006B4B90"/>
    <w:rsid w:val="006B658C"/>
    <w:rsid w:val="006D2674"/>
    <w:rsid w:val="006D568E"/>
    <w:rsid w:val="006E38D0"/>
    <w:rsid w:val="006E465B"/>
    <w:rsid w:val="006F70BF"/>
    <w:rsid w:val="00716B1D"/>
    <w:rsid w:val="007248EC"/>
    <w:rsid w:val="007310AF"/>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408E"/>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5F43"/>
    <w:rsid w:val="008D6ACC"/>
    <w:rsid w:val="008D7AF0"/>
    <w:rsid w:val="008E32DD"/>
    <w:rsid w:val="008F4626"/>
    <w:rsid w:val="009004DF"/>
    <w:rsid w:val="00904AA5"/>
    <w:rsid w:val="00905D21"/>
    <w:rsid w:val="00951718"/>
    <w:rsid w:val="00954CCB"/>
    <w:rsid w:val="00960962"/>
    <w:rsid w:val="0096277D"/>
    <w:rsid w:val="0096620C"/>
    <w:rsid w:val="00972CE0"/>
    <w:rsid w:val="009A3D30"/>
    <w:rsid w:val="009B0BD8"/>
    <w:rsid w:val="009B22E9"/>
    <w:rsid w:val="009D6348"/>
    <w:rsid w:val="009E613F"/>
    <w:rsid w:val="009F042B"/>
    <w:rsid w:val="009F7BA0"/>
    <w:rsid w:val="00A03FD6"/>
    <w:rsid w:val="00A05EDF"/>
    <w:rsid w:val="00A116A8"/>
    <w:rsid w:val="00A20D67"/>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2DE8"/>
    <w:rsid w:val="00B1714C"/>
    <w:rsid w:val="00B171DA"/>
    <w:rsid w:val="00B356EF"/>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28D7"/>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353D"/>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C7F2E"/>
    <w:rsid w:val="00ED048C"/>
    <w:rsid w:val="00ED4B29"/>
    <w:rsid w:val="00EF38AF"/>
    <w:rsid w:val="00F055F8"/>
    <w:rsid w:val="00F07006"/>
    <w:rsid w:val="00F10CB4"/>
    <w:rsid w:val="00F11B3D"/>
    <w:rsid w:val="00F14763"/>
    <w:rsid w:val="00F16212"/>
    <w:rsid w:val="00F16602"/>
    <w:rsid w:val="00F25B80"/>
    <w:rsid w:val="00F2685F"/>
    <w:rsid w:val="00F350C8"/>
    <w:rsid w:val="00F35B96"/>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344573B-099A-4438-B1D0-9A17007A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rtref2">
    <w:name w:val="Art_ref2"/>
    <w:rsid w:val="009B22E9"/>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R15-WRC15-C-0007!A9-A2!MSW-A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2F5A9DA7-E7F3-42A0-BA95-C7FDEA6043AA}">
  <ds:schemaRefs>
    <ds:schemaRef ds:uri="http://schemas.microsoft.com/office/2006/documentManagement/types"/>
    <ds:schemaRef ds:uri="996b2e75-67fd-4955-a3b0-5ab9934cb50b"/>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32a1a8c5-2265-4ebc-b7a0-2071e2c5c9bb"/>
    <ds:schemaRef ds:uri="http://purl.org/dc/dcmitype/"/>
  </ds:schemaRefs>
</ds:datastoreItem>
</file>

<file path=customXml/itemProps5.xml><?xml version="1.0" encoding="utf-8"?>
<ds:datastoreItem xmlns:ds="http://schemas.openxmlformats.org/officeDocument/2006/customXml" ds:itemID="{4D15A2CC-E450-46FC-A211-83104D8C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578</Words>
  <Characters>3065</Characters>
  <Application>Microsoft Office Word</Application>
  <DocSecurity>0</DocSecurity>
  <Lines>56</Lines>
  <Paragraphs>26</Paragraphs>
  <ScaleCrop>false</ScaleCrop>
  <HeadingPairs>
    <vt:vector size="2" baseType="variant">
      <vt:variant>
        <vt:lpstr>Title</vt:lpstr>
      </vt:variant>
      <vt:variant>
        <vt:i4>1</vt:i4>
      </vt:variant>
    </vt:vector>
  </HeadingPairs>
  <TitlesOfParts>
    <vt:vector size="1" baseType="lpstr">
      <vt:lpstr>R15-WRC15-C-0007!A9-A2!MSW-A</vt:lpstr>
    </vt:vector>
  </TitlesOfParts>
  <Manager>General Secretariat - Pool</Manager>
  <Company>International Telecommunication Union (ITU)</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R15-WRC15-C-0007!A9-A2!MSW-A</dc:title>
  <dc:creator>Documents Proposals Manager (DPM)</dc:creator>
  <cp:keywords>DPM_v5.2015.9.16_prod</cp:keywords>
  <cp:lastModifiedBy>Awad, Samy</cp:lastModifiedBy>
  <cp:revision>9</cp:revision>
  <cp:lastPrinted>2011-11-07T13:53:00Z</cp:lastPrinted>
  <dcterms:created xsi:type="dcterms:W3CDTF">2015-10-25T19:14:00Z</dcterms:created>
  <dcterms:modified xsi:type="dcterms:W3CDTF">2015-10-25T21:31:00Z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