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7B136C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7B136C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7B136C" w:rsidRDefault="003E1608" w:rsidP="00954F1B">
            <w:pPr>
              <w:pStyle w:val="Adress"/>
              <w:framePr w:hSpace="0" w:wrap="auto" w:xAlign="left" w:yAlign="inline"/>
              <w:rPr>
                <w:rtl/>
              </w:rPr>
            </w:pPr>
            <w:r w:rsidRPr="007B136C">
              <w:rPr>
                <w:rtl/>
              </w:rPr>
              <w:t xml:space="preserve">الإضافة </w:t>
            </w:r>
            <w:r w:rsidRPr="007B136C">
              <w:t>20</w:t>
            </w:r>
            <w:r w:rsidRPr="007B136C">
              <w:br/>
            </w:r>
            <w:r w:rsidRPr="007B136C">
              <w:rPr>
                <w:rtl/>
              </w:rPr>
              <w:t xml:space="preserve">للوثيقة </w:t>
            </w:r>
            <w:r w:rsidR="007B136C" w:rsidRPr="007B136C">
              <w:t>8-A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7B136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7B136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7B136C">
              <w:rPr>
                <w:rFonts w:eastAsia="SimSun"/>
              </w:rPr>
              <w:t>9</w:t>
            </w:r>
            <w:r w:rsidRPr="007B136C">
              <w:rPr>
                <w:rFonts w:eastAsia="SimSun"/>
                <w:rtl/>
              </w:rPr>
              <w:t xml:space="preserve"> أكتوبر </w:t>
            </w:r>
            <w:r w:rsidRPr="007B136C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7B136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7B136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7B136C">
              <w:rPr>
                <w:rFonts w:eastAsia="SimSun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7B136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B136C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7B136C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7B136C">
              <w:t>4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4827A1" w:rsidP="00C43161">
      <w:pPr>
        <w:pStyle w:val="Normalaftertitle"/>
        <w:rPr>
          <w:rFonts w:eastAsia="SimSun"/>
        </w:rPr>
      </w:pPr>
      <w:r w:rsidRPr="00431196">
        <w:rPr>
          <w:rFonts w:eastAsia="SimSun"/>
        </w:rPr>
        <w:t>4</w:t>
      </w:r>
      <w:r w:rsidRPr="00431196">
        <w:rPr>
          <w:rFonts w:eastAsia="SimSun" w:hint="cs"/>
          <w:rtl/>
        </w:rPr>
        <w:tab/>
        <w:t xml:space="preserve">استعراض القرارات والتوصيات الصادرة عن المؤتمرات السابقة، وفقاً للقرار </w:t>
      </w:r>
      <w:r w:rsidRPr="00431196">
        <w:rPr>
          <w:rFonts w:eastAsia="SimSun"/>
          <w:b/>
          <w:bCs/>
        </w:rPr>
        <w:t>95 (Rev.WRC-07)</w:t>
      </w:r>
      <w:r w:rsidRPr="00431196">
        <w:rPr>
          <w:rFonts w:eastAsia="SimSun" w:hint="cs"/>
          <w:rtl/>
        </w:rPr>
        <w:t xml:space="preserve">، للنظر في إمكانية مراجعتها أو استبدالها أو إلغائها؛ </w:t>
      </w:r>
    </w:p>
    <w:p w:rsidR="00F16602" w:rsidRDefault="00650057" w:rsidP="00C91727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C91727" w:rsidRDefault="00FF672F" w:rsidP="00F576F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تؤيد إدارات الكومنولث الإقليمي في مجال الاتصالات الإجراءات المحددة في الملحق </w:t>
      </w:r>
      <w:r>
        <w:t>6</w:t>
      </w:r>
      <w:r>
        <w:rPr>
          <w:rFonts w:hint="cs"/>
          <w:rtl/>
        </w:rPr>
        <w:t>/</w:t>
      </w:r>
      <w:r>
        <w:t>4</w:t>
      </w:r>
      <w:r>
        <w:rPr>
          <w:rFonts w:hint="cs"/>
          <w:rtl/>
        </w:rPr>
        <w:t>-</w:t>
      </w:r>
      <w:r>
        <w:t>1</w:t>
      </w:r>
      <w:r>
        <w:rPr>
          <w:rFonts w:hint="cs"/>
          <w:rtl/>
        </w:rPr>
        <w:t xml:space="preserve"> بتقرير الاجتماع التحضيري للمؤتمر بشأن القرارات والتوصيات الصادرة عن المؤتمرات السابقة. ويدل</w:t>
      </w:r>
      <w:r w:rsidR="00B82D94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="00F576F5">
        <w:rPr>
          <w:rFonts w:hint="cs"/>
          <w:rtl/>
        </w:rPr>
        <w:t xml:space="preserve">تأييد </w:t>
      </w:r>
      <w:r w:rsidR="00B82D94">
        <w:rPr>
          <w:rFonts w:hint="cs"/>
          <w:rtl/>
        </w:rPr>
        <w:t xml:space="preserve">تعديل القرارات والتوصيات على استعداد </w:t>
      </w:r>
      <w:r w:rsidR="00B82D94">
        <w:rPr>
          <w:rFonts w:hint="cs"/>
          <w:rtl/>
          <w:lang w:bidi="ar-EG"/>
        </w:rPr>
        <w:t xml:space="preserve">إدارات الكومنولث الإقليمي في مجال الاتصالات لبحث مقترحات الإدارات والمنظمات الإقليمية الأخرى بشأن تعديل القرارات والتوصيات المذكورة ومناقشتها في المؤتمر العالمي للاتصالات الراديوية لعام </w:t>
      </w:r>
      <w:r w:rsidR="00B82D94">
        <w:rPr>
          <w:lang w:bidi="ar-EG"/>
        </w:rPr>
        <w:t>2015</w:t>
      </w:r>
      <w:r w:rsidR="00B82D94">
        <w:rPr>
          <w:rFonts w:hint="cs"/>
          <w:rtl/>
          <w:lang w:bidi="ar-EG"/>
        </w:rPr>
        <w:t xml:space="preserve">. وتقترح إدارات الكومنولث الإقليمي في مجال الاتصالات الإجراءات التالية فيما يتعلق بالقرار </w:t>
      </w:r>
      <w:r w:rsidR="00B82D94">
        <w:t>904 (WRC</w:t>
      </w:r>
      <w:r w:rsidR="00B82D94">
        <w:noBreakHyphen/>
        <w:t>07)</w:t>
      </w:r>
      <w:r w:rsidR="00F83190">
        <w:rPr>
          <w:rFonts w:hint="cs"/>
          <w:rtl/>
        </w:rPr>
        <w:t>.</w:t>
      </w:r>
    </w:p>
    <w:p w:rsidR="00C91727" w:rsidRDefault="00C91727" w:rsidP="00C91727">
      <w:pPr>
        <w:pStyle w:val="Headingb"/>
      </w:pPr>
      <w:r>
        <w:rPr>
          <w:rFonts w:hint="cs"/>
          <w:rtl/>
        </w:rPr>
        <w:t>المقترح</w:t>
      </w:r>
    </w:p>
    <w:p w:rsidR="002919E1" w:rsidRPr="002919E1" w:rsidRDefault="002919E1" w:rsidP="00531DC7">
      <w:pPr>
        <w:rPr>
          <w:noProof/>
          <w:rtl/>
        </w:rPr>
      </w:pPr>
      <w:bookmarkStart w:id="1" w:name="_GoBack"/>
      <w:bookmarkEnd w:id="1"/>
    </w:p>
    <w:p w:rsidR="00844074" w:rsidRDefault="004827A1">
      <w:pPr>
        <w:pStyle w:val="Proposal"/>
      </w:pPr>
      <w:r>
        <w:rPr>
          <w:u w:val="single"/>
        </w:rPr>
        <w:lastRenderedPageBreak/>
        <w:t>NOC</w:t>
      </w:r>
      <w:r>
        <w:tab/>
        <w:t>RCC/8A20/1</w:t>
      </w:r>
    </w:p>
    <w:p w:rsidR="007E381E" w:rsidRDefault="004827A1" w:rsidP="007E381E">
      <w:pPr>
        <w:pStyle w:val="ResNo"/>
        <w:rPr>
          <w:rtl/>
          <w:lang w:bidi="ar-SA"/>
        </w:rPr>
      </w:pPr>
      <w:bookmarkStart w:id="2" w:name="_Toc327956801"/>
      <w:r>
        <w:rPr>
          <w:rFonts w:hint="cs"/>
          <w:rtl/>
        </w:rPr>
        <w:t xml:space="preserve">القـرار </w:t>
      </w:r>
      <w:r w:rsidRPr="002625A2">
        <w:t>904</w:t>
      </w:r>
      <w:r>
        <w:t xml:space="preserve"> (WRC-07)</w:t>
      </w:r>
      <w:bookmarkEnd w:id="2"/>
    </w:p>
    <w:p w:rsidR="007E381E" w:rsidRDefault="004827A1" w:rsidP="007E381E">
      <w:pPr>
        <w:pStyle w:val="Restitle"/>
        <w:rPr>
          <w:rtl/>
        </w:rPr>
      </w:pPr>
      <w:bookmarkStart w:id="3" w:name="_Toc327956802"/>
      <w:r>
        <w:rPr>
          <w:rFonts w:hint="cs"/>
          <w:rtl/>
        </w:rPr>
        <w:t>التدابير الانتقالية للتنسيق بين الخدمة المتنقلة الساتلية (أرض-فضاء)</w:t>
      </w:r>
      <w:r>
        <w:rPr>
          <w:rtl/>
        </w:rPr>
        <w:br/>
      </w:r>
      <w:r>
        <w:rPr>
          <w:rFonts w:hint="cs"/>
          <w:rtl/>
        </w:rPr>
        <w:t xml:space="preserve">وخدمة الأبحاث الفضائية (المنفعلة) في النطاق </w:t>
      </w:r>
      <w:r>
        <w:t>MHz 1 668,4-1 668</w:t>
      </w:r>
      <w:r>
        <w:rPr>
          <w:rtl/>
        </w:rPr>
        <w:br/>
      </w:r>
      <w:r>
        <w:rPr>
          <w:rFonts w:hint="cs"/>
          <w:rtl/>
        </w:rPr>
        <w:t>فيما يتعلق بحالة معينة</w:t>
      </w:r>
      <w:bookmarkEnd w:id="3"/>
    </w:p>
    <w:p w:rsidR="00D30824" w:rsidRPr="00D30824" w:rsidRDefault="004827A1" w:rsidP="00372AAA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B82D94" w:rsidRPr="00B82D94">
        <w:rPr>
          <w:rFonts w:hint="cs"/>
          <w:b w:val="0"/>
          <w:bCs w:val="0"/>
          <w:rtl/>
        </w:rPr>
        <w:t>تنص الحاشية</w:t>
      </w:r>
      <w:r w:rsidR="00AA1B0D">
        <w:rPr>
          <w:rFonts w:hint="cs"/>
          <w:b w:val="0"/>
          <w:bCs w:val="0"/>
          <w:rtl/>
        </w:rPr>
        <w:t xml:space="preserve"> رقم</w:t>
      </w:r>
      <w:r w:rsidR="00B82D94" w:rsidRPr="00372AAA">
        <w:rPr>
          <w:rFonts w:hint="cs"/>
          <w:b w:val="0"/>
          <w:bCs w:val="0"/>
          <w:rtl/>
        </w:rPr>
        <w:t xml:space="preserve"> </w:t>
      </w:r>
      <w:r w:rsidR="00D34AAB" w:rsidRPr="00D34AAB">
        <w:rPr>
          <w:b w:val="0"/>
          <w:bCs w:val="0"/>
        </w:rPr>
        <w:t>5</w:t>
      </w:r>
      <w:r w:rsidR="00D34AAB" w:rsidRPr="00D34AAB">
        <w:rPr>
          <w:rFonts w:hint="cs"/>
          <w:b w:val="0"/>
          <w:bCs w:val="0"/>
          <w:rtl/>
        </w:rPr>
        <w:t>.</w:t>
      </w:r>
      <w:r w:rsidR="00D34AAB" w:rsidRPr="00D34AAB">
        <w:rPr>
          <w:b w:val="0"/>
          <w:bCs w:val="0"/>
        </w:rPr>
        <w:t>379B</w:t>
      </w:r>
      <w:r w:rsidR="00D34AAB">
        <w:rPr>
          <w:rFonts w:hint="cs"/>
          <w:b w:val="0"/>
          <w:bCs w:val="0"/>
          <w:rtl/>
        </w:rPr>
        <w:t xml:space="preserve"> على أن شبكات الخدمة الثابتة الساتلية تخضع للتنسيق بموجب الرقم</w:t>
      </w:r>
      <w:r w:rsidR="00372AAA">
        <w:rPr>
          <w:rFonts w:hint="eastAsia"/>
          <w:b w:val="0"/>
          <w:bCs w:val="0"/>
          <w:rtl/>
        </w:rPr>
        <w:t> </w:t>
      </w:r>
      <w:r w:rsidR="00D34AAB" w:rsidRPr="00D34AAB">
        <w:rPr>
          <w:b w:val="0"/>
          <w:bCs w:val="0"/>
        </w:rPr>
        <w:t>9</w:t>
      </w:r>
      <w:r w:rsidR="00D34AAB" w:rsidRPr="00D34AAB">
        <w:rPr>
          <w:rFonts w:hint="cs"/>
          <w:b w:val="0"/>
          <w:bCs w:val="0"/>
          <w:rtl/>
        </w:rPr>
        <w:t>.</w:t>
      </w:r>
      <w:r w:rsidR="00D34AAB" w:rsidRPr="00D34AAB">
        <w:rPr>
          <w:b w:val="0"/>
          <w:bCs w:val="0"/>
        </w:rPr>
        <w:t>11A</w:t>
      </w:r>
      <w:r w:rsidR="00D34AAB">
        <w:rPr>
          <w:rFonts w:hint="cs"/>
          <w:b w:val="0"/>
          <w:bCs w:val="0"/>
          <w:rtl/>
        </w:rPr>
        <w:t xml:space="preserve"> من لوائح الراديو وأن هذا التنسيق يجب أن يأخذ في الاعتبار القرار </w:t>
      </w:r>
      <w:r w:rsidR="00D34AAB" w:rsidRPr="00D34AAB">
        <w:rPr>
          <w:b w:val="0"/>
          <w:bCs w:val="0"/>
        </w:rPr>
        <w:t>904 (WRC</w:t>
      </w:r>
      <w:r w:rsidR="00D34AAB" w:rsidRPr="00D34AAB">
        <w:rPr>
          <w:b w:val="0"/>
          <w:bCs w:val="0"/>
        </w:rPr>
        <w:noBreakHyphen/>
        <w:t>07)</w:t>
      </w:r>
      <w:r w:rsidR="00D34AAB">
        <w:rPr>
          <w:rFonts w:hint="cs"/>
          <w:b w:val="0"/>
          <w:bCs w:val="0"/>
          <w:rtl/>
        </w:rPr>
        <w:t xml:space="preserve"> الذي ترد فيه إحالة واضحة إلى التنسيق بين الخدمة الثابتة الساتلية ونظام </w:t>
      </w:r>
      <w:r w:rsidR="00D34AAB" w:rsidRPr="00D34AAB">
        <w:rPr>
          <w:b w:val="0"/>
          <w:bCs w:val="0"/>
        </w:rPr>
        <w:t>SPECTR-R</w:t>
      </w:r>
      <w:r w:rsidR="00D34AAB">
        <w:rPr>
          <w:rFonts w:hint="cs"/>
          <w:b w:val="0"/>
          <w:bCs w:val="0"/>
          <w:rtl/>
        </w:rPr>
        <w:t xml:space="preserve"> العامل في خدمة </w:t>
      </w:r>
      <w:r w:rsidR="00F576F5">
        <w:rPr>
          <w:rFonts w:hint="cs"/>
          <w:b w:val="0"/>
          <w:bCs w:val="0"/>
          <w:rtl/>
        </w:rPr>
        <w:t>الأبح</w:t>
      </w:r>
      <w:r w:rsidR="00D34AAB">
        <w:rPr>
          <w:rFonts w:hint="cs"/>
          <w:b w:val="0"/>
          <w:bCs w:val="0"/>
          <w:rtl/>
        </w:rPr>
        <w:t>اث الفضائية (المنفعلة). ومن شأن إلغاء هذا القرار أن يستت</w:t>
      </w:r>
      <w:r w:rsidR="00372AAA">
        <w:rPr>
          <w:rFonts w:hint="cs"/>
          <w:b w:val="0"/>
          <w:bCs w:val="0"/>
          <w:rtl/>
        </w:rPr>
        <w:t>بع حذف الإحالة إليه من الحاشية.</w:t>
      </w:r>
    </w:p>
    <w:p w:rsidR="004827A1" w:rsidRPr="004827A1" w:rsidRDefault="004827A1" w:rsidP="004827A1">
      <w:pPr>
        <w:spacing w:before="600"/>
        <w:jc w:val="center"/>
      </w:pPr>
      <w:r>
        <w:rPr>
          <w:rtl/>
        </w:rPr>
        <w:t>___________</w:t>
      </w:r>
    </w:p>
    <w:sectPr w:rsidR="004827A1" w:rsidRPr="004827A1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225A4" w:rsidRDefault="003225A4" w:rsidP="003225A4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D30824">
      <w:rPr>
        <w:noProof/>
        <w:lang w:val="es-ES"/>
      </w:rPr>
      <w:t>P:\ARA\ITU-R\CONF-R\CMR15\000\008ADD20A.docx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387938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A1B0D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225A4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D30824">
      <w:rPr>
        <w:noProof/>
        <w:lang w:val="es-ES"/>
      </w:rPr>
      <w:t>P:\ARA\ITU-R\CONF-R\CMR15\000\008ADD20A.docx</w:t>
    </w:r>
    <w:r>
      <w:fldChar w:fldCharType="end"/>
    </w:r>
    <w:r w:rsidRPr="00CB4300">
      <w:rPr>
        <w:lang w:val="es-ES"/>
      </w:rPr>
      <w:t xml:space="preserve">   (</w:t>
    </w:r>
    <w:r w:rsidR="003225A4">
      <w:rPr>
        <w:lang w:val="es-ES"/>
      </w:rPr>
      <w:t>387938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A1B0D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83190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8(Add.20)-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225A4"/>
    <w:rsid w:val="0033737F"/>
    <w:rsid w:val="00353652"/>
    <w:rsid w:val="003569E1"/>
    <w:rsid w:val="00372AAA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2E4B"/>
    <w:rsid w:val="00426144"/>
    <w:rsid w:val="00461FA7"/>
    <w:rsid w:val="00470CBD"/>
    <w:rsid w:val="0047407D"/>
    <w:rsid w:val="004827A1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04874"/>
    <w:rsid w:val="00613492"/>
    <w:rsid w:val="006315B5"/>
    <w:rsid w:val="00650057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36C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4074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54F1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A1B0D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2D94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43161"/>
    <w:rsid w:val="00C53F6F"/>
    <w:rsid w:val="00C5489D"/>
    <w:rsid w:val="00C71759"/>
    <w:rsid w:val="00C8199C"/>
    <w:rsid w:val="00C84112"/>
    <w:rsid w:val="00C841EB"/>
    <w:rsid w:val="00C8665F"/>
    <w:rsid w:val="00C91727"/>
    <w:rsid w:val="00C917B5"/>
    <w:rsid w:val="00C94DFA"/>
    <w:rsid w:val="00CA298C"/>
    <w:rsid w:val="00CB2BF9"/>
    <w:rsid w:val="00CB4300"/>
    <w:rsid w:val="00CB454E"/>
    <w:rsid w:val="00CB552A"/>
    <w:rsid w:val="00CC030E"/>
    <w:rsid w:val="00CC57D0"/>
    <w:rsid w:val="00CC68C4"/>
    <w:rsid w:val="00CC79A4"/>
    <w:rsid w:val="00CD0FDE"/>
    <w:rsid w:val="00CE0E68"/>
    <w:rsid w:val="00CE5BA4"/>
    <w:rsid w:val="00D25120"/>
    <w:rsid w:val="00D30824"/>
    <w:rsid w:val="00D34AAB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76F5"/>
    <w:rsid w:val="00F83190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19C8AD2D-590A-4410-AC04-41CDF137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R15-WRC15-C-0008!A20!MSW-A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3B617C-5493-46F4-A71D-C6E1D06B35CD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32a1a8c5-2265-4ebc-b7a0-2071e2c5c9bb"/>
    <ds:schemaRef ds:uri="http://schemas.microsoft.com/office/infopath/2007/PartnerControls"/>
    <ds:schemaRef ds:uri="http://schemas.microsoft.com/office/2006/documentManagement/types"/>
    <ds:schemaRef ds:uri="http://purl.org/dc/terms/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A8DFBE07-8952-4D0F-A29A-C9853CAB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221</Words>
  <Characters>1322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R15-WRC15-C-0008!A20!MSW-A</vt:lpstr>
    </vt:vector>
  </TitlesOfParts>
  <Manager>General Secretariat - Pool</Manager>
  <Company>International Telecommunication Union (ITU)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R15-WRC15-C-0008!A20!MSW-A</dc:title>
  <dc:creator>Documents Proposals Manager (DPM)</dc:creator>
  <cp:keywords>DPM_v5.2015.10.230_prod</cp:keywords>
  <cp:lastModifiedBy>Awad, Samy</cp:lastModifiedBy>
  <cp:revision>6</cp:revision>
  <cp:lastPrinted>2011-11-07T13:53:00Z</cp:lastPrinted>
  <dcterms:created xsi:type="dcterms:W3CDTF">2015-10-31T09:17:00Z</dcterms:created>
  <dcterms:modified xsi:type="dcterms:W3CDTF">2015-10-31T20:51:00Z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