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3360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33606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6 au</w:t>
            </w:r>
            <w:r w:rsidRPr="00B33606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8(Add.23)</w:t>
            </w:r>
            <w:r w:rsidR="00BB1D82" w:rsidRPr="00B33606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B33606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3360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5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D0694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7D0694">
              <w:rPr>
                <w:rFonts w:eastAsia="SimSun"/>
                <w:lang w:val="fr-CH"/>
              </w:rPr>
              <w:t>Propositions communes de la Communauté ré</w:t>
            </w:r>
            <w:bookmarkStart w:id="3" w:name="_GoBack"/>
            <w:bookmarkEnd w:id="3"/>
            <w:r w:rsidRPr="007D0694">
              <w:rPr>
                <w:rFonts w:eastAsia="SimSun"/>
                <w:lang w:val="fr-CH"/>
              </w:rPr>
              <w:t>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D0694" w:rsidRDefault="00B33606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7D0694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D0694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7D0694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7D0694">
              <w:rPr>
                <w:rFonts w:eastAsia="SimSun"/>
              </w:rPr>
              <w:t>Point 9.1(9.1.6) de l'ordre du jour</w:t>
            </w:r>
          </w:p>
        </w:tc>
      </w:tr>
    </w:tbl>
    <w:bookmarkEnd w:id="6"/>
    <w:p w:rsidR="00B33606" w:rsidRPr="007B55A9" w:rsidRDefault="00B33606" w:rsidP="00B33606">
      <w:pPr>
        <w:pStyle w:val="Normalaftertitle"/>
        <w:rPr>
          <w:lang w:val="fr-CH"/>
        </w:rPr>
      </w:pPr>
      <w:r w:rsidRPr="007B55A9">
        <w:rPr>
          <w:lang w:val="fr-CH"/>
        </w:rPr>
        <w:t>9</w:t>
      </w:r>
      <w:r w:rsidRPr="007B55A9">
        <w:rPr>
          <w:lang w:val="fr-CH"/>
        </w:rPr>
        <w:tab/>
        <w:t>examiner et approuver le rapport du Directeur du Bureau des radiocommunications, conformément à l'article 7 de la Convention:</w:t>
      </w:r>
    </w:p>
    <w:p w:rsidR="00B33606" w:rsidRPr="007B55A9" w:rsidRDefault="00B33606" w:rsidP="00B33606">
      <w:pPr>
        <w:rPr>
          <w:lang w:val="fr-CH"/>
        </w:rPr>
      </w:pPr>
      <w:r w:rsidRPr="007B55A9">
        <w:rPr>
          <w:lang w:val="fr-CH"/>
        </w:rPr>
        <w:t>9.1</w:t>
      </w:r>
      <w:r w:rsidRPr="007B55A9">
        <w:rPr>
          <w:lang w:val="fr-CH"/>
        </w:rPr>
        <w:tab/>
        <w:t>sur les activités du Secteur des radiocommunications depuis la CMR</w:t>
      </w:r>
      <w:r w:rsidRPr="007B55A9">
        <w:rPr>
          <w:lang w:val="fr-CH"/>
        </w:rPr>
        <w:noBreakHyphen/>
        <w:t xml:space="preserve">12; </w:t>
      </w:r>
    </w:p>
    <w:p w:rsidR="001C0E40" w:rsidRPr="00C23F23" w:rsidRDefault="00601382" w:rsidP="008F7B44">
      <w:pPr>
        <w:rPr>
          <w:lang w:val="fr-CH"/>
        </w:rPr>
      </w:pPr>
      <w:r>
        <w:rPr>
          <w:lang w:val="fr-CH"/>
        </w:rPr>
        <w:t>9.1(9.1.6)</w:t>
      </w:r>
      <w:r w:rsidR="00D42E3D">
        <w:rPr>
          <w:lang w:val="fr-CH"/>
        </w:rPr>
        <w:tab/>
      </w:r>
      <w:r w:rsidR="00D42E3D" w:rsidRPr="00552143">
        <w:rPr>
          <w:lang w:val="fr-CH"/>
        </w:rPr>
        <w:t xml:space="preserve">Résolution </w:t>
      </w:r>
      <w:r w:rsidR="00D42E3D" w:rsidRPr="009F4645">
        <w:rPr>
          <w:b/>
          <w:bCs/>
          <w:lang w:val="fr-CH"/>
        </w:rPr>
        <w:t>957 (CMR-12)</w:t>
      </w:r>
      <w:r w:rsidR="00D42E3D" w:rsidRPr="00552143">
        <w:rPr>
          <w:lang w:val="fr-CH"/>
        </w:rPr>
        <w:t xml:space="preserve"> – Etudes en vue de l'examen des définitions des termes service fixe, station fixe et station mobile</w:t>
      </w:r>
    </w:p>
    <w:p w:rsidR="003A583E" w:rsidRPr="00601382" w:rsidRDefault="00B33606" w:rsidP="00601382">
      <w:pPr>
        <w:pStyle w:val="Headingb"/>
        <w:rPr>
          <w:lang w:val="fr-CH"/>
        </w:rPr>
      </w:pPr>
      <w:r w:rsidRPr="00601382">
        <w:t>Introduction</w:t>
      </w:r>
    </w:p>
    <w:p w:rsidR="00B33606" w:rsidRPr="00601382" w:rsidRDefault="00D649E7" w:rsidP="00601382">
      <w:pPr>
        <w:rPr>
          <w:lang w:val="fr-CH"/>
        </w:rPr>
      </w:pPr>
      <w:r>
        <w:rPr>
          <w:color w:val="000000"/>
        </w:rPr>
        <w:t>Les administrations des pays membres de la RCC</w:t>
      </w:r>
      <w:r w:rsidRPr="00601382">
        <w:rPr>
          <w:lang w:val="fr-CH"/>
        </w:rPr>
        <w:t xml:space="preserve"> </w:t>
      </w:r>
      <w:r w:rsidR="00601382">
        <w:rPr>
          <w:lang w:val="fr-CH"/>
        </w:rPr>
        <w:t>considèrent que les</w:t>
      </w:r>
      <w:r w:rsidR="00B33606" w:rsidRPr="00601382">
        <w:rPr>
          <w:lang w:val="fr-CH"/>
        </w:rPr>
        <w:t xml:space="preserve"> </w:t>
      </w:r>
      <w:r>
        <w:rPr>
          <w:color w:val="000000"/>
        </w:rPr>
        <w:t>définitions figurant actuellement dans le Règlement des radiocommunications</w:t>
      </w:r>
      <w:r w:rsidRPr="00601382">
        <w:rPr>
          <w:lang w:val="fr-CH"/>
        </w:rPr>
        <w:t xml:space="preserve"> </w:t>
      </w:r>
      <w:r w:rsidR="005033F0" w:rsidRPr="00601382">
        <w:rPr>
          <w:lang w:val="fr-CH"/>
        </w:rPr>
        <w:t xml:space="preserve">ne font pas obstacle à l’utilisation des applications existantes ou futures </w:t>
      </w:r>
      <w:r w:rsidR="00601382">
        <w:rPr>
          <w:lang w:val="fr-CH"/>
        </w:rPr>
        <w:t xml:space="preserve">des services fixe ou mobile et </w:t>
      </w:r>
      <w:r w:rsidR="005033F0">
        <w:rPr>
          <w:color w:val="000000"/>
        </w:rPr>
        <w:t>offrent une souplesse suffisante</w:t>
      </w:r>
      <w:r w:rsidR="005033F0" w:rsidRPr="005033F0">
        <w:rPr>
          <w:color w:val="000000"/>
        </w:rPr>
        <w:t xml:space="preserve"> </w:t>
      </w:r>
      <w:r w:rsidR="005033F0">
        <w:rPr>
          <w:color w:val="000000"/>
        </w:rPr>
        <w:t>pour l'attribution des bandes de fréquences</w:t>
      </w:r>
      <w:r w:rsidR="00B33606" w:rsidRPr="00601382">
        <w:rPr>
          <w:lang w:val="fr-CH"/>
        </w:rPr>
        <w:t>.</w:t>
      </w:r>
    </w:p>
    <w:p w:rsidR="00B33606" w:rsidRPr="00601382" w:rsidRDefault="00B33606" w:rsidP="00B33606">
      <w:pPr>
        <w:pStyle w:val="Headingb"/>
        <w:rPr>
          <w:lang w:val="fr-CH"/>
        </w:rPr>
      </w:pPr>
      <w:r w:rsidRPr="00601382">
        <w:rPr>
          <w:lang w:val="fr-CH"/>
        </w:rPr>
        <w:t>Propositions</w:t>
      </w:r>
    </w:p>
    <w:p w:rsidR="0015203F" w:rsidRPr="0060138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01382">
        <w:rPr>
          <w:lang w:val="fr-CH"/>
        </w:rPr>
        <w:br w:type="page"/>
      </w:r>
    </w:p>
    <w:p w:rsidR="004A6A8C" w:rsidRDefault="00D42E3D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1</w:t>
      </w:r>
    </w:p>
    <w:p w:rsidR="004A6A8C" w:rsidRDefault="00D42E3D" w:rsidP="00D94B99">
      <w:pPr>
        <w:pStyle w:val="Arttitle"/>
      </w:pPr>
      <w:r>
        <w:t>Termes et définitions</w:t>
      </w:r>
    </w:p>
    <w:p w:rsidR="004A6A8C" w:rsidRDefault="00D42E3D" w:rsidP="00D94B99">
      <w:pPr>
        <w:pStyle w:val="Section1"/>
      </w:pPr>
      <w:r>
        <w:t>Section III – Services radioélectriques</w:t>
      </w:r>
    </w:p>
    <w:p w:rsidR="004B36F7" w:rsidRDefault="00D42E3D">
      <w:pPr>
        <w:pStyle w:val="Proposal"/>
      </w:pPr>
      <w:r>
        <w:rPr>
          <w:u w:val="single"/>
        </w:rPr>
        <w:t>NOC</w:t>
      </w:r>
      <w:r>
        <w:tab/>
        <w:t>RCC/8A23</w:t>
      </w:r>
      <w:r w:rsidR="00B33606">
        <w:t>A6</w:t>
      </w:r>
      <w:r>
        <w:t>/1</w:t>
      </w:r>
    </w:p>
    <w:p w:rsidR="004A6A8C" w:rsidRDefault="00D42E3D" w:rsidP="00D94B99">
      <w:r w:rsidRPr="009D3550">
        <w:rPr>
          <w:rStyle w:val="Artdef"/>
        </w:rPr>
        <w:t>1.20</w:t>
      </w:r>
      <w:r w:rsidRPr="0061407F">
        <w:tab/>
      </w:r>
      <w:r w:rsidRPr="00880E98">
        <w:tab/>
      </w:r>
      <w:r w:rsidRPr="000C4B1B">
        <w:rPr>
          <w:i/>
          <w:iCs/>
        </w:rPr>
        <w:t>service fixe</w:t>
      </w:r>
      <w:r w:rsidRPr="0061407F">
        <w:t>:  </w:t>
      </w:r>
      <w:r w:rsidRPr="00F83ADB">
        <w:rPr>
          <w:i/>
          <w:iCs/>
        </w:rPr>
        <w:t>Service de radiocommunication</w:t>
      </w:r>
      <w:r w:rsidRPr="00880E98">
        <w:t xml:space="preserve"> entre points fixes déterminés.</w:t>
      </w:r>
    </w:p>
    <w:p w:rsidR="004B36F7" w:rsidRPr="00601382" w:rsidRDefault="00D42E3D" w:rsidP="00601382">
      <w:pPr>
        <w:pStyle w:val="Reasons"/>
        <w:rPr>
          <w:lang w:val="fr-CH"/>
        </w:rPr>
      </w:pPr>
      <w:r w:rsidRPr="00601382">
        <w:rPr>
          <w:b/>
          <w:lang w:val="fr-CH"/>
        </w:rPr>
        <w:t>Motifs:</w:t>
      </w:r>
      <w:r w:rsidRPr="00601382">
        <w:rPr>
          <w:lang w:val="fr-CH"/>
        </w:rPr>
        <w:tab/>
      </w:r>
      <w:r w:rsidR="005033F0" w:rsidRPr="00601382">
        <w:t>Cette</w:t>
      </w:r>
      <w:r w:rsidR="005033F0" w:rsidRPr="00601382">
        <w:rPr>
          <w:lang w:val="fr-CH"/>
        </w:rPr>
        <w:t xml:space="preserve"> définition du service fixe ne fait pas obstacle à l’utilisation des applications existan</w:t>
      </w:r>
      <w:r w:rsidR="00601382">
        <w:rPr>
          <w:lang w:val="fr-CH"/>
        </w:rPr>
        <w:t>tes ou futures du service fixe</w:t>
      </w:r>
      <w:r w:rsidR="00B33606" w:rsidRPr="00601382">
        <w:rPr>
          <w:lang w:val="fr-CH"/>
        </w:rPr>
        <w:t>.</w:t>
      </w:r>
    </w:p>
    <w:p w:rsidR="004A6A8C" w:rsidRDefault="00D42E3D" w:rsidP="00D94B99">
      <w:pPr>
        <w:pStyle w:val="Section1"/>
      </w:pPr>
      <w:r>
        <w:t>Section IV – Stations et systèmes radioélectriques</w:t>
      </w:r>
    </w:p>
    <w:p w:rsidR="004B36F7" w:rsidRDefault="00D42E3D">
      <w:pPr>
        <w:pStyle w:val="Proposal"/>
      </w:pPr>
      <w:r>
        <w:rPr>
          <w:u w:val="single"/>
        </w:rPr>
        <w:t>NOC</w:t>
      </w:r>
      <w:r>
        <w:tab/>
        <w:t>RCC/8A23</w:t>
      </w:r>
      <w:r w:rsidR="00B33606">
        <w:t>A6</w:t>
      </w:r>
      <w:r>
        <w:t>/2</w:t>
      </w:r>
    </w:p>
    <w:p w:rsidR="004A6A8C" w:rsidRPr="00880E98" w:rsidRDefault="00D42E3D" w:rsidP="00D94B99">
      <w:r w:rsidRPr="009D3550">
        <w:rPr>
          <w:rStyle w:val="Artdef"/>
        </w:rPr>
        <w:t>1.66</w:t>
      </w:r>
      <w:r w:rsidRPr="0061407F">
        <w:tab/>
      </w:r>
      <w:r w:rsidRPr="00880E98">
        <w:tab/>
      </w:r>
      <w:r w:rsidRPr="00A05E8E">
        <w:rPr>
          <w:i/>
          <w:iCs/>
        </w:rPr>
        <w:t>station fixe</w:t>
      </w:r>
      <w:r w:rsidRPr="0061407F">
        <w:t>:  </w:t>
      </w:r>
      <w:r w:rsidRPr="00A05E8E">
        <w:rPr>
          <w:i/>
          <w:iCs/>
        </w:rPr>
        <w:t>Station</w:t>
      </w:r>
      <w:r w:rsidRPr="00880E98">
        <w:t xml:space="preserve"> du</w:t>
      </w:r>
      <w:r w:rsidRPr="0061407F">
        <w:t xml:space="preserve"> </w:t>
      </w:r>
      <w:r w:rsidRPr="00A05E8E">
        <w:rPr>
          <w:i/>
          <w:iCs/>
        </w:rPr>
        <w:t>service fixe</w:t>
      </w:r>
      <w:r w:rsidRPr="00880E98">
        <w:t>.</w:t>
      </w:r>
    </w:p>
    <w:p w:rsidR="004B36F7" w:rsidRPr="00601382" w:rsidRDefault="00D42E3D" w:rsidP="00601382">
      <w:pPr>
        <w:pStyle w:val="Reasons"/>
        <w:rPr>
          <w:lang w:val="fr-CH"/>
        </w:rPr>
      </w:pPr>
      <w:r w:rsidRPr="00601382">
        <w:rPr>
          <w:b/>
          <w:lang w:val="fr-CH"/>
        </w:rPr>
        <w:t>Motifs:</w:t>
      </w:r>
      <w:r w:rsidRPr="00601382">
        <w:rPr>
          <w:lang w:val="fr-CH"/>
        </w:rPr>
        <w:tab/>
      </w:r>
      <w:r w:rsidR="005033F0" w:rsidRPr="00601382">
        <w:t>Cette</w:t>
      </w:r>
      <w:r w:rsidR="005033F0" w:rsidRPr="00601382">
        <w:rPr>
          <w:lang w:val="fr-CH"/>
        </w:rPr>
        <w:t xml:space="preserve"> définition d’une station fixe ne fait pas obstacle à l’utilisation des applications ex</w:t>
      </w:r>
      <w:r w:rsidR="00601382">
        <w:rPr>
          <w:lang w:val="fr-CH"/>
        </w:rPr>
        <w:t xml:space="preserve">istantes ou futures du service </w:t>
      </w:r>
      <w:r w:rsidR="005033F0" w:rsidRPr="00601382">
        <w:rPr>
          <w:lang w:val="fr-CH"/>
        </w:rPr>
        <w:t>fixe</w:t>
      </w:r>
      <w:r w:rsidR="00B33606" w:rsidRPr="00601382">
        <w:rPr>
          <w:lang w:val="fr-CH"/>
        </w:rPr>
        <w:t>.</w:t>
      </w:r>
    </w:p>
    <w:p w:rsidR="004B36F7" w:rsidRDefault="00D42E3D">
      <w:pPr>
        <w:pStyle w:val="Proposal"/>
      </w:pPr>
      <w:r>
        <w:rPr>
          <w:u w:val="single"/>
        </w:rPr>
        <w:t>NOC</w:t>
      </w:r>
      <w:r>
        <w:tab/>
        <w:t>RCC/8A23</w:t>
      </w:r>
      <w:r w:rsidR="00B33606">
        <w:t>A6</w:t>
      </w:r>
      <w:r>
        <w:t>/3</w:t>
      </w:r>
    </w:p>
    <w:p w:rsidR="004A6A8C" w:rsidRPr="00880E98" w:rsidRDefault="00D42E3D" w:rsidP="00D94B99">
      <w:r w:rsidRPr="009D3550">
        <w:rPr>
          <w:rStyle w:val="Artdef"/>
        </w:rPr>
        <w:t>1.67</w:t>
      </w:r>
      <w:r w:rsidRPr="0061407F">
        <w:tab/>
      </w:r>
      <w:r w:rsidRPr="00880E98">
        <w:tab/>
      </w:r>
      <w:r w:rsidRPr="00A05E8E">
        <w:rPr>
          <w:i/>
          <w:iCs/>
        </w:rPr>
        <w:t>station mobile</w:t>
      </w:r>
      <w:r w:rsidRPr="0061407F">
        <w:t>:  </w:t>
      </w:r>
      <w:r w:rsidRPr="00A05E8E">
        <w:rPr>
          <w:i/>
          <w:iCs/>
        </w:rPr>
        <w:t xml:space="preserve">Station </w:t>
      </w:r>
      <w:r w:rsidRPr="0046637E">
        <w:t>du</w:t>
      </w:r>
      <w:r w:rsidRPr="00A05E8E">
        <w:rPr>
          <w:i/>
          <w:iCs/>
        </w:rPr>
        <w:t xml:space="preserve"> service mobile</w:t>
      </w:r>
      <w:r w:rsidRPr="00880E98">
        <w:t xml:space="preserve"> destinée à être utilisée lorsqu'elle est en mouvement, ou pendant des haltes en des points non déterminés.</w:t>
      </w:r>
    </w:p>
    <w:p w:rsidR="004B36F7" w:rsidRPr="00601382" w:rsidRDefault="00D42E3D" w:rsidP="00601382">
      <w:pPr>
        <w:pStyle w:val="Reasons"/>
        <w:rPr>
          <w:lang w:val="fr-CH"/>
        </w:rPr>
      </w:pPr>
      <w:r w:rsidRPr="00601382">
        <w:rPr>
          <w:b/>
          <w:lang w:val="fr-CH"/>
        </w:rPr>
        <w:t>Motifs:</w:t>
      </w:r>
      <w:r w:rsidRPr="00601382">
        <w:rPr>
          <w:lang w:val="fr-CH"/>
        </w:rPr>
        <w:tab/>
      </w:r>
      <w:r w:rsidR="005033F0" w:rsidRPr="00601382">
        <w:rPr>
          <w:lang w:val="fr-CH"/>
        </w:rPr>
        <w:t xml:space="preserve">Cette </w:t>
      </w:r>
      <w:r w:rsidR="005033F0" w:rsidRPr="00601382">
        <w:t>définition</w:t>
      </w:r>
      <w:r w:rsidR="00601382">
        <w:rPr>
          <w:lang w:val="fr-CH"/>
        </w:rPr>
        <w:t xml:space="preserve"> d’une station</w:t>
      </w:r>
      <w:r w:rsidR="005033F0" w:rsidRPr="00601382">
        <w:rPr>
          <w:lang w:val="fr-CH"/>
        </w:rPr>
        <w:t xml:space="preserve"> mobile ne fait pas obstacle à l’utilisation des applications e</w:t>
      </w:r>
      <w:r w:rsidR="00601382">
        <w:rPr>
          <w:lang w:val="fr-CH"/>
        </w:rPr>
        <w:t>xistantes ou futures du service</w:t>
      </w:r>
      <w:r w:rsidR="005033F0" w:rsidRPr="00601382">
        <w:rPr>
          <w:lang w:val="fr-CH"/>
        </w:rPr>
        <w:t xml:space="preserve"> mobile</w:t>
      </w:r>
      <w:r w:rsidR="00601382">
        <w:rPr>
          <w:lang w:val="fr-CH"/>
        </w:rPr>
        <w:t>.</w:t>
      </w:r>
    </w:p>
    <w:p w:rsidR="004B36F7" w:rsidRDefault="00D42E3D">
      <w:pPr>
        <w:pStyle w:val="Proposal"/>
      </w:pPr>
      <w:r>
        <w:t>SUP</w:t>
      </w:r>
      <w:r>
        <w:tab/>
        <w:t>RCC/8A23</w:t>
      </w:r>
      <w:r w:rsidR="00B33606">
        <w:t>A6</w:t>
      </w:r>
      <w:r>
        <w:t>/4</w:t>
      </w:r>
    </w:p>
    <w:p w:rsidR="00DD4258" w:rsidRPr="00605981" w:rsidRDefault="00D42E3D" w:rsidP="00DD4258">
      <w:pPr>
        <w:pStyle w:val="ResNo"/>
      </w:pPr>
      <w:r>
        <w:t xml:space="preserve">RÉSOLUTION </w:t>
      </w:r>
      <w:r w:rsidRPr="00880E4B">
        <w:rPr>
          <w:rStyle w:val="href"/>
        </w:rPr>
        <w:t>957</w:t>
      </w:r>
      <w:r w:rsidRPr="00605981">
        <w:t xml:space="preserve"> (CMR-12)</w:t>
      </w:r>
    </w:p>
    <w:p w:rsidR="00DD4258" w:rsidRPr="009C7CEE" w:rsidRDefault="00D42E3D" w:rsidP="00AC1F0E">
      <w:pPr>
        <w:pStyle w:val="Restitle"/>
      </w:pPr>
      <w:r w:rsidRPr="009C7CEE">
        <w:t xml:space="preserve">Etudes en vue de l'examen des définitions des termes </w:t>
      </w:r>
      <w:r w:rsidRPr="009C7CEE">
        <w:rPr>
          <w:i/>
          <w:iCs/>
        </w:rPr>
        <w:t>service fixe</w:t>
      </w:r>
      <w:r w:rsidRPr="009C7CEE">
        <w:t xml:space="preserve">, </w:t>
      </w:r>
      <w:r w:rsidRPr="009C7CEE">
        <w:br/>
      </w:r>
      <w:r w:rsidRPr="009C7CEE">
        <w:rPr>
          <w:i/>
          <w:iCs/>
        </w:rPr>
        <w:t>station fixe</w:t>
      </w:r>
      <w:r w:rsidRPr="009C7CEE">
        <w:t xml:space="preserve"> et </w:t>
      </w:r>
      <w:r w:rsidRPr="009C7CEE">
        <w:rPr>
          <w:i/>
          <w:iCs/>
        </w:rPr>
        <w:t>station mobile</w:t>
      </w:r>
    </w:p>
    <w:p w:rsidR="004B36F7" w:rsidRPr="00601382" w:rsidRDefault="00D42E3D" w:rsidP="005033F0">
      <w:pPr>
        <w:pStyle w:val="Reasons"/>
        <w:rPr>
          <w:lang w:val="fr-CH"/>
        </w:rPr>
      </w:pPr>
      <w:r w:rsidRPr="00601382">
        <w:rPr>
          <w:b/>
          <w:lang w:val="fr-CH"/>
        </w:rPr>
        <w:t>Motifs:</w:t>
      </w:r>
      <w:r w:rsidRPr="00601382">
        <w:rPr>
          <w:lang w:val="fr-CH"/>
        </w:rPr>
        <w:tab/>
      </w:r>
      <w:r w:rsidR="005033F0">
        <w:rPr>
          <w:color w:val="000000"/>
        </w:rPr>
        <w:t>Les études ont été menées à bien</w:t>
      </w:r>
      <w:r w:rsidR="005033F0" w:rsidRPr="00601382">
        <w:rPr>
          <w:lang w:val="fr-CH"/>
        </w:rPr>
        <w:t>.</w:t>
      </w:r>
    </w:p>
    <w:p w:rsidR="00B33606" w:rsidRDefault="00B33606" w:rsidP="0032202E">
      <w:pPr>
        <w:pStyle w:val="Reasons"/>
      </w:pPr>
    </w:p>
    <w:p w:rsidR="00B33606" w:rsidRDefault="00B33606">
      <w:pPr>
        <w:jc w:val="center"/>
      </w:pPr>
      <w:r>
        <w:t>______________</w:t>
      </w:r>
    </w:p>
    <w:p w:rsidR="00B33606" w:rsidRPr="00B33606" w:rsidRDefault="00B33606">
      <w:pPr>
        <w:pStyle w:val="Reasons"/>
        <w:rPr>
          <w:lang w:val="en-GB"/>
        </w:rPr>
      </w:pPr>
    </w:p>
    <w:sectPr w:rsidR="00B33606" w:rsidRPr="00B3360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27" w:rsidRDefault="00E03A27">
      <w:r>
        <w:separator/>
      </w:r>
    </w:p>
  </w:endnote>
  <w:endnote w:type="continuationSeparator" w:id="0">
    <w:p w:rsidR="00E03A27" w:rsidRDefault="00E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675A8">
      <w:rPr>
        <w:noProof/>
        <w:lang w:val="en-US"/>
      </w:rPr>
      <w:t>P:\FRA\ITU-R\CONF-R\CMR15\000\008ADD23ADD06F.docx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5A8">
      <w:rPr>
        <w:noProof/>
      </w:rP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75A8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675A8">
      <w:rPr>
        <w:lang w:val="en-US"/>
      </w:rPr>
      <w:t>P:\FRA\ITU-R\CONF-R\CMR15\000\008ADD23ADD06F.docx</w:t>
    </w:r>
    <w:r>
      <w:fldChar w:fldCharType="end"/>
    </w:r>
    <w:r w:rsidR="00452F1D">
      <w:t xml:space="preserve"> (382362)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5A8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75A8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675A8">
      <w:rPr>
        <w:lang w:val="en-US"/>
      </w:rPr>
      <w:t>P:\FRA\ITU-R\CONF-R\CMR15\000\008ADD23ADD06F.docx</w:t>
    </w:r>
    <w:r>
      <w:fldChar w:fldCharType="end"/>
    </w:r>
    <w:r w:rsidR="00D42E3D">
      <w:t xml:space="preserve"> (382362)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5A8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75A8"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27" w:rsidRDefault="00E03A27">
      <w:r>
        <w:rPr>
          <w:b/>
        </w:rPr>
        <w:t>_______________</w:t>
      </w:r>
    </w:p>
  </w:footnote>
  <w:footnote w:type="continuationSeparator" w:id="0">
    <w:p w:rsidR="00E03A27" w:rsidRDefault="00E0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675A8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8(Add.23)(Add.6)-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6F99207-5E30-460D-A4D7-8FAADF9069F7}"/>
    <w:docVar w:name="dgnword-eventsink" w:val="362989728"/>
  </w:docVars>
  <w:rsids>
    <w:rsidRoot w:val="00BB1D82"/>
    <w:rsid w:val="00007EC7"/>
    <w:rsid w:val="000109AF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2F1D"/>
    <w:rsid w:val="00466211"/>
    <w:rsid w:val="004675A8"/>
    <w:rsid w:val="004834A9"/>
    <w:rsid w:val="004B36F7"/>
    <w:rsid w:val="004D01FC"/>
    <w:rsid w:val="004E28C3"/>
    <w:rsid w:val="004F1F8E"/>
    <w:rsid w:val="005033F0"/>
    <w:rsid w:val="00512A32"/>
    <w:rsid w:val="00586CF2"/>
    <w:rsid w:val="005C3768"/>
    <w:rsid w:val="005C6C3F"/>
    <w:rsid w:val="00601382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74362"/>
    <w:rsid w:val="00786557"/>
    <w:rsid w:val="00786598"/>
    <w:rsid w:val="007A04E8"/>
    <w:rsid w:val="007D0694"/>
    <w:rsid w:val="00851625"/>
    <w:rsid w:val="00863C0A"/>
    <w:rsid w:val="008A3120"/>
    <w:rsid w:val="008D41BE"/>
    <w:rsid w:val="008D58D3"/>
    <w:rsid w:val="008E71FA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3606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42E3D"/>
    <w:rsid w:val="00D649E7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5479A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53FC828-5157-443A-A3A6-5A2F261E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R15-WRC15-C-0008!A23-A6!MSW-F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5269D-BA82-4CEE-A4C4-28C6BED57B6E}">
  <ds:schemaRefs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1807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R15-WRC15-C-0008!A23-A6!MSW-F</vt:lpstr>
    </vt:vector>
  </TitlesOfParts>
  <Manager>Secrétariat général - Pool</Manager>
  <Company>Union internationale des télécommunications (UIT)</Company>
  <LinksUpToDate>false</LinksUpToDate>
  <CharactersWithSpaces>2080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R15-WRC15-C-0008!A23-A6!MSW-F</dc:title>
  <dc:subject>Conférence mondiale des radiocommunications - 2015</dc:subject>
  <dc:creator>Documents Proposals Manager (DPM)</dc:creator>
  <cp:keywords>DPM_v5.2015.6.16_prod</cp:keywords>
  <dc:description/>
  <cp:lastModifiedBy>Jones, Jacqueline</cp:lastModifiedBy>
  <cp:revision>5</cp:revision>
  <cp:lastPrinted>2015-06-23T15:59:00Z</cp:lastPrinted>
  <dcterms:created xsi:type="dcterms:W3CDTF">2015-06-23T15:56:00Z</dcterms:created>
  <dcterms:modified xsi:type="dcterms:W3CDTF">2015-06-23T15:59:00Z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