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90484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90484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90484C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90484C">
              <w:rPr>
                <w:rFonts w:ascii="Verdana" w:eastAsia="SimSun" w:hAnsi="Verdana" w:cs="Traditional Arabic"/>
                <w:b/>
                <w:sz w:val="20"/>
              </w:rPr>
              <w:br/>
              <w:t>Documento 8(Add.23)</w:t>
            </w:r>
            <w:r w:rsidR="0090121B" w:rsidRPr="0090484C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Pr="0090484C">
              <w:rPr>
                <w:rFonts w:ascii="Verdana" w:eastAsia="SimSun" w:hAnsi="Verdana" w:cs="Traditional Arabic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90484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  <w:bookmarkStart w:id="2" w:name="_GoBack"/>
            <w:bookmarkEnd w:id="2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0484C" w:rsidRDefault="000A5B9A" w:rsidP="000A5B9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90484C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0484C" w:rsidRDefault="0090484C" w:rsidP="000A5B9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8C4DE7">
              <w:rPr>
                <w:rFonts w:eastAsia="SimSun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90484C" w:rsidRDefault="000A5B9A" w:rsidP="000A5B9A">
            <w:pPr>
              <w:pStyle w:val="Title2"/>
              <w:rPr>
                <w:rFonts w:asciiTheme="majorBidi" w:hAnsiTheme="majorBidi" w:cstheme="majorBidi"/>
              </w:rPr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90484C" w:rsidRDefault="000A5B9A" w:rsidP="000A5B9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90484C">
              <w:rPr>
                <w:rFonts w:asciiTheme="majorBidi" w:eastAsia="SimSun" w:hAnsiTheme="majorBidi" w:cstheme="majorBidi"/>
              </w:rPr>
              <w:t>Punto 9.1(9.1.6) del orden del día</w:t>
            </w:r>
          </w:p>
        </w:tc>
      </w:tr>
      <w:bookmarkEnd w:id="6"/>
    </w:tbl>
    <w:p w:rsidR="0090484C" w:rsidRDefault="0090484C" w:rsidP="0090484C">
      <w:pPr>
        <w:pStyle w:val="Normalaftertitle"/>
        <w:spacing w:before="120"/>
        <w:rPr>
          <w:rFonts w:eastAsia="TimesNewRoman,Italic"/>
          <w:lang w:eastAsia="zh-CN"/>
        </w:rPr>
      </w:pPr>
    </w:p>
    <w:p w:rsidR="0090484C" w:rsidRPr="005042D4" w:rsidRDefault="0090484C" w:rsidP="0090484C">
      <w:pPr>
        <w:pStyle w:val="Normalaftertitle"/>
        <w:spacing w:before="120"/>
        <w:rPr>
          <w:rFonts w:eastAsia="TimesNewRoman,Italic"/>
          <w:lang w:eastAsia="zh-CN"/>
        </w:rPr>
      </w:pPr>
      <w:r w:rsidRPr="005042D4">
        <w:rPr>
          <w:rFonts w:eastAsia="TimesNewRoman,Italic"/>
          <w:lang w:eastAsia="zh-CN"/>
        </w:rPr>
        <w:t>9</w:t>
      </w:r>
      <w:r w:rsidRPr="005042D4">
        <w:rPr>
          <w:rFonts w:eastAsia="TimesNewRoman,Italic"/>
          <w:lang w:eastAsia="zh-CN"/>
        </w:rPr>
        <w:tab/>
        <w:t>examinar y aprobar el Informe del Director de la Oficina de Radiocomunicaciones, de conformidad con el Artículo 7 del Convenio:</w:t>
      </w:r>
    </w:p>
    <w:p w:rsidR="0090484C" w:rsidRPr="005042D4" w:rsidRDefault="0090484C" w:rsidP="0090484C">
      <w:pPr>
        <w:pStyle w:val="Normalaftertitle"/>
        <w:spacing w:before="120"/>
      </w:pPr>
      <w:r w:rsidRPr="005042D4">
        <w:rPr>
          <w:rFonts w:eastAsia="TimesNewRoman,Italic"/>
          <w:lang w:eastAsia="zh-CN"/>
        </w:rPr>
        <w:t>9.1</w:t>
      </w:r>
      <w:r w:rsidRPr="005042D4">
        <w:rPr>
          <w:rFonts w:eastAsia="TimesNewRoman,Italic"/>
          <w:lang w:eastAsia="zh-CN"/>
        </w:rPr>
        <w:tab/>
        <w:t>sobre las actividades del Sector de Radi</w:t>
      </w:r>
      <w:r>
        <w:rPr>
          <w:rFonts w:eastAsia="TimesNewRoman,Italic"/>
          <w:lang w:eastAsia="zh-CN"/>
        </w:rPr>
        <w:t>ocomunicaciones desde la CMR-12</w:t>
      </w:r>
      <w:r w:rsidRPr="005042D4">
        <w:rPr>
          <w:rFonts w:eastAsia="TimesNewRoman,Italic"/>
          <w:lang w:eastAsia="zh-CN"/>
        </w:rPr>
        <w:t>;</w:t>
      </w:r>
    </w:p>
    <w:p w:rsidR="001C0E40" w:rsidRPr="003327CA" w:rsidRDefault="0090484C" w:rsidP="00A72CD8">
      <w:r>
        <w:t xml:space="preserve">9.1(9.1.6) </w:t>
      </w:r>
      <w:r>
        <w:tab/>
      </w:r>
      <w:r w:rsidRPr="00A064AD">
        <w:t xml:space="preserve">Resolución </w:t>
      </w:r>
      <w:r w:rsidRPr="00D53641">
        <w:rPr>
          <w:b/>
          <w:bCs/>
        </w:rPr>
        <w:t>957 (CMR-12)</w:t>
      </w:r>
      <w:r w:rsidRPr="00A064AD">
        <w:t xml:space="preserve"> - Estudios para revisar las definiciones de servicio fijo, estación fija y estación móvil</w:t>
      </w:r>
    </w:p>
    <w:p w:rsidR="0090484C" w:rsidRPr="00216EF8" w:rsidRDefault="0090484C" w:rsidP="0090484C">
      <w:pPr>
        <w:pStyle w:val="Headingb"/>
      </w:pPr>
      <w:r w:rsidRPr="0090484C">
        <w:rPr>
          <w:rFonts w:asciiTheme="majorBidi" w:hAnsiTheme="majorBidi" w:cstheme="majorBidi"/>
        </w:rPr>
        <w:t>Introducción</w:t>
      </w:r>
    </w:p>
    <w:p w:rsidR="0090484C" w:rsidRPr="00216EF8" w:rsidRDefault="0090484C" w:rsidP="0090484C">
      <w:r w:rsidRPr="00216EF8">
        <w:t xml:space="preserve">Las Administraciones de la CRC estiman que las definiciones </w:t>
      </w:r>
      <w:r>
        <w:t xml:space="preserve">que figuran actualmente en el Reglamento de Radiocomunicaciones no presentan ningún obstáculo para la utilización de las aplicaciones existentes o futuras en los servicios fijo o móvil y ofrecen la flexibilidad suficiente a los efectos de la atribución del espectro. </w:t>
      </w:r>
    </w:p>
    <w:p w:rsidR="0090484C" w:rsidRPr="0090484C" w:rsidRDefault="0090484C" w:rsidP="0090484C">
      <w:pPr>
        <w:pStyle w:val="Headingb"/>
        <w:rPr>
          <w:rFonts w:asciiTheme="majorBidi" w:hAnsiTheme="majorBidi" w:cstheme="majorBidi"/>
        </w:rPr>
      </w:pPr>
      <w:r w:rsidRPr="005042D4">
        <w:t>Propuestas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90484C" w:rsidP="008964C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1</w:t>
      </w:r>
    </w:p>
    <w:p w:rsidR="00F008F3" w:rsidRPr="00245062" w:rsidRDefault="0090484C" w:rsidP="00D44B91">
      <w:pPr>
        <w:pStyle w:val="Arttitle"/>
      </w:pPr>
      <w:r w:rsidRPr="00245062">
        <w:t>Términos y definiciones</w:t>
      </w:r>
    </w:p>
    <w:p w:rsidR="00F008F3" w:rsidRPr="00245062" w:rsidRDefault="0090484C" w:rsidP="00C070E9">
      <w:pPr>
        <w:pStyle w:val="Section1"/>
      </w:pPr>
      <w:r w:rsidRPr="00245062">
        <w:t>Sección III – Servicios radioeléctricos</w:t>
      </w:r>
    </w:p>
    <w:p w:rsidR="00A538B8" w:rsidRDefault="0090484C">
      <w:pPr>
        <w:pStyle w:val="Proposal"/>
      </w:pPr>
      <w:r>
        <w:rPr>
          <w:u w:val="single"/>
        </w:rPr>
        <w:t>NOC</w:t>
      </w:r>
      <w:r>
        <w:tab/>
        <w:t>RCC/8A23A6/1</w:t>
      </w:r>
    </w:p>
    <w:p w:rsidR="00F008F3" w:rsidRPr="00D8690E" w:rsidRDefault="0090484C" w:rsidP="00397E37">
      <w:r w:rsidRPr="00D07895">
        <w:rPr>
          <w:rStyle w:val="Artdef"/>
        </w:rPr>
        <w:t>1.20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servicio fijo:  Servicio de radiocomunicación</w:t>
      </w:r>
      <w:r w:rsidRPr="00D8690E">
        <w:t xml:space="preserve"> entre puntos fijos determinados.</w:t>
      </w:r>
    </w:p>
    <w:p w:rsidR="00A538B8" w:rsidRDefault="0090484C">
      <w:pPr>
        <w:pStyle w:val="Reasons"/>
      </w:pPr>
      <w:r>
        <w:rPr>
          <w:b/>
        </w:rPr>
        <w:t>Motivos:</w:t>
      </w:r>
      <w:r>
        <w:tab/>
        <w:t xml:space="preserve">Esta </w:t>
      </w:r>
      <w:r w:rsidRPr="00216EF8">
        <w:t>definici</w:t>
      </w:r>
      <w:r>
        <w:t xml:space="preserve">ón </w:t>
      </w:r>
      <w:r w:rsidR="005742D7">
        <w:t>no presenta</w:t>
      </w:r>
      <w:r w:rsidRPr="00216EF8">
        <w:t xml:space="preserve"> ningún obstáculo para la utilización de las aplicaciones existentes o futuras en </w:t>
      </w:r>
      <w:r>
        <w:t xml:space="preserve">el </w:t>
      </w:r>
      <w:r w:rsidRPr="00216EF8">
        <w:t>servicio fijo</w:t>
      </w:r>
      <w:r>
        <w:t>.</w:t>
      </w:r>
    </w:p>
    <w:p w:rsidR="00F008F3" w:rsidRPr="00245062" w:rsidRDefault="0090484C" w:rsidP="00C070E9">
      <w:pPr>
        <w:pStyle w:val="Section1"/>
      </w:pPr>
      <w:r w:rsidRPr="00245062">
        <w:t>Sección IV – Estaciones y sistemas radioeléctricos</w:t>
      </w:r>
    </w:p>
    <w:p w:rsidR="00A538B8" w:rsidRDefault="0090484C">
      <w:pPr>
        <w:pStyle w:val="Proposal"/>
      </w:pPr>
      <w:r>
        <w:rPr>
          <w:u w:val="single"/>
        </w:rPr>
        <w:t>NOC</w:t>
      </w:r>
      <w:r>
        <w:tab/>
        <w:t>RCC/8A23A6/2</w:t>
      </w:r>
    </w:p>
    <w:p w:rsidR="00F008F3" w:rsidRPr="00245062" w:rsidRDefault="0090484C" w:rsidP="00F008F3">
      <w:pPr>
        <w:keepNext/>
        <w:keepLines/>
        <w:rPr>
          <w:i/>
          <w:color w:val="000000"/>
        </w:rPr>
      </w:pPr>
      <w:r w:rsidRPr="00D07895">
        <w:rPr>
          <w:rStyle w:val="Artdef"/>
        </w:rPr>
        <w:t>1.66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estación fija:  Estación</w:t>
      </w:r>
      <w:r w:rsidRPr="00D8690E">
        <w:t xml:space="preserve"> del</w:t>
      </w:r>
      <w:r w:rsidRPr="00245062">
        <w:rPr>
          <w:i/>
          <w:color w:val="000000"/>
        </w:rPr>
        <w:t xml:space="preserve"> servicio fijo.</w:t>
      </w:r>
    </w:p>
    <w:p w:rsidR="00A538B8" w:rsidRDefault="0090484C">
      <w:pPr>
        <w:pStyle w:val="Reasons"/>
      </w:pPr>
      <w:r>
        <w:rPr>
          <w:b/>
        </w:rPr>
        <w:t>Motivos:</w:t>
      </w:r>
      <w:r>
        <w:tab/>
      </w:r>
      <w:r w:rsidR="005742D7">
        <w:t>Esta definición no presenta</w:t>
      </w:r>
      <w:r w:rsidRPr="00216EF8">
        <w:t xml:space="preserve"> ningún obstáculo para la utilización de las aplicaciones existentes o futuras en el servicio fijo.</w:t>
      </w:r>
    </w:p>
    <w:p w:rsidR="00A538B8" w:rsidRDefault="0090484C">
      <w:pPr>
        <w:pStyle w:val="Proposal"/>
      </w:pPr>
      <w:r>
        <w:rPr>
          <w:u w:val="single"/>
        </w:rPr>
        <w:t>NOC</w:t>
      </w:r>
      <w:r>
        <w:tab/>
        <w:t>RCC/8A23A6/3</w:t>
      </w:r>
    </w:p>
    <w:p w:rsidR="00F008F3" w:rsidRPr="00D8690E" w:rsidRDefault="0090484C" w:rsidP="00F008F3">
      <w:r w:rsidRPr="00D07895">
        <w:rPr>
          <w:rStyle w:val="Artdef"/>
        </w:rPr>
        <w:t>1.67</w:t>
      </w:r>
      <w:r w:rsidRPr="00D07895">
        <w:rPr>
          <w:rStyle w:val="Artdef"/>
        </w:rPr>
        <w:tab/>
      </w:r>
      <w:r w:rsidRPr="00D8690E">
        <w:tab/>
      </w:r>
      <w:r w:rsidRPr="00245062">
        <w:rPr>
          <w:i/>
          <w:color w:val="000000"/>
        </w:rPr>
        <w:t>estación móvil:  Estación</w:t>
      </w:r>
      <w:r w:rsidRPr="00D8690E">
        <w:t xml:space="preserve"> del</w:t>
      </w:r>
      <w:r w:rsidRPr="00245062">
        <w:rPr>
          <w:i/>
          <w:color w:val="000000"/>
        </w:rPr>
        <w:t xml:space="preserve"> servicio móvil</w:t>
      </w:r>
      <w:r w:rsidRPr="00D8690E">
        <w:t xml:space="preserve"> destinada a ser utilizada en movimiento o mientras esté detenida en puntos no determinados.</w:t>
      </w:r>
    </w:p>
    <w:p w:rsidR="00A538B8" w:rsidRDefault="0090484C">
      <w:pPr>
        <w:pStyle w:val="Reasons"/>
      </w:pPr>
      <w:r>
        <w:rPr>
          <w:b/>
        </w:rPr>
        <w:t>Motivos:</w:t>
      </w:r>
      <w:r>
        <w:tab/>
      </w:r>
      <w:r w:rsidR="005742D7">
        <w:t>Esta definición no presenta</w:t>
      </w:r>
      <w:r w:rsidRPr="00216EF8">
        <w:t xml:space="preserve"> ningún obstáculo para la utilización de las aplicaciones existentes o futuras en el servicio </w:t>
      </w:r>
      <w:r>
        <w:t>móvil</w:t>
      </w:r>
      <w:r w:rsidRPr="00216EF8">
        <w:t>.</w:t>
      </w:r>
    </w:p>
    <w:p w:rsidR="00A538B8" w:rsidRDefault="0090484C">
      <w:pPr>
        <w:pStyle w:val="Proposal"/>
      </w:pPr>
      <w:r>
        <w:t>SUP</w:t>
      </w:r>
      <w:r>
        <w:tab/>
        <w:t>RCC/8A23A6/4</w:t>
      </w:r>
    </w:p>
    <w:p w:rsidR="009E7ADB" w:rsidRPr="00D14182" w:rsidRDefault="0090484C" w:rsidP="009E7ADB">
      <w:pPr>
        <w:pStyle w:val="ResNo"/>
      </w:pPr>
      <w:bookmarkStart w:id="7" w:name="_Toc328141517"/>
      <w:r w:rsidRPr="00D14182">
        <w:t xml:space="preserve">RESOLUCIÓN </w:t>
      </w:r>
      <w:r w:rsidRPr="00D14182">
        <w:rPr>
          <w:rStyle w:val="href"/>
        </w:rPr>
        <w:t>957</w:t>
      </w:r>
      <w:r>
        <w:t xml:space="preserve"> </w:t>
      </w:r>
      <w:r w:rsidRPr="00D14182">
        <w:t>(CMR-12)</w:t>
      </w:r>
      <w:bookmarkEnd w:id="7"/>
    </w:p>
    <w:p w:rsidR="009E7ADB" w:rsidRPr="00D14182" w:rsidRDefault="0090484C" w:rsidP="009E7ADB">
      <w:pPr>
        <w:pStyle w:val="Restitle"/>
        <w:rPr>
          <w:b w:val="0"/>
        </w:rPr>
      </w:pPr>
      <w:bookmarkStart w:id="8" w:name="_Toc328141518"/>
      <w:r w:rsidRPr="00D14182">
        <w:t>Estudios para revisar las definiciones de servicio fijo,</w:t>
      </w:r>
      <w:r w:rsidRPr="00D14182">
        <w:br/>
      </w:r>
      <w:r w:rsidRPr="00D14182">
        <w:rPr>
          <w:rFonts w:ascii="Times New Roman"/>
          <w:bCs/>
          <w:i/>
        </w:rPr>
        <w:t>estaci</w:t>
      </w:r>
      <w:r w:rsidRPr="00D14182">
        <w:rPr>
          <w:rFonts w:ascii="Times New Roman"/>
          <w:bCs/>
          <w:i/>
        </w:rPr>
        <w:t>ó</w:t>
      </w:r>
      <w:r w:rsidRPr="00D14182">
        <w:rPr>
          <w:rFonts w:ascii="Times New Roman"/>
          <w:bCs/>
          <w:i/>
        </w:rPr>
        <w:t xml:space="preserve">n fija </w:t>
      </w:r>
      <w:r w:rsidRPr="00D14182">
        <w:t xml:space="preserve">y </w:t>
      </w:r>
      <w:r w:rsidRPr="00D14182">
        <w:rPr>
          <w:rFonts w:ascii="Times New Roman"/>
          <w:bCs/>
          <w:i/>
          <w:iCs/>
        </w:rPr>
        <w:t>estaci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n m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vil</w:t>
      </w:r>
      <w:bookmarkEnd w:id="8"/>
    </w:p>
    <w:p w:rsidR="0090484C" w:rsidRDefault="0090484C" w:rsidP="0090484C">
      <w:pPr>
        <w:pStyle w:val="Reasons"/>
      </w:pPr>
      <w:r>
        <w:rPr>
          <w:b/>
        </w:rPr>
        <w:t>Motivos:</w:t>
      </w:r>
      <w:r>
        <w:tab/>
        <w:t>Esos estudios han sido completados.</w:t>
      </w:r>
    </w:p>
    <w:p w:rsidR="0090484C" w:rsidRDefault="0090484C" w:rsidP="0032202E">
      <w:pPr>
        <w:pStyle w:val="Reasons"/>
      </w:pPr>
    </w:p>
    <w:p w:rsidR="0090484C" w:rsidRDefault="0090484C">
      <w:pPr>
        <w:jc w:val="center"/>
      </w:pPr>
      <w:r>
        <w:t>______________</w:t>
      </w:r>
    </w:p>
    <w:p w:rsidR="0090484C" w:rsidRDefault="0090484C" w:rsidP="0090484C">
      <w:pPr>
        <w:pStyle w:val="Reasons"/>
      </w:pPr>
    </w:p>
    <w:sectPr w:rsidR="0090484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42D7">
      <w:rPr>
        <w:noProof/>
      </w:rPr>
      <w:t>23.06.15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D7" w:rsidRDefault="005742D7" w:rsidP="005742D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P:\ESP\ITU-R\CONF-R\CMR15\000\008ADD23ADD06S.docx</w:t>
    </w:r>
    <w:r>
      <w:fldChar w:fldCharType="end"/>
    </w:r>
    <w:r>
      <w:t xml:space="preserve"> (382362)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D7" w:rsidRDefault="005742D7">
    <w:pPr>
      <w:pStyle w:val="Footer"/>
    </w:pPr>
    <w:fldSimple w:instr=" FILENAME \p  \* MERGEFORMAT ">
      <w:r>
        <w:t>P:\ESP\ITU-R\CONF-R\CMR15\000\008ADD23ADD06S.docx</w:t>
      </w:r>
    </w:fldSimple>
    <w:r>
      <w:t xml:space="preserve"> (382362)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23.06.15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2D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8(Add.23)(Add.6)-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0819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742D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0484C"/>
    <w:rsid w:val="009144C9"/>
    <w:rsid w:val="0094091F"/>
    <w:rsid w:val="00973754"/>
    <w:rsid w:val="009C0BED"/>
    <w:rsid w:val="009E11EC"/>
    <w:rsid w:val="00A118DB"/>
    <w:rsid w:val="00A4450C"/>
    <w:rsid w:val="00A538B8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B833C6-F192-4B78-AD9B-3F8EC42B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R15-WRC15-C-0008!A23-A6!MSW-S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1756-8145-4EEA-880A-AC8E17661FD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778C62-3434-4C73-9E0F-D6F43A96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R15-WRC15-C-0008!A23-A6!MSW-S</vt:lpstr>
    </vt:vector>
  </TitlesOfParts>
  <Manager>Secretaría General - Pool</Manager>
  <Company>Unión Internacional de Telecomunicaciones (UIT)</Company>
  <LinksUpToDate>false</LinksUpToDate>
  <CharactersWithSpaces>2119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R15-WRC15-C-0008!A23-A6!MSW-S</dc:title>
  <dc:subject>Conferencia Mundial de Radiocomunicaciones - 2015</dc:subject>
  <dc:creator>Documents Proposals Manager (DPM)</dc:creator>
  <cp:keywords>DPM_v5.2015.6.24_prod</cp:keywords>
  <dc:description/>
  <cp:lastModifiedBy>Christe-Baldan, Susana</cp:lastModifiedBy>
  <cp:revision>4</cp:revision>
  <cp:lastPrinted>2003-02-19T20:20:00Z</cp:lastPrinted>
  <dcterms:created xsi:type="dcterms:W3CDTF">2015-06-23T13:04:00Z</dcterms:created>
  <dcterms:modified xsi:type="dcterms:W3CDTF">2015-06-23T13:31:00Z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