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F6D18" w:rsidRDefault="003E1608" w:rsidP="003F6D18">
            <w:pPr>
              <w:pStyle w:val="Adress"/>
              <w:framePr w:hSpace="0" w:wrap="auto" w:xAlign="left" w:yAlign="inline"/>
              <w:rPr>
                <w:rtl/>
              </w:rPr>
            </w:pPr>
            <w:r w:rsidRPr="003F6D18">
              <w:rPr>
                <w:rtl/>
              </w:rPr>
              <w:t xml:space="preserve">الإضافة </w:t>
            </w:r>
            <w:r w:rsidRPr="003F6D18">
              <w:t>1</w:t>
            </w:r>
            <w:r w:rsidRPr="003F6D18">
              <w:br/>
            </w:r>
            <w:r w:rsidRPr="003F6D18">
              <w:rPr>
                <w:rtl/>
              </w:rPr>
              <w:t xml:space="preserve">للوثيقة </w:t>
            </w:r>
            <w:r w:rsidRPr="003F6D18">
              <w:t>8(Add.9)</w:t>
            </w:r>
            <w:r w:rsidR="003F6D18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F6D1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F6D18">
              <w:rPr>
                <w:rFonts w:eastAsia="SimSun"/>
              </w:rPr>
              <w:t>5</w:t>
            </w:r>
            <w:r w:rsidRPr="003F6D18">
              <w:rPr>
                <w:rFonts w:eastAsia="SimSun"/>
                <w:rtl/>
              </w:rPr>
              <w:t xml:space="preserve"> يونيو </w:t>
            </w:r>
            <w:r w:rsidRPr="003F6D1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F6D1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F6D18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F6D18" w:rsidRDefault="00764079" w:rsidP="00D44350">
            <w:pPr>
              <w:pStyle w:val="Source"/>
              <w:rPr>
                <w:rFonts w:ascii="Times New Roman" w:hAnsi="Times New Roman"/>
                <w:rtl/>
              </w:rPr>
            </w:pPr>
            <w:r w:rsidRPr="003F6D18">
              <w:rPr>
                <w:rFonts w:ascii="Times New Roman" w:eastAsia="SimSun" w:hAnsi="Times New Roman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F6D18" w:rsidRDefault="003F6D1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F6D18" w:rsidRDefault="00764079" w:rsidP="003F6D18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F6D18" w:rsidRDefault="00764079" w:rsidP="003F6D18">
            <w:pPr>
              <w:pStyle w:val="Agendaitem"/>
              <w:spacing w:before="240" w:line="192" w:lineRule="auto"/>
            </w:pPr>
            <w:r w:rsidRPr="003F6D18">
              <w:rPr>
                <w:rFonts w:eastAsia="SimSun"/>
                <w:rtl/>
              </w:rPr>
              <w:t xml:space="preserve">البنـد </w:t>
            </w:r>
            <w:r w:rsidR="003F6D18">
              <w:rPr>
                <w:rFonts w:eastAsia="SimSun"/>
              </w:rPr>
              <w:t>1.9.1</w:t>
            </w:r>
            <w:r w:rsidRPr="003F6D18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4D57C9" w:rsidRPr="004D57C9" w:rsidRDefault="004D57C9" w:rsidP="00F232A0">
      <w:pPr>
        <w:pStyle w:val="Normalaftertitle"/>
        <w:rPr>
          <w:rFonts w:eastAsia="SimSun"/>
          <w:rtl/>
        </w:rPr>
      </w:pPr>
      <w:r w:rsidRPr="004D57C9">
        <w:rPr>
          <w:rFonts w:eastAsia="SimSun"/>
        </w:rPr>
        <w:t>9.1</w:t>
      </w:r>
      <w:r w:rsidRPr="004D57C9">
        <w:rPr>
          <w:rFonts w:eastAsia="SimSun"/>
        </w:rPr>
        <w:tab/>
      </w:r>
      <w:r w:rsidRPr="004D57C9">
        <w:rPr>
          <w:rFonts w:eastAsia="SimSun" w:hint="cs"/>
          <w:rtl/>
        </w:rPr>
        <w:t xml:space="preserve">النظر وفقاً للقرار </w:t>
      </w:r>
      <w:r w:rsidRPr="004D57C9">
        <w:rPr>
          <w:rFonts w:eastAsia="SimSun"/>
          <w:b/>
          <w:bCs/>
        </w:rPr>
        <w:t>758</w:t>
      </w:r>
      <w:r w:rsidRPr="004D57C9">
        <w:rPr>
          <w:rFonts w:eastAsia="SimSun"/>
          <w:b/>
        </w:rPr>
        <w:t> (WRC</w:t>
      </w:r>
      <w:r w:rsidRPr="004D57C9">
        <w:rPr>
          <w:rFonts w:eastAsia="SimSun"/>
          <w:b/>
        </w:rPr>
        <w:noBreakHyphen/>
        <w:t>12)</w:t>
      </w:r>
      <w:r w:rsidRPr="004D57C9">
        <w:rPr>
          <w:rFonts w:eastAsia="SimSun" w:hint="cs"/>
          <w:rtl/>
        </w:rPr>
        <w:t xml:space="preserve"> في:</w:t>
      </w:r>
    </w:p>
    <w:p w:rsidR="001D597A" w:rsidRPr="00431196" w:rsidRDefault="00D37713" w:rsidP="001D597A">
      <w:pPr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F16602" w:rsidRDefault="004D57C9" w:rsidP="006C2E39">
      <w:pPr>
        <w:rPr>
          <w:rtl/>
          <w:lang w:bidi="ar-SY"/>
        </w:rPr>
      </w:pPr>
      <w:r>
        <w:rPr>
          <w:rFonts w:hint="cs"/>
          <w:rtl/>
        </w:rPr>
        <w:t xml:space="preserve">القرار </w:t>
      </w:r>
      <w:r w:rsidRPr="006C2E39">
        <w:rPr>
          <w:b/>
          <w:bCs/>
        </w:rPr>
        <w:t>758 (WRC-1</w:t>
      </w:r>
      <w:r w:rsidR="006C2E39">
        <w:rPr>
          <w:b/>
          <w:bCs/>
        </w:rPr>
        <w:t>2</w:t>
      </w:r>
      <w:r w:rsidRPr="006C2E39">
        <w:rPr>
          <w:b/>
          <w:bCs/>
        </w:rPr>
        <w:t>)</w:t>
      </w:r>
      <w:r>
        <w:rPr>
          <w:rFonts w:hint="cs"/>
          <w:rtl/>
          <w:lang w:bidi="ar-SY"/>
        </w:rPr>
        <w:t xml:space="preserve">: </w:t>
      </w:r>
      <w:r w:rsidR="001605A4" w:rsidRPr="001605A4">
        <w:rPr>
          <w:rtl/>
        </w:rPr>
        <w:t>التوزيعات للخدمة الثابتة الساتلية والخدمة المتنقلة البحرية الساتلية في</w:t>
      </w:r>
      <w:r w:rsidR="0038721C">
        <w:rPr>
          <w:rFonts w:hint="eastAsia"/>
          <w:b/>
          <w:rtl/>
        </w:rPr>
        <w:t> </w:t>
      </w:r>
      <w:r w:rsidR="001605A4" w:rsidRPr="001605A4">
        <w:rPr>
          <w:rtl/>
        </w:rPr>
        <w:t xml:space="preserve">المدى </w:t>
      </w:r>
      <w:r w:rsidR="001605A4" w:rsidRPr="001605A4">
        <w:rPr>
          <w:lang w:bidi="ar-SY"/>
        </w:rPr>
        <w:t>GHz 8/7</w:t>
      </w:r>
    </w:p>
    <w:p w:rsidR="001605A4" w:rsidRDefault="001605A4" w:rsidP="00F232A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605A4" w:rsidRDefault="00273626" w:rsidP="0038721C">
      <w:pPr>
        <w:rPr>
          <w:rtl/>
          <w:lang w:bidi="ar-SY"/>
        </w:rPr>
      </w:pPr>
      <w:r w:rsidRPr="00273626">
        <w:rPr>
          <w:rFonts w:hint="cs"/>
          <w:b/>
          <w:rtl/>
        </w:rPr>
        <w:t xml:space="preserve">تعترض إدارات الكومنولث الإقليمي على توزيع نطاقي الترددات </w:t>
      </w:r>
      <w:r w:rsidRPr="00273626">
        <w:rPr>
          <w:lang w:bidi="ar-SY"/>
        </w:rPr>
        <w:t>MHz 7 250-7 150</w:t>
      </w:r>
      <w:r w:rsidRPr="00273626">
        <w:rPr>
          <w:rFonts w:hint="cs"/>
          <w:b/>
          <w:rtl/>
        </w:rPr>
        <w:t xml:space="preserve"> (فضاء-أرض) و</w:t>
      </w:r>
      <w:r w:rsidRPr="00273626">
        <w:rPr>
          <w:lang w:bidi="ar-SY"/>
        </w:rPr>
        <w:t>MHz 8 500-8 400</w:t>
      </w:r>
      <w:r w:rsidRPr="00273626">
        <w:rPr>
          <w:rFonts w:hint="cs"/>
          <w:rtl/>
        </w:rPr>
        <w:t xml:space="preserve"> </w:t>
      </w:r>
      <w:r w:rsidRPr="00273626">
        <w:rPr>
          <w:rFonts w:hint="cs"/>
          <w:b/>
          <w:rtl/>
        </w:rPr>
        <w:t xml:space="preserve">(أرض-فضاء) للخدمة الثابتة الساتلية (الأسلوب </w:t>
      </w:r>
      <w:r w:rsidRPr="00273626">
        <w:rPr>
          <w:lang w:bidi="ar-SY"/>
        </w:rPr>
        <w:t>C</w:t>
      </w:r>
      <w:r w:rsidRPr="00273626">
        <w:rPr>
          <w:rFonts w:hint="cs"/>
          <w:b/>
          <w:rtl/>
        </w:rPr>
        <w:t xml:space="preserve"> في تقرير الاجتماع التحضيري، مع إضافة بشأن الحفاظ على المادة </w:t>
      </w:r>
      <w:r w:rsidRPr="00273626">
        <w:rPr>
          <w:b/>
          <w:lang w:bidi="ar-SY"/>
        </w:rPr>
        <w:t>5</w:t>
      </w:r>
      <w:r w:rsidRPr="00273626">
        <w:rPr>
          <w:rFonts w:hint="cs"/>
          <w:b/>
          <w:rtl/>
        </w:rPr>
        <w:t xml:space="preserve"> من لوائح الراديو دون</w:t>
      </w:r>
      <w:r w:rsidR="0038721C">
        <w:rPr>
          <w:rFonts w:hint="eastAsia"/>
          <w:b/>
          <w:rtl/>
        </w:rPr>
        <w:t> </w:t>
      </w:r>
      <w:r w:rsidRPr="00273626">
        <w:rPr>
          <w:rFonts w:hint="cs"/>
          <w:b/>
          <w:rtl/>
        </w:rPr>
        <w:t>تغيير).</w:t>
      </w:r>
    </w:p>
    <w:p w:rsidR="001605A4" w:rsidRDefault="001605A4" w:rsidP="00F232A0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1605A4" w:rsidRDefault="001605A4" w:rsidP="001605A4">
      <w:pPr>
        <w:rPr>
          <w:rtl/>
          <w:lang w:bidi="ar-SY"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D37713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37713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6C3769" w:rsidRDefault="00D37713">
      <w:pPr>
        <w:pStyle w:val="Proposal"/>
      </w:pPr>
      <w:r>
        <w:rPr>
          <w:u w:val="single"/>
        </w:rPr>
        <w:t>NOC</w:t>
      </w:r>
      <w:r>
        <w:tab/>
        <w:t>RCC/8A9</w:t>
      </w:r>
      <w:r w:rsidR="00CA61E9">
        <w:t>A1</w:t>
      </w:r>
      <w:r>
        <w:t>/1</w:t>
      </w:r>
    </w:p>
    <w:p w:rsidR="009F37C9" w:rsidRDefault="00D3771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C3769" w:rsidRDefault="00D37713" w:rsidP="00273626">
      <w:pPr>
        <w:pStyle w:val="Reasons"/>
      </w:pPr>
      <w:r>
        <w:rPr>
          <w:rtl/>
        </w:rPr>
        <w:t>الأسباب:</w:t>
      </w:r>
      <w:r>
        <w:tab/>
      </w:r>
      <w:r w:rsidR="00273626" w:rsidRPr="00273626">
        <w:rPr>
          <w:rFonts w:hint="cs"/>
          <w:b w:val="0"/>
          <w:bCs w:val="0"/>
          <w:rtl/>
        </w:rPr>
        <w:t>بيّنت الدراسات أن ضمان التوافق مع الخدمات الفضائية الحالية والمخططة غير ممكن دون فرض قيود إضافية على تلك</w:t>
      </w:r>
      <w:r w:rsidR="0038721C">
        <w:rPr>
          <w:rFonts w:hint="eastAsia"/>
          <w:b w:val="0"/>
          <w:rtl/>
        </w:rPr>
        <w:t> </w:t>
      </w:r>
      <w:bookmarkStart w:id="2" w:name="_GoBack"/>
      <w:bookmarkEnd w:id="2"/>
      <w:r w:rsidR="00273626" w:rsidRPr="00273626">
        <w:rPr>
          <w:rFonts w:hint="cs"/>
          <w:b w:val="0"/>
          <w:bCs w:val="0"/>
          <w:rtl/>
        </w:rPr>
        <w:t>الخدمات.</w:t>
      </w:r>
    </w:p>
    <w:p w:rsidR="006C3769" w:rsidRDefault="00D37713">
      <w:pPr>
        <w:pStyle w:val="Proposal"/>
      </w:pPr>
      <w:r>
        <w:t>SUP</w:t>
      </w:r>
      <w:r>
        <w:tab/>
        <w:t>RCC/8A9</w:t>
      </w:r>
      <w:r w:rsidR="00CA61E9">
        <w:t>A1</w:t>
      </w:r>
      <w:r>
        <w:t>/2</w:t>
      </w:r>
    </w:p>
    <w:p w:rsidR="00D053B6" w:rsidRPr="00F555FE" w:rsidRDefault="00D37713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3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3"/>
    </w:p>
    <w:p w:rsidR="00D053B6" w:rsidRDefault="00D37713" w:rsidP="00332847">
      <w:pPr>
        <w:pStyle w:val="Restitle"/>
        <w:spacing w:line="185" w:lineRule="auto"/>
        <w:rPr>
          <w:rtl/>
        </w:rPr>
      </w:pPr>
      <w:bookmarkStart w:id="4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4"/>
    </w:p>
    <w:p w:rsidR="006C3769" w:rsidRDefault="00D3771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273626" w:rsidRPr="00273626">
        <w:rPr>
          <w:rFonts w:hint="cs"/>
          <w:b w:val="0"/>
          <w:bCs w:val="0"/>
          <w:rtl/>
        </w:rPr>
        <w:t>لم يعد هذا القرار ضرورياً.</w:t>
      </w:r>
    </w:p>
    <w:p w:rsidR="001605A4" w:rsidRPr="001605A4" w:rsidRDefault="001605A4" w:rsidP="001605A4">
      <w:pPr>
        <w:spacing w:before="600"/>
        <w:jc w:val="center"/>
      </w:pPr>
      <w:r>
        <w:rPr>
          <w:rtl/>
        </w:rPr>
        <w:t>___________</w:t>
      </w:r>
    </w:p>
    <w:sectPr w:rsidR="001605A4" w:rsidRPr="001605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13" w:rsidRDefault="00D37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13" w:rsidRPr="00CB4300" w:rsidRDefault="00D37713" w:rsidP="00D3771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P:\ARA\ITU-R\CONF-R\CMR15\000\008ADD09ADD01A.docx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382283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C2E39">
      <w:rPr>
        <w:noProof/>
      </w:rPr>
      <w:t>14.07.15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3771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37713">
      <w:rPr>
        <w:noProof/>
        <w:lang w:val="es-ES"/>
      </w:rPr>
      <w:t>P:\ARA\ITU-R\CONF-R\CMR15\000\008ADD09ADD01A.docx</w:t>
    </w:r>
    <w:r>
      <w:fldChar w:fldCharType="end"/>
    </w:r>
    <w:r w:rsidRPr="00CB4300">
      <w:rPr>
        <w:lang w:val="es-ES"/>
      </w:rPr>
      <w:t xml:space="preserve">   (</w:t>
    </w:r>
    <w:r w:rsidR="00D37713">
      <w:rPr>
        <w:lang w:val="es-ES"/>
      </w:rPr>
      <w:t>382283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C2E39">
      <w:rPr>
        <w:noProof/>
      </w:rPr>
      <w:t>14.07.15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37713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8721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8(Add.9)(Add.1)-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13" w:rsidRDefault="00D37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4657E"/>
    <w:rsid w:val="001605A4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2235"/>
    <w:rsid w:val="002333A0"/>
    <w:rsid w:val="002543CF"/>
    <w:rsid w:val="00255868"/>
    <w:rsid w:val="0026062E"/>
    <w:rsid w:val="00260F50"/>
    <w:rsid w:val="00261EF7"/>
    <w:rsid w:val="0027069F"/>
    <w:rsid w:val="00273626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721C"/>
    <w:rsid w:val="003923B1"/>
    <w:rsid w:val="00395816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6D18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57C9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2E39"/>
    <w:rsid w:val="006C3769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4FAC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055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1E9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7713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32A0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FD18E10-517B-43B0-8195-97D936FD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521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R15-WRC15-C-0008!A9-A1!MSW-A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DBC83-7B73-4233-8634-86D9EDE1E0D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AC3C74-9223-4E7D-B39A-3D32DFB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R15-WRC15-C-0008!A9-A1!MSW-A</dc:title>
  <dc:creator>Documents Proposals Manager (DPM)</dc:creator>
  <cp:keywords>DPM_v5.2015.7.13_prod</cp:keywords>
  <cp:lastModifiedBy>Ajlouni, Nour</cp:lastModifiedBy>
  <cp:revision>10</cp:revision>
  <cp:lastPrinted>2011-11-07T13:53:00Z</cp:lastPrinted>
  <dcterms:created xsi:type="dcterms:W3CDTF">2015-07-14T08:04:00Z</dcterms:created>
  <dcterms:modified xsi:type="dcterms:W3CDTF">2015-07-14T12:34:00Z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