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eastAsia="SimSun" w:hAnsi="Verdana" w:cs="Traditional Arabic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9</w:t>
            </w:r>
            <w:r w:rsidR="00BB1D82"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-</w:t>
            </w: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24 juin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C17D1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bookmarkStart w:id="3" w:name="_GoBack"/>
            <w:bookmarkEnd w:id="3"/>
            <w:r w:rsidRPr="002C17D1">
              <w:rPr>
                <w:rFonts w:eastAsia="SimSun"/>
                <w:lang w:val="en-US"/>
              </w:rPr>
              <w:t>Propositions européennes communes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C17D1" w:rsidRDefault="00690C7B" w:rsidP="00E60CC2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2"/>
            <w:r w:rsidRPr="002C17D1">
              <w:rPr>
                <w:rFonts w:eastAsia="SimSun"/>
                <w:lang w:val="fr-CH"/>
              </w:rPr>
              <w:t>Propos</w:t>
            </w:r>
            <w:r w:rsidR="00E60CC2" w:rsidRPr="002C17D1">
              <w:rPr>
                <w:rFonts w:eastAsia="SimSun"/>
                <w:lang w:val="fr-CH"/>
              </w:rPr>
              <w:t>ITION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C17D1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Pr="002C17D1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2C17D1">
              <w:rPr>
                <w:rFonts w:eastAsia="SimSun"/>
              </w:rPr>
              <w:t>Point 1.1 de l'ordre du jour</w:t>
            </w:r>
          </w:p>
        </w:tc>
      </w:tr>
    </w:tbl>
    <w:bookmarkEnd w:id="6"/>
    <w:p w:rsidR="001C0E40" w:rsidRPr="0000257F" w:rsidRDefault="00E60CC2" w:rsidP="002C17D1">
      <w:pPr>
        <w:pStyle w:val="Normalaftertitle"/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3A583E" w:rsidRDefault="00A062A9" w:rsidP="002C17D1">
      <w:pPr>
        <w:pStyle w:val="Headingb"/>
      </w:pPr>
      <w:r>
        <w:t>Introduction</w:t>
      </w:r>
    </w:p>
    <w:p w:rsidR="00A72029" w:rsidRDefault="00A72029" w:rsidP="002C17D1">
      <w:r>
        <w:t>Par sa Résolution 233, la CMR-12 a invité l’UIT-R à étudier les besoins de spectre additionnel</w:t>
      </w:r>
      <w:r w:rsidR="00C270A8">
        <w:t>s</w:t>
      </w:r>
      <w:r>
        <w:t xml:space="preserve"> pour les </w:t>
      </w:r>
      <w:r w:rsidR="002C17D1">
        <w:t>T</w:t>
      </w:r>
      <w:r>
        <w:t>élécommunications mobiles internationales (IMT) et à étudier les bandes de fréquences qui pourraient être envisagées.</w:t>
      </w:r>
    </w:p>
    <w:p w:rsidR="00A062A9" w:rsidRDefault="00C270A8" w:rsidP="002C17D1">
      <w:r>
        <w:t xml:space="preserve">Les études sur les besoins de spectre additionnels devraient tenir compte des caractéristiques techniques et opérationnelles des systèmes IMT et des bandes actuellement identifiées pour </w:t>
      </w:r>
      <w:r w:rsidR="006A2E5A">
        <w:t>c</w:t>
      </w:r>
      <w:r>
        <w:t xml:space="preserve">es systèmes, des conditions techniques de leur utilisation et de la possibilité d’optimiser l’utilisation de ces bandes, dans l’optique d’une efficacité d’utilisation du spectre accrue. Les études devraient en outre tenir compte </w:t>
      </w:r>
      <w:r w:rsidRPr="00C270A8">
        <w:rPr>
          <w:lang w:val="fr-CH"/>
        </w:rPr>
        <w:t>de l'évolution des besoins, y compris de la demande des util</w:t>
      </w:r>
      <w:r w:rsidR="00106CF6">
        <w:rPr>
          <w:lang w:val="fr-CH"/>
        </w:rPr>
        <w:t xml:space="preserve">isateurs en ce qui concerne les </w:t>
      </w:r>
      <w:r w:rsidRPr="00C270A8">
        <w:rPr>
          <w:lang w:val="fr-CH"/>
        </w:rPr>
        <w:t>IMT et d'autres applications mobiles à large bande de Terre</w:t>
      </w:r>
      <w:r w:rsidR="00106CF6">
        <w:rPr>
          <w:lang w:val="fr-CH"/>
        </w:rPr>
        <w:t xml:space="preserve">, ainsi que </w:t>
      </w:r>
      <w:r w:rsidR="00106CF6" w:rsidRPr="00106CF6">
        <w:t>des délais dans lesquels les bandes de fréquences seraient nécessaires</w:t>
      </w:r>
      <w:r w:rsidR="006A2E5A">
        <w:t>.</w:t>
      </w:r>
    </w:p>
    <w:p w:rsidR="006A2E5A" w:rsidRDefault="006A2E5A" w:rsidP="002C17D1">
      <w:r>
        <w:t>Les études concernant les bandes de fréquences qui pourraient être envisagées devraient tenir compte des études de partage et de compatibilité</w:t>
      </w:r>
      <w:r w:rsidR="00A86EFC" w:rsidRPr="00A86EFC">
        <w:t xml:space="preserve"> avec les services bénéficiant déjà d'attributions dans les bandes qui pourraient être envisagées et dans des bandes adjacentes, selon le cas</w:t>
      </w:r>
      <w:r w:rsidR="00A86EFC">
        <w:t xml:space="preserve">, </w:t>
      </w:r>
      <w:r w:rsidR="002C17D1">
        <w:t>et</w:t>
      </w:r>
      <w:r w:rsidR="00A86EFC">
        <w:t xml:space="preserve"> de </w:t>
      </w:r>
      <w:r w:rsidR="00A86EFC" w:rsidRPr="00A86EFC">
        <w:t>l'utilisation actuelle ou prévue de ces bandes par les services existants ainsi que des études applicables déjà effectuées par l'UIT-R</w:t>
      </w:r>
      <w:r w:rsidR="00627D78">
        <w:t>.</w:t>
      </w:r>
    </w:p>
    <w:p w:rsidR="0076286B" w:rsidRDefault="0076286B" w:rsidP="002C17D1">
      <w:pPr>
        <w:pStyle w:val="Headingb"/>
      </w:pPr>
      <w:r>
        <w:t>Harmonisation du spectre</w:t>
      </w:r>
    </w:p>
    <w:p w:rsidR="00613879" w:rsidRDefault="0076286B" w:rsidP="002C17D1">
      <w:r>
        <w:t>L’harmonisation du spectre à l’échelle mondiale entraîne une baisse des prix d</w:t>
      </w:r>
      <w:r w:rsidR="002C17D1">
        <w:t xml:space="preserve">es </w:t>
      </w:r>
      <w:r>
        <w:t xml:space="preserve">équipements, ce qui favorise l’adoption des technologies et </w:t>
      </w:r>
      <w:r w:rsidR="002C17D1">
        <w:t>stimule d'une manière</w:t>
      </w:r>
      <w:r>
        <w:t xml:space="preserve"> directe et indirecte la croissance économique. Cette croissance</w:t>
      </w:r>
      <w:r w:rsidR="00613879">
        <w:t xml:space="preserve"> est synonyme </w:t>
      </w:r>
      <w:r w:rsidR="002C17D1">
        <w:t>de hausse</w:t>
      </w:r>
      <w:r w:rsidR="00613879">
        <w:t xml:space="preserve"> </w:t>
      </w:r>
      <w:r>
        <w:t>de la productivité,</w:t>
      </w:r>
      <w:r w:rsidR="00613879">
        <w:t xml:space="preserve"> de création d’emplois</w:t>
      </w:r>
      <w:r w:rsidR="002C17D1">
        <w:t xml:space="preserve"> et</w:t>
      </w:r>
      <w:r w:rsidR="00613879">
        <w:t xml:space="preserve"> </w:t>
      </w:r>
      <w:r w:rsidR="00613879">
        <w:lastRenderedPageBreak/>
        <w:t>d’entreprise</w:t>
      </w:r>
      <w:r w:rsidR="002C17D1">
        <w:t>s</w:t>
      </w:r>
      <w:r w:rsidR="00613879">
        <w:t xml:space="preserve">, d’investissements dans les infrastructures et de recettes fiscales, </w:t>
      </w:r>
      <w:r w:rsidR="002C17D1">
        <w:t>autant d'éléments qui entraînent une augmentation</w:t>
      </w:r>
      <w:r w:rsidR="00613879">
        <w:t xml:space="preserve"> du PIB.</w:t>
      </w:r>
    </w:p>
    <w:p w:rsidR="00613879" w:rsidRDefault="002C17D1" w:rsidP="002C17D1">
      <w:r>
        <w:t>L'harmonisation d</w:t>
      </w:r>
      <w:r w:rsidR="00613879">
        <w:t xml:space="preserve">es bandes et des plans de fréquences à l’échelle mondiale </w:t>
      </w:r>
      <w:r>
        <w:t>aurait</w:t>
      </w:r>
      <w:r w:rsidR="00613879">
        <w:t xml:space="preserve"> les </w:t>
      </w:r>
      <w:r>
        <w:t>effets positifs suivants</w:t>
      </w:r>
      <w:r w:rsidR="00613879">
        <w:t>:</w:t>
      </w:r>
    </w:p>
    <w:p w:rsidR="00613879" w:rsidRDefault="00613879" w:rsidP="002C17D1">
      <w:pPr>
        <w:pStyle w:val="enumlev1"/>
      </w:pPr>
      <w:r>
        <w:t>–</w:t>
      </w:r>
      <w:r>
        <w:tab/>
      </w:r>
      <w:r w:rsidR="002C17D1">
        <w:t>permettre des économies d’échelle</w:t>
      </w:r>
      <w:r>
        <w:t>;</w:t>
      </w:r>
    </w:p>
    <w:p w:rsidR="00613879" w:rsidRDefault="00613879" w:rsidP="002C17D1">
      <w:pPr>
        <w:pStyle w:val="enumlev1"/>
      </w:pPr>
      <w:r>
        <w:t>–</w:t>
      </w:r>
      <w:r>
        <w:tab/>
      </w:r>
      <w:r w:rsidR="002C17D1">
        <w:t xml:space="preserve">donner aux consommateurs un </w:t>
      </w:r>
      <w:r>
        <w:t xml:space="preserve">plus grand choix </w:t>
      </w:r>
      <w:r w:rsidR="002C17D1">
        <w:t>de</w:t>
      </w:r>
      <w:r>
        <w:t xml:space="preserve"> fournisseurs de services et </w:t>
      </w:r>
      <w:r w:rsidR="002C17D1">
        <w:t>de marques d’équipements</w:t>
      </w:r>
      <w:r>
        <w:t>;</w:t>
      </w:r>
    </w:p>
    <w:p w:rsidR="00613879" w:rsidRDefault="00613879" w:rsidP="002C17D1">
      <w:pPr>
        <w:pStyle w:val="enumlev1"/>
      </w:pPr>
      <w:r>
        <w:t>–</w:t>
      </w:r>
      <w:r>
        <w:tab/>
      </w:r>
      <w:r w:rsidR="002C17D1">
        <w:t xml:space="preserve">éviter la fragmentation des </w:t>
      </w:r>
      <w:r>
        <w:t>marché</w:t>
      </w:r>
      <w:r w:rsidR="002C17D1">
        <w:t>s</w:t>
      </w:r>
      <w:r>
        <w:t>;</w:t>
      </w:r>
    </w:p>
    <w:p w:rsidR="00613879" w:rsidRDefault="00613879" w:rsidP="002C17D1">
      <w:pPr>
        <w:pStyle w:val="enumlev1"/>
      </w:pPr>
      <w:r>
        <w:t>–</w:t>
      </w:r>
      <w:r>
        <w:tab/>
        <w:t>diminu</w:t>
      </w:r>
      <w:r w:rsidR="002C17D1">
        <w:t>er</w:t>
      </w:r>
      <w:r>
        <w:t xml:space="preserve"> </w:t>
      </w:r>
      <w:r w:rsidR="002C17D1">
        <w:t>l</w:t>
      </w:r>
      <w:r>
        <w:t xml:space="preserve">es risques de brouillages radioélectriques </w:t>
      </w:r>
      <w:r w:rsidR="002C17D1">
        <w:t>pour les</w:t>
      </w:r>
      <w:r>
        <w:t xml:space="preserve"> service</w:t>
      </w:r>
      <w:r w:rsidR="002C17D1">
        <w:t>s</w:t>
      </w:r>
      <w:r>
        <w:t xml:space="preserve"> mobile</w:t>
      </w:r>
      <w:r w:rsidR="002C17D1">
        <w:t>s</w:t>
      </w:r>
      <w:r>
        <w:t xml:space="preserve"> terrestre</w:t>
      </w:r>
      <w:r w:rsidR="002C17D1">
        <w:t>s</w:t>
      </w:r>
      <w:r>
        <w:t>;</w:t>
      </w:r>
    </w:p>
    <w:p w:rsidR="00613879" w:rsidRDefault="00613879" w:rsidP="002C17D1">
      <w:pPr>
        <w:pStyle w:val="enumlev1"/>
      </w:pPr>
      <w:r>
        <w:t>–</w:t>
      </w:r>
      <w:r>
        <w:tab/>
      </w:r>
      <w:r w:rsidR="002C17D1">
        <w:t>faciliter l'</w:t>
      </w:r>
      <w:r>
        <w:t xml:space="preserve">itinérance </w:t>
      </w:r>
      <w:r w:rsidR="002C17D1">
        <w:t>internationale</w:t>
      </w:r>
      <w:r>
        <w:t>;</w:t>
      </w:r>
    </w:p>
    <w:p w:rsidR="00613879" w:rsidRDefault="00613879" w:rsidP="001B1D48">
      <w:pPr>
        <w:pStyle w:val="enumlev1"/>
      </w:pPr>
      <w:r>
        <w:t>–</w:t>
      </w:r>
      <w:r>
        <w:tab/>
      </w:r>
      <w:r w:rsidR="001B1D48">
        <w:t>maximiser</w:t>
      </w:r>
      <w:r>
        <w:t xml:space="preserve"> la valeur économique totale.</w:t>
      </w:r>
    </w:p>
    <w:p w:rsidR="00613879" w:rsidRPr="00613879" w:rsidRDefault="00613879" w:rsidP="001B1D48">
      <w:pPr>
        <w:pStyle w:val="Headingb"/>
      </w:pPr>
      <w:r w:rsidRPr="00613879">
        <w:t>Ré</w:t>
      </w:r>
      <w:r w:rsidR="001B1D48">
        <w:t>sumé</w:t>
      </w:r>
      <w:r w:rsidRPr="00613879">
        <w:t xml:space="preserve"> des propositions européennes conc</w:t>
      </w:r>
      <w:r w:rsidR="0039123C">
        <w:t>ernant les bandes de fréquences</w:t>
      </w:r>
      <w:r w:rsidRPr="00613879">
        <w:t>:</w:t>
      </w:r>
    </w:p>
    <w:p w:rsidR="00D65AC8" w:rsidRDefault="001B1D48" w:rsidP="001B1D48">
      <w:r>
        <w:t>Comme indiqué dans ses propositions, l</w:t>
      </w:r>
      <w:r w:rsidR="00613879">
        <w:t>’Europe est favorable à l’identification de la bande de fréquences 1</w:t>
      </w:r>
      <w:r w:rsidR="00D65AC8">
        <w:t> </w:t>
      </w:r>
      <w:r w:rsidR="00613879">
        <w:t>427–1</w:t>
      </w:r>
      <w:r w:rsidR="00D65AC8">
        <w:t> </w:t>
      </w:r>
      <w:r w:rsidR="00613879">
        <w:t>518 MHz pour les IMT</w:t>
      </w:r>
      <w:r>
        <w:t>,</w:t>
      </w:r>
      <w:r w:rsidR="00613879">
        <w:t xml:space="preserve"> </w:t>
      </w:r>
      <w:r>
        <w:t>ainsi qu'</w:t>
      </w:r>
      <w:r w:rsidR="00613879">
        <w:t>à l’attribution de la bande de fréquences 3</w:t>
      </w:r>
      <w:r w:rsidR="00D65AC8">
        <w:t> </w:t>
      </w:r>
      <w:r w:rsidR="00613879">
        <w:t>400-3</w:t>
      </w:r>
      <w:r w:rsidR="00D65AC8">
        <w:t> </w:t>
      </w:r>
      <w:r w:rsidR="00613879">
        <w:t>800 MHz au service mobile</w:t>
      </w:r>
      <w:r w:rsidRPr="001B1D48">
        <w:t xml:space="preserve"> </w:t>
      </w:r>
      <w:r>
        <w:t>à titre primaire</w:t>
      </w:r>
      <w:r w:rsidR="00D65AC8">
        <w:t xml:space="preserve"> dans le </w:t>
      </w:r>
      <w:r>
        <w:t>T</w:t>
      </w:r>
      <w:r w:rsidR="00D65AC8">
        <w:t>ableau d’attribution des bandes de fréquences de l’Article 5 et à l’identification de cette bande pour les IMT, selon qu’il conviendra.</w:t>
      </w:r>
    </w:p>
    <w:p w:rsidR="00D65AC8" w:rsidRDefault="00D65AC8" w:rsidP="001B1D48">
      <w:r>
        <w:t>L’Europe n’est pas favorable à l’attribution des bandes</w:t>
      </w:r>
      <w:r w:rsidR="001B1D48">
        <w:t xml:space="preserve"> de fréquences</w:t>
      </w:r>
      <w:r>
        <w:t xml:space="preserve"> </w:t>
      </w:r>
      <w:r w:rsidRPr="009F293C">
        <w:t>470-694 MHz, 1 300-1 350 MHz</w:t>
      </w:r>
      <w:r>
        <w:rPr>
          <w:rStyle w:val="FootnoteReference"/>
        </w:rPr>
        <w:footnoteReference w:customMarkFollows="1" w:id="1"/>
        <w:t>*</w:t>
      </w:r>
      <w:r w:rsidRPr="009F293C">
        <w:t>, 1</w:t>
      </w:r>
      <w:r>
        <w:t> </w:t>
      </w:r>
      <w:r w:rsidRPr="009F293C">
        <w:t>350-1 400 MHz, 1 518-1 525 MHz,</w:t>
      </w:r>
      <w:r>
        <w:t xml:space="preserve"> </w:t>
      </w:r>
      <w:r w:rsidRPr="009F293C">
        <w:t>1 695-1 710 MHz,</w:t>
      </w:r>
      <w:r>
        <w:t xml:space="preserve"> </w:t>
      </w:r>
      <w:r w:rsidRPr="009F293C">
        <w:t>2 025-2 110 MHz</w:t>
      </w:r>
      <w:r w:rsidRPr="00131F05">
        <w:rPr>
          <w:sz w:val="18"/>
          <w:szCs w:val="18"/>
        </w:rPr>
        <w:t>*</w:t>
      </w:r>
      <w:r w:rsidRPr="009F293C">
        <w:t>, 2 200-2 290 MHz</w:t>
      </w:r>
      <w:r w:rsidRPr="00BB457D">
        <w:rPr>
          <w:sz w:val="18"/>
          <w:szCs w:val="18"/>
        </w:rPr>
        <w:t>*</w:t>
      </w:r>
      <w:r w:rsidRPr="009F293C">
        <w:t>, 2</w:t>
      </w:r>
      <w:r>
        <w:t> </w:t>
      </w:r>
      <w:r w:rsidRPr="009F293C">
        <w:t>900-3 100 MHz</w:t>
      </w:r>
      <w:r w:rsidRPr="00131F05">
        <w:rPr>
          <w:sz w:val="18"/>
          <w:szCs w:val="18"/>
        </w:rPr>
        <w:t>*</w:t>
      </w:r>
      <w:r w:rsidRPr="009F293C">
        <w:t>, 3 300-3 400 MHz, 3 800-4 200 MHz, 4 40</w:t>
      </w:r>
      <w:r>
        <w:t>0-5 000 MHz, 5 350-5 470 MHz, 5 </w:t>
      </w:r>
      <w:r w:rsidRPr="009F293C">
        <w:t xml:space="preserve">725-5 850 MHz </w:t>
      </w:r>
      <w:r>
        <w:t>et</w:t>
      </w:r>
      <w:r w:rsidRPr="009F293C">
        <w:t xml:space="preserve"> 5 925-6 425 MHz</w:t>
      </w:r>
      <w:r>
        <w:t xml:space="preserve"> au service mobile à titre primaire dans le </w:t>
      </w:r>
      <w:r w:rsidR="001B1D48">
        <w:t>T</w:t>
      </w:r>
      <w:r>
        <w:t>ableau d’attribution des bandes de fréquences de l’Article 5 et à l’identification de ces bandes pour les IMT, selon qu’il conviendra.</w:t>
      </w:r>
    </w:p>
    <w:p w:rsidR="00D65AC8" w:rsidRDefault="00D65AC8" w:rsidP="001B1D48">
      <w:r>
        <w:t>Les propositions européennes correspondant aux positions susmentionnées sont réparties e</w:t>
      </w:r>
      <w:r w:rsidR="001B1D48">
        <w:t>n différents addenda comme suit</w:t>
      </w:r>
      <w:r>
        <w:t>:</w:t>
      </w:r>
    </w:p>
    <w:p w:rsidR="00344F6A" w:rsidRPr="009F293C" w:rsidRDefault="00344F6A" w:rsidP="001B1D48">
      <w:pPr>
        <w:pStyle w:val="enumlev1"/>
      </w:pPr>
      <w:r>
        <w:rPr>
          <w:b/>
        </w:rPr>
        <w:t xml:space="preserve">Addendum </w:t>
      </w:r>
      <w:r w:rsidRPr="009F293C">
        <w:rPr>
          <w:b/>
        </w:rPr>
        <w:t>1</w:t>
      </w:r>
      <w:r w:rsidRPr="009F293C">
        <w:tab/>
      </w:r>
      <w:r w:rsidRPr="001B1D48">
        <w:t>Propositions</w:t>
      </w:r>
      <w:r>
        <w:t xml:space="preserve"> concernant la bande de fréquences </w:t>
      </w:r>
      <w:r w:rsidRPr="009F293C">
        <w:t>1 427-1 518 MHz;</w:t>
      </w:r>
    </w:p>
    <w:p w:rsidR="00344F6A" w:rsidRPr="009F293C" w:rsidRDefault="00344F6A" w:rsidP="001B1D48">
      <w:pPr>
        <w:pStyle w:val="enumlev1"/>
      </w:pPr>
      <w:r>
        <w:rPr>
          <w:b/>
        </w:rPr>
        <w:t xml:space="preserve">Addendum </w:t>
      </w:r>
      <w:r w:rsidRPr="009F293C">
        <w:rPr>
          <w:b/>
        </w:rPr>
        <w:t>2</w:t>
      </w:r>
      <w:r w:rsidRPr="009F293C">
        <w:tab/>
      </w:r>
      <w:r w:rsidRPr="001B1D48">
        <w:t>Propositions</w:t>
      </w:r>
      <w:r>
        <w:t xml:space="preserve"> concernant la bande de fréquences </w:t>
      </w:r>
      <w:r w:rsidRPr="009F293C">
        <w:t>3 400-3 800 MHz;</w:t>
      </w:r>
    </w:p>
    <w:p w:rsidR="00344F6A" w:rsidRPr="009F293C" w:rsidRDefault="00344F6A" w:rsidP="001B1D48">
      <w:pPr>
        <w:pStyle w:val="enumlev1"/>
      </w:pPr>
      <w:r>
        <w:rPr>
          <w:b/>
        </w:rPr>
        <w:t xml:space="preserve">Addendum </w:t>
      </w:r>
      <w:r w:rsidRPr="009F293C">
        <w:rPr>
          <w:b/>
        </w:rPr>
        <w:t>3</w:t>
      </w:r>
      <w:r w:rsidRPr="009F293C">
        <w:tab/>
      </w:r>
      <w:r w:rsidRPr="001B1D48">
        <w:t>Propositions</w:t>
      </w:r>
      <w:r>
        <w:t xml:space="preserve"> concernant la bande de fréquences </w:t>
      </w:r>
      <w:r w:rsidRPr="009F293C">
        <w:t>470-694 MHz;</w:t>
      </w:r>
    </w:p>
    <w:p w:rsidR="00344F6A" w:rsidRPr="009F293C" w:rsidRDefault="00344F6A" w:rsidP="00B96B07">
      <w:pPr>
        <w:pStyle w:val="enumlev1"/>
        <w:ind w:left="1871" w:hanging="1871"/>
      </w:pPr>
      <w:r>
        <w:rPr>
          <w:b/>
        </w:rPr>
        <w:t xml:space="preserve">Addendum </w:t>
      </w:r>
      <w:r w:rsidRPr="009F293C">
        <w:rPr>
          <w:b/>
        </w:rPr>
        <w:t>4</w:t>
      </w:r>
      <w:r w:rsidRPr="009F293C">
        <w:tab/>
      </w:r>
      <w:r>
        <w:t xml:space="preserve">Propositions </w:t>
      </w:r>
      <w:r w:rsidRPr="001B1D48">
        <w:t>concernant</w:t>
      </w:r>
      <w:r>
        <w:t xml:space="preserve"> les bandes de fréquences 1 300-1 350 MHz, 1</w:t>
      </w:r>
      <w:r w:rsidR="00B96B07">
        <w:t> </w:t>
      </w:r>
      <w:r>
        <w:t>350</w:t>
      </w:r>
      <w:r w:rsidR="00B96B07">
        <w:noBreakHyphen/>
      </w:r>
      <w:r>
        <w:t>1</w:t>
      </w:r>
      <w:r w:rsidR="00B96B07">
        <w:t> </w:t>
      </w:r>
      <w:r>
        <w:t xml:space="preserve">400 MHz, </w:t>
      </w:r>
      <w:r w:rsidRPr="009F293C">
        <w:t>1</w:t>
      </w:r>
      <w:r>
        <w:t> </w:t>
      </w:r>
      <w:r w:rsidRPr="009F293C">
        <w:t>518-1 525 MHz, 1</w:t>
      </w:r>
      <w:r>
        <w:t> </w:t>
      </w:r>
      <w:r w:rsidRPr="009F293C">
        <w:t>695-1 710 MHz, 2 0</w:t>
      </w:r>
      <w:r>
        <w:t>25</w:t>
      </w:r>
      <w:r w:rsidRPr="009F293C">
        <w:t>-2 110</w:t>
      </w:r>
      <w:r>
        <w:t xml:space="preserve"> MHz</w:t>
      </w:r>
      <w:r w:rsidRPr="009F293C">
        <w:t>, 2</w:t>
      </w:r>
      <w:r w:rsidR="00B96B07">
        <w:t> </w:t>
      </w:r>
      <w:r w:rsidRPr="009F293C">
        <w:t>200-2 290 MHz, 2</w:t>
      </w:r>
      <w:r>
        <w:t> </w:t>
      </w:r>
      <w:r w:rsidRPr="009F293C">
        <w:t>900</w:t>
      </w:r>
      <w:r>
        <w:noBreakHyphen/>
      </w:r>
      <w:r w:rsidRPr="009F293C">
        <w:t>3</w:t>
      </w:r>
      <w:r>
        <w:t> </w:t>
      </w:r>
      <w:r w:rsidRPr="009F293C">
        <w:t xml:space="preserve">100 MHz, 3 300-3 400 MHz, 4 500-4 800 MHz, 5 </w:t>
      </w:r>
      <w:r w:rsidR="00B96B07">
        <w:t> </w:t>
      </w:r>
      <w:r w:rsidRPr="009F293C">
        <w:t>350-5 470 MHz, 5</w:t>
      </w:r>
      <w:r>
        <w:t> </w:t>
      </w:r>
      <w:r w:rsidRPr="009F293C">
        <w:t>725-5 850 MHz;</w:t>
      </w:r>
    </w:p>
    <w:p w:rsidR="00344F6A" w:rsidRPr="009F293C" w:rsidRDefault="00344F6A" w:rsidP="001B1D48">
      <w:pPr>
        <w:pStyle w:val="enumlev1"/>
      </w:pPr>
      <w:r>
        <w:rPr>
          <w:b/>
        </w:rPr>
        <w:t xml:space="preserve">Addendum </w:t>
      </w:r>
      <w:r w:rsidRPr="009F293C">
        <w:rPr>
          <w:b/>
        </w:rPr>
        <w:t>5</w:t>
      </w:r>
      <w:r w:rsidRPr="009F293C">
        <w:tab/>
      </w:r>
      <w:r w:rsidRPr="001B1D48">
        <w:t>Propositions</w:t>
      </w:r>
      <w:r>
        <w:t xml:space="preserve"> concernant la bande de fréquences </w:t>
      </w:r>
      <w:r w:rsidRPr="009F293C">
        <w:t>3 800-4 200 MHz;</w:t>
      </w:r>
    </w:p>
    <w:p w:rsidR="00344F6A" w:rsidRPr="009F293C" w:rsidRDefault="00344F6A" w:rsidP="0039123C">
      <w:pPr>
        <w:pStyle w:val="enumlev1"/>
        <w:ind w:left="1871" w:hanging="1871"/>
      </w:pPr>
      <w:r>
        <w:rPr>
          <w:b/>
        </w:rPr>
        <w:t xml:space="preserve">Addendum </w:t>
      </w:r>
      <w:r w:rsidRPr="009F293C">
        <w:rPr>
          <w:b/>
        </w:rPr>
        <w:t>6</w:t>
      </w:r>
      <w:r w:rsidRPr="009F293C">
        <w:tab/>
      </w:r>
      <w:r>
        <w:t xml:space="preserve">Propositions </w:t>
      </w:r>
      <w:r w:rsidRPr="001B1D48">
        <w:t>concernant</w:t>
      </w:r>
      <w:r>
        <w:t xml:space="preserve"> les bandes de fréquences </w:t>
      </w:r>
      <w:r w:rsidRPr="009F293C">
        <w:t>4 400-4 500 MHz, 4</w:t>
      </w:r>
      <w:r w:rsidR="0039123C">
        <w:t> </w:t>
      </w:r>
      <w:r w:rsidRPr="009F293C">
        <w:t>800</w:t>
      </w:r>
      <w:r w:rsidR="0039123C">
        <w:noBreakHyphen/>
      </w:r>
      <w:r w:rsidRPr="009F293C">
        <w:t>5</w:t>
      </w:r>
      <w:r w:rsidR="0039123C">
        <w:t> </w:t>
      </w:r>
      <w:r w:rsidRPr="009F293C">
        <w:t>000 MHz, 5</w:t>
      </w:r>
      <w:r>
        <w:t> </w:t>
      </w:r>
      <w:r w:rsidRPr="009F293C">
        <w:t>925-6 425 MHz;</w:t>
      </w:r>
    </w:p>
    <w:p w:rsidR="00344F6A" w:rsidRDefault="00344F6A" w:rsidP="001B1D48">
      <w:pPr>
        <w:pStyle w:val="enumlev1"/>
      </w:pPr>
      <w:r>
        <w:rPr>
          <w:b/>
        </w:rPr>
        <w:t xml:space="preserve">Addendum </w:t>
      </w:r>
      <w:r w:rsidRPr="009F293C">
        <w:rPr>
          <w:b/>
        </w:rPr>
        <w:t>7</w:t>
      </w:r>
      <w:r w:rsidRPr="009F293C">
        <w:tab/>
      </w:r>
      <w:r w:rsidRPr="001B1D48">
        <w:t>Propositions</w:t>
      </w:r>
      <w:r>
        <w:t xml:space="preserve"> concernant la bande de fréquences 2 700-2 900 MHz.</w:t>
      </w:r>
    </w:p>
    <w:p w:rsidR="0076286B" w:rsidRPr="00A062A9" w:rsidRDefault="00344F6A" w:rsidP="00344F6A">
      <w:pPr>
        <w:jc w:val="center"/>
      </w:pPr>
      <w:r>
        <w:t>_________________</w:t>
      </w:r>
    </w:p>
    <w:sectPr w:rsidR="0076286B" w:rsidRPr="00A062A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42" w:rsidRDefault="00764342">
      <w:r>
        <w:separator/>
      </w:r>
    </w:p>
  </w:endnote>
  <w:endnote w:type="continuationSeparator" w:id="0">
    <w:p w:rsidR="00764342" w:rsidRDefault="007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2DBD">
      <w:rPr>
        <w:noProof/>
        <w:lang w:val="en-US"/>
      </w:rPr>
      <w:t>P:\FRA\ITU-R\CONF-R\CMR15\000\009ADD01F.docx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2DBD">
      <w:rPr>
        <w:noProof/>
      </w:rPr>
      <w:t>30.07.15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2DBD">
      <w:rPr>
        <w:noProof/>
      </w:rPr>
      <w:t>30.07.15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2DBD">
      <w:rPr>
        <w:lang w:val="en-US"/>
      </w:rPr>
      <w:t>P:\FRA\ITU-R\CONF-R\CMR15\000\009ADD01F.docx</w:t>
    </w:r>
    <w:r>
      <w:fldChar w:fldCharType="end"/>
    </w:r>
    <w:r w:rsidR="00B96B07">
      <w:t xml:space="preserve"> (383782)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2DBD">
      <w:t>30.07.15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2DBD">
      <w:t>30.07.15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2DBD">
      <w:rPr>
        <w:lang w:val="en-US"/>
      </w:rPr>
      <w:t>P:\FRA\ITU-R\CONF-R\CMR15\000\009ADD01F.docx</w:t>
    </w:r>
    <w:r>
      <w:fldChar w:fldCharType="end"/>
    </w:r>
    <w:r w:rsidR="00B96B07">
      <w:t xml:space="preserve"> (383782)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2DBD">
      <w:t>30.07.15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2DBD">
      <w:t>30.07.15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42" w:rsidRDefault="00764342">
      <w:r>
        <w:rPr>
          <w:b/>
        </w:rPr>
        <w:t>_______________</w:t>
      </w:r>
    </w:p>
  </w:footnote>
  <w:footnote w:type="continuationSeparator" w:id="0">
    <w:p w:rsidR="00764342" w:rsidRDefault="00764342">
      <w:r>
        <w:continuationSeparator/>
      </w:r>
    </w:p>
  </w:footnote>
  <w:footnote w:id="1">
    <w:p w:rsidR="00D65AC8" w:rsidRPr="002C17D1" w:rsidRDefault="00D65AC8" w:rsidP="00D65AC8">
      <w:pPr>
        <w:pStyle w:val="FootnoteText"/>
        <w:rPr>
          <w:lang w:val="fr-CH"/>
        </w:rPr>
      </w:pPr>
      <w:r>
        <w:rPr>
          <w:rStyle w:val="FootnoteReference"/>
        </w:rPr>
        <w:t>*</w:t>
      </w:r>
      <w:r>
        <w:tab/>
        <w:t>Ces bandes ne font pas partie de celles envisagées au titre du point 1.1 de l'ordre du jour dans le Rapport de la RPC.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C2DBD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9(Add.1)-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88FAB78-F11C-4C4F-8FB5-86448432CBA3}"/>
    <w:docVar w:name="dgnword-eventsink" w:val="394037520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06CF6"/>
    <w:rsid w:val="001167B9"/>
    <w:rsid w:val="001267A0"/>
    <w:rsid w:val="0015203F"/>
    <w:rsid w:val="00160C64"/>
    <w:rsid w:val="0018169B"/>
    <w:rsid w:val="0019352B"/>
    <w:rsid w:val="001960D0"/>
    <w:rsid w:val="001B1D48"/>
    <w:rsid w:val="001C2DBD"/>
    <w:rsid w:val="00204306"/>
    <w:rsid w:val="00232FD2"/>
    <w:rsid w:val="0026554E"/>
    <w:rsid w:val="002A4622"/>
    <w:rsid w:val="002A6F8F"/>
    <w:rsid w:val="002B17E5"/>
    <w:rsid w:val="002C0EBF"/>
    <w:rsid w:val="002C17D1"/>
    <w:rsid w:val="002C28A4"/>
    <w:rsid w:val="00315AFE"/>
    <w:rsid w:val="00344F6A"/>
    <w:rsid w:val="003606A6"/>
    <w:rsid w:val="0036650C"/>
    <w:rsid w:val="0039123C"/>
    <w:rsid w:val="00393ACD"/>
    <w:rsid w:val="003A583E"/>
    <w:rsid w:val="003B6C42"/>
    <w:rsid w:val="003E112B"/>
    <w:rsid w:val="003E1D1C"/>
    <w:rsid w:val="003E7B05"/>
    <w:rsid w:val="00462EDC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13879"/>
    <w:rsid w:val="0062093D"/>
    <w:rsid w:val="00627D78"/>
    <w:rsid w:val="00637ECF"/>
    <w:rsid w:val="00647B59"/>
    <w:rsid w:val="00690C7B"/>
    <w:rsid w:val="006A2E5A"/>
    <w:rsid w:val="006A4B45"/>
    <w:rsid w:val="006D4724"/>
    <w:rsid w:val="00701BAE"/>
    <w:rsid w:val="00721F04"/>
    <w:rsid w:val="00730E95"/>
    <w:rsid w:val="007426B9"/>
    <w:rsid w:val="0076286B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062A9"/>
    <w:rsid w:val="00A37105"/>
    <w:rsid w:val="00A606C3"/>
    <w:rsid w:val="00A72029"/>
    <w:rsid w:val="00A83B09"/>
    <w:rsid w:val="00A84541"/>
    <w:rsid w:val="00A86EFC"/>
    <w:rsid w:val="00AE36A0"/>
    <w:rsid w:val="00B00294"/>
    <w:rsid w:val="00B64FD0"/>
    <w:rsid w:val="00B96B07"/>
    <w:rsid w:val="00BA5BD0"/>
    <w:rsid w:val="00BB1D82"/>
    <w:rsid w:val="00BE7B24"/>
    <w:rsid w:val="00BF26E7"/>
    <w:rsid w:val="00C270A8"/>
    <w:rsid w:val="00C53FCA"/>
    <w:rsid w:val="00C76BAF"/>
    <w:rsid w:val="00C814B9"/>
    <w:rsid w:val="00CD516F"/>
    <w:rsid w:val="00D119A7"/>
    <w:rsid w:val="00D25FBA"/>
    <w:rsid w:val="00D32B28"/>
    <w:rsid w:val="00D42954"/>
    <w:rsid w:val="00D65AC8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60CC2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2C58321-C2A3-4E79-8F29-54888C0E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65AC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R15-WRC15-C-0009!A1!MSW-F</DPM_x0020_File_x0020_name>
    <DPM_x0020_Author xmlns="32a1a8c5-2265-4ebc-b7a0-2071e2c5c9bb" xsi:nil="false">Documents Proposals Manager (DPM)</DPM_x0020_Author>
    <DPM_x0020_Version xmlns="32a1a8c5-2265-4ebc-b7a0-2071e2c5c9bb" xsi:nil="false">DPM_v5.2015.7.15_prod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6C2A0D-04BB-43E5-A260-7F9DA37F54C8}">
  <ds:schemaRefs>
    <ds:schemaRef ds:uri="996b2e75-67fd-4955-a3b0-5ab9934cb50b"/>
    <ds:schemaRef ds:uri="http://purl.org/dc/terms/"/>
    <ds:schemaRef ds:uri="http://www.w3.org/XML/1998/namespace"/>
    <ds:schemaRef ds:uri="http://purl.org/dc/elements/1.1/"/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717</Words>
  <Characters>4031</Characters>
  <Application>Microsoft Office Word</Application>
  <DocSecurity>0</DocSecurity>
  <Lines>80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R15-WRC15-C-0009!A1!MSW-F</vt:lpstr>
    </vt:vector>
  </TitlesOfParts>
  <Manager>Secrétariat général - Pool</Manager>
  <Company>Union internationale des télécommunications (UIT)</Company>
  <LinksUpToDate>false</LinksUpToDate>
  <CharactersWithSpaces>4719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R15-WRC15-C-0009!A1!MSW-F</dc:title>
  <dc:subject>Conférence mondiale des radiocommunications - 2015</dc:subject>
  <dc:creator>Documents Proposals Manager (DPM)</dc:creator>
  <cp:keywords>DPM_v5.2015.7.15_prod</cp:keywords>
  <dc:description/>
  <cp:lastModifiedBy>Jones, Jacqueline</cp:lastModifiedBy>
  <cp:revision>4</cp:revision>
  <cp:lastPrinted>2015-07-30T13:20:00Z</cp:lastPrinted>
  <dcterms:created xsi:type="dcterms:W3CDTF">2015-07-30T13:14:00Z</dcterms:created>
  <dcterms:modified xsi:type="dcterms:W3CDTF">2015-07-30T13:20:00Z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