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2B55EE" w:rsidRPr="00680517" w:rsidTr="005E3547">
        <w:trPr>
          <w:cantSplit/>
        </w:trPr>
        <w:tc>
          <w:tcPr>
            <w:tcW w:w="6663" w:type="dxa"/>
          </w:tcPr>
          <w:p w:rsidR="002B55EE" w:rsidRPr="00680517" w:rsidRDefault="002B55EE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8051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8051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8051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80517">
              <w:rPr>
                <w:rFonts w:ascii="Verdana" w:hAnsi="Verdana"/>
                <w:b/>
                <w:bCs/>
                <w:szCs w:val="22"/>
              </w:rPr>
              <w:t>15)</w:t>
            </w:r>
            <w:r w:rsidRPr="0068051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80517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5E3547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368" w:type="dxa"/>
          </w:tcPr>
          <w:p w:rsidR="002B55EE" w:rsidRPr="00680517" w:rsidRDefault="002B55EE" w:rsidP="002B55E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80517"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5EE" w:rsidRPr="00680517" w:rsidTr="005E354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2B55EE" w:rsidRPr="00680517" w:rsidRDefault="002B55EE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68051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2B55EE" w:rsidRPr="00680517" w:rsidRDefault="002B55EE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2B55EE" w:rsidRPr="00680517" w:rsidTr="005E354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2B55EE" w:rsidRPr="00680517" w:rsidRDefault="002B55EE" w:rsidP="002B55E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2B55EE" w:rsidRPr="00680517" w:rsidRDefault="002B55EE" w:rsidP="002B55EE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2B55EE" w:rsidRPr="00680517" w:rsidTr="005E3547">
        <w:trPr>
          <w:cantSplit/>
          <w:trHeight w:val="23"/>
        </w:trPr>
        <w:tc>
          <w:tcPr>
            <w:tcW w:w="6663" w:type="dxa"/>
            <w:vMerge w:val="restart"/>
          </w:tcPr>
          <w:p w:rsidR="002B55EE" w:rsidRPr="00680517" w:rsidRDefault="002B55EE" w:rsidP="002B55E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680517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368" w:type="dxa"/>
          </w:tcPr>
          <w:p w:rsidR="002B55EE" w:rsidRPr="00680517" w:rsidRDefault="005E3547" w:rsidP="002B55E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2B55EE" w:rsidRPr="00680517">
              <w:rPr>
                <w:rFonts w:ascii="Verdana" w:hAnsi="Verdana"/>
                <w:b/>
                <w:bCs/>
                <w:sz w:val="18"/>
                <w:szCs w:val="18"/>
              </w:rPr>
              <w:t>к Документу 9-R</w:t>
            </w:r>
          </w:p>
        </w:tc>
      </w:tr>
      <w:tr w:rsidR="002B55EE" w:rsidRPr="00680517" w:rsidTr="005E3547">
        <w:trPr>
          <w:cantSplit/>
          <w:trHeight w:val="23"/>
        </w:trPr>
        <w:tc>
          <w:tcPr>
            <w:tcW w:w="6663" w:type="dxa"/>
            <w:vMerge/>
          </w:tcPr>
          <w:p w:rsidR="002B55EE" w:rsidRPr="00680517" w:rsidRDefault="002B55E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368" w:type="dxa"/>
          </w:tcPr>
          <w:p w:rsidR="002B55EE" w:rsidRPr="00680517" w:rsidRDefault="002B55EE" w:rsidP="002B55E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0517">
              <w:rPr>
                <w:rFonts w:ascii="Verdana" w:hAnsi="Verdana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2B55EE" w:rsidRPr="00680517" w:rsidTr="005E3547">
        <w:trPr>
          <w:cantSplit/>
          <w:trHeight w:val="23"/>
        </w:trPr>
        <w:tc>
          <w:tcPr>
            <w:tcW w:w="6663" w:type="dxa"/>
            <w:vMerge/>
          </w:tcPr>
          <w:p w:rsidR="002B55EE" w:rsidRPr="00680517" w:rsidRDefault="002B55E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368" w:type="dxa"/>
          </w:tcPr>
          <w:p w:rsidR="002B55EE" w:rsidRPr="00680517" w:rsidRDefault="002B55EE" w:rsidP="002B55E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051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2B55EE" w:rsidRPr="00680517">
        <w:trPr>
          <w:cantSplit/>
        </w:trPr>
        <w:tc>
          <w:tcPr>
            <w:tcW w:w="10031" w:type="dxa"/>
            <w:gridSpan w:val="2"/>
          </w:tcPr>
          <w:p w:rsidR="002B55EE" w:rsidRPr="00680517" w:rsidRDefault="002B55EE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680517">
              <w:t>Общие предложения европейских стран</w:t>
            </w:r>
          </w:p>
        </w:tc>
      </w:tr>
      <w:tr w:rsidR="002B55EE" w:rsidRPr="00680517">
        <w:trPr>
          <w:cantSplit/>
        </w:trPr>
        <w:tc>
          <w:tcPr>
            <w:tcW w:w="10031" w:type="dxa"/>
            <w:gridSpan w:val="2"/>
          </w:tcPr>
          <w:p w:rsidR="002B55EE" w:rsidRPr="00680517" w:rsidRDefault="002B55EE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680517">
              <w:t>ПРЕДЛОЖЕНИЯ ДЛЯ РАБОТЫ КОНФЕРЕНЦИИ</w:t>
            </w:r>
          </w:p>
        </w:tc>
      </w:tr>
      <w:tr w:rsidR="002B55EE" w:rsidRPr="00680517">
        <w:trPr>
          <w:cantSplit/>
        </w:trPr>
        <w:tc>
          <w:tcPr>
            <w:tcW w:w="10031" w:type="dxa"/>
            <w:gridSpan w:val="2"/>
          </w:tcPr>
          <w:p w:rsidR="002B55EE" w:rsidRPr="00680517" w:rsidRDefault="002B55EE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2B55EE" w:rsidRPr="00680517">
        <w:trPr>
          <w:cantSplit/>
        </w:trPr>
        <w:tc>
          <w:tcPr>
            <w:tcW w:w="10031" w:type="dxa"/>
            <w:gridSpan w:val="2"/>
          </w:tcPr>
          <w:p w:rsidR="002B55EE" w:rsidRPr="00680517" w:rsidRDefault="002B55EE" w:rsidP="0085668E">
            <w:pPr>
              <w:pStyle w:val="Agendaitem"/>
              <w:rPr>
                <w:szCs w:val="26"/>
                <w:lang w:val="ru-RU"/>
              </w:rPr>
            </w:pPr>
            <w:bookmarkStart w:id="11" w:name="dtitle3" w:colFirst="0" w:colLast="0"/>
            <w:bookmarkEnd w:id="10"/>
            <w:r w:rsidRPr="00680517">
              <w:rPr>
                <w:lang w:val="ru-RU"/>
              </w:rPr>
              <w:t>Пункт 1.1 повестки дня</w:t>
            </w:r>
          </w:p>
        </w:tc>
      </w:tr>
      <w:bookmarkEnd w:id="11"/>
    </w:tbl>
    <w:p w:rsidR="002B55EE" w:rsidRPr="00680517" w:rsidRDefault="002B55EE" w:rsidP="002B55EE">
      <w:pPr>
        <w:pStyle w:val="Normalaftertitle"/>
      </w:pPr>
    </w:p>
    <w:p w:rsidR="002B55EE" w:rsidRPr="00680517" w:rsidRDefault="002B55EE" w:rsidP="002B55EE">
      <w:r w:rsidRPr="00680517">
        <w:t>1.1</w:t>
      </w:r>
      <w:r w:rsidRPr="00680517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680517">
        <w:t>IMT</w:t>
      </w:r>
      <w:proofErr w:type="spellEnd"/>
      <w:r w:rsidRPr="00680517">
        <w:t xml:space="preserve">), а также соответствующие </w:t>
      </w:r>
      <w:proofErr w:type="spellStart"/>
      <w:r w:rsidRPr="00680517">
        <w:t>регламентарные</w:t>
      </w:r>
      <w:proofErr w:type="spellEnd"/>
      <w:r w:rsidRPr="00680517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680517">
        <w:rPr>
          <w:b/>
          <w:bCs/>
        </w:rPr>
        <w:t>233 (</w:t>
      </w:r>
      <w:proofErr w:type="spellStart"/>
      <w:r w:rsidRPr="00680517">
        <w:rPr>
          <w:b/>
          <w:bCs/>
        </w:rPr>
        <w:t>ВКР</w:t>
      </w:r>
      <w:proofErr w:type="spellEnd"/>
      <w:r w:rsidRPr="00680517">
        <w:rPr>
          <w:b/>
          <w:bCs/>
        </w:rPr>
        <w:t>-12)</w:t>
      </w:r>
      <w:r w:rsidRPr="00680517">
        <w:t>;</w:t>
      </w:r>
    </w:p>
    <w:p w:rsidR="005C5869" w:rsidRPr="009929C7" w:rsidRDefault="005C5869" w:rsidP="000D249A">
      <w:pPr>
        <w:pStyle w:val="Headingb"/>
        <w:rPr>
          <w:lang w:val="ru-RU"/>
        </w:rPr>
      </w:pPr>
      <w:r w:rsidRPr="009929C7">
        <w:rPr>
          <w:lang w:val="ru-RU"/>
        </w:rPr>
        <w:t>Введение</w:t>
      </w:r>
    </w:p>
    <w:p w:rsidR="005C5869" w:rsidRPr="000D249A" w:rsidRDefault="00280796" w:rsidP="009929C7">
      <w:r w:rsidRPr="000D249A">
        <w:t xml:space="preserve">В </w:t>
      </w:r>
      <w:r w:rsidR="000257B8" w:rsidRPr="000D249A">
        <w:t>Резолюци</w:t>
      </w:r>
      <w:r w:rsidRPr="000D249A">
        <w:t>и</w:t>
      </w:r>
      <w:r w:rsidR="005C5869" w:rsidRPr="000D249A">
        <w:t xml:space="preserve"> 233 (</w:t>
      </w:r>
      <w:proofErr w:type="spellStart"/>
      <w:r w:rsidR="005C5869" w:rsidRPr="000D249A">
        <w:t>ВКР</w:t>
      </w:r>
      <w:proofErr w:type="spellEnd"/>
      <w:r w:rsidR="005C5869" w:rsidRPr="000D249A">
        <w:t xml:space="preserve">-12) </w:t>
      </w:r>
      <w:r w:rsidRPr="000D249A">
        <w:t xml:space="preserve">предлагается проводить исследования дополнительных потребностей в спектре для Международной подвижной электросвязи </w:t>
      </w:r>
      <w:r w:rsidR="005C5869" w:rsidRPr="000D249A">
        <w:t>(</w:t>
      </w:r>
      <w:proofErr w:type="spellStart"/>
      <w:r w:rsidR="005C5869" w:rsidRPr="000D249A">
        <w:t>IMT</w:t>
      </w:r>
      <w:proofErr w:type="spellEnd"/>
      <w:r w:rsidR="005C5869" w:rsidRPr="000D249A">
        <w:t xml:space="preserve">) </w:t>
      </w:r>
      <w:r w:rsidRPr="000D249A">
        <w:t xml:space="preserve">и </w:t>
      </w:r>
      <w:r w:rsidR="009929C7">
        <w:t>возможн</w:t>
      </w:r>
      <w:bookmarkStart w:id="12" w:name="_GoBack"/>
      <w:bookmarkEnd w:id="12"/>
      <w:r w:rsidR="009929C7">
        <w:t>ых</w:t>
      </w:r>
      <w:r w:rsidRPr="000D249A">
        <w:t xml:space="preserve"> </w:t>
      </w:r>
      <w:proofErr w:type="spellStart"/>
      <w:r w:rsidRPr="000D249A">
        <w:t>кандидатных</w:t>
      </w:r>
      <w:proofErr w:type="spellEnd"/>
      <w:r w:rsidRPr="000D249A">
        <w:t xml:space="preserve"> полос частот</w:t>
      </w:r>
      <w:r w:rsidR="005C5869" w:rsidRPr="000D249A">
        <w:t xml:space="preserve">. </w:t>
      </w:r>
    </w:p>
    <w:p w:rsidR="005C5869" w:rsidRPr="000D249A" w:rsidRDefault="009428AC" w:rsidP="000D249A">
      <w:r w:rsidRPr="000D249A">
        <w:t>В исследовани</w:t>
      </w:r>
      <w:r w:rsidR="0085668E" w:rsidRPr="000D249A">
        <w:t>ях</w:t>
      </w:r>
      <w:r w:rsidRPr="000D249A">
        <w:t xml:space="preserve"> потребностей в спектре следует принимать во внимание</w:t>
      </w:r>
      <w:r w:rsidR="005C5869" w:rsidRPr="000D249A">
        <w:t xml:space="preserve"> технические и эксплуатационные характеристики систем </w:t>
      </w:r>
      <w:proofErr w:type="spellStart"/>
      <w:r w:rsidR="005C5869" w:rsidRPr="000D249A">
        <w:t>IMT</w:t>
      </w:r>
      <w:proofErr w:type="spellEnd"/>
      <w:r w:rsidR="005C5869" w:rsidRPr="000D249A">
        <w:t xml:space="preserve"> и полосы, определенные в настоящее время для </w:t>
      </w:r>
      <w:proofErr w:type="spellStart"/>
      <w:r w:rsidR="005C5869" w:rsidRPr="000D249A">
        <w:t>IMT</w:t>
      </w:r>
      <w:proofErr w:type="spellEnd"/>
      <w:r w:rsidR="005C5869" w:rsidRPr="000D249A">
        <w:t xml:space="preserve">, технические условия их использования и возможность оптимизации использования этих полос с целью повышения эффективности использования спектра. </w:t>
      </w:r>
      <w:r w:rsidRPr="000D249A">
        <w:t>В исследованиях следует также принимать во внимание</w:t>
      </w:r>
      <w:r w:rsidR="005C5869" w:rsidRPr="000D249A">
        <w:t xml:space="preserve"> </w:t>
      </w:r>
      <w:r w:rsidR="000D249A" w:rsidRPr="000D249A">
        <w:t>возникающие</w:t>
      </w:r>
      <w:r w:rsidR="00C07A1A" w:rsidRPr="000D249A">
        <w:t xml:space="preserve"> потребности, включая рост пользовательского спроса на </w:t>
      </w:r>
      <w:proofErr w:type="spellStart"/>
      <w:r w:rsidR="00C07A1A" w:rsidRPr="000D249A">
        <w:t>IMT</w:t>
      </w:r>
      <w:proofErr w:type="spellEnd"/>
      <w:r w:rsidR="00C07A1A" w:rsidRPr="000D249A">
        <w:t xml:space="preserve"> и другие применения наземной подвижной широкополосной связи и</w:t>
      </w:r>
      <w:r w:rsidR="005C5869" w:rsidRPr="000D249A">
        <w:t xml:space="preserve"> </w:t>
      </w:r>
      <w:r w:rsidR="00C07A1A" w:rsidRPr="000D249A">
        <w:t>сроки, в которые потребуется спектр</w:t>
      </w:r>
      <w:r w:rsidR="005C5869" w:rsidRPr="000D249A">
        <w:t>.</w:t>
      </w:r>
    </w:p>
    <w:p w:rsidR="005C5869" w:rsidRPr="000D249A" w:rsidRDefault="009428AC" w:rsidP="000D249A">
      <w:r w:rsidRPr="000D249A">
        <w:t xml:space="preserve">В исследовании </w:t>
      </w:r>
      <w:r w:rsidR="000D249A" w:rsidRPr="000D249A">
        <w:t>возможных</w:t>
      </w:r>
      <w:r w:rsidRPr="000D249A">
        <w:t xml:space="preserve"> </w:t>
      </w:r>
      <w:proofErr w:type="spellStart"/>
      <w:r w:rsidRPr="000D249A">
        <w:t>кандидатных</w:t>
      </w:r>
      <w:proofErr w:type="spellEnd"/>
      <w:r w:rsidRPr="000D249A">
        <w:t xml:space="preserve"> полос частот следует принимать во внимание</w:t>
      </w:r>
      <w:r w:rsidR="005C5869" w:rsidRPr="000D249A">
        <w:t xml:space="preserve"> </w:t>
      </w:r>
      <w:r w:rsidR="00C07A1A" w:rsidRPr="000D249A">
        <w:t xml:space="preserve">исследования совместного использования частот и исследования совместимости </w:t>
      </w:r>
      <w:r w:rsidRPr="000D249A">
        <w:t>со</w:t>
      </w:r>
      <w:r w:rsidR="00C07A1A" w:rsidRPr="000D249A">
        <w:t xml:space="preserve"> службами, уже имеющими распределения в возможных </w:t>
      </w:r>
      <w:proofErr w:type="spellStart"/>
      <w:r w:rsidR="00C07A1A" w:rsidRPr="000D249A">
        <w:t>кандидатных</w:t>
      </w:r>
      <w:proofErr w:type="spellEnd"/>
      <w:r w:rsidR="00C07A1A" w:rsidRPr="000D249A">
        <w:t xml:space="preserve"> полосах и в соседних полосах, в зависимости от случая, </w:t>
      </w:r>
      <w:r w:rsidRPr="000D249A">
        <w:t>а также</w:t>
      </w:r>
      <w:r w:rsidR="00C07A1A" w:rsidRPr="000D249A">
        <w:t xml:space="preserve"> </w:t>
      </w:r>
      <w:r w:rsidRPr="000D249A">
        <w:t>ведущееся</w:t>
      </w:r>
      <w:r w:rsidR="00C07A1A" w:rsidRPr="000D249A">
        <w:t xml:space="preserve"> и планируемо</w:t>
      </w:r>
      <w:r w:rsidRPr="000D249A">
        <w:t>е</w:t>
      </w:r>
      <w:r w:rsidR="00C07A1A" w:rsidRPr="000D249A">
        <w:t xml:space="preserve"> использовани</w:t>
      </w:r>
      <w:r w:rsidRPr="000D249A">
        <w:t>е</w:t>
      </w:r>
      <w:r w:rsidR="00C07A1A" w:rsidRPr="000D249A">
        <w:t xml:space="preserve"> этих полос существующими службами, </w:t>
      </w:r>
      <w:r w:rsidRPr="000D249A">
        <w:t>как и</w:t>
      </w:r>
      <w:r w:rsidR="00C07A1A" w:rsidRPr="000D249A">
        <w:t xml:space="preserve"> </w:t>
      </w:r>
      <w:r w:rsidRPr="000D249A">
        <w:t>применимые исследования</w:t>
      </w:r>
      <w:r w:rsidR="00C07A1A" w:rsidRPr="000D249A">
        <w:t>, уже проведенны</w:t>
      </w:r>
      <w:r w:rsidRPr="000D249A">
        <w:t>е</w:t>
      </w:r>
      <w:r w:rsidR="00C07A1A" w:rsidRPr="000D249A">
        <w:t xml:space="preserve"> в МСЭ-R</w:t>
      </w:r>
      <w:r w:rsidR="005C5869" w:rsidRPr="000D249A">
        <w:t>.</w:t>
      </w:r>
    </w:p>
    <w:p w:rsidR="005C5869" w:rsidRPr="009929C7" w:rsidRDefault="009428AC" w:rsidP="000D249A">
      <w:pPr>
        <w:pStyle w:val="Headingb"/>
        <w:rPr>
          <w:lang w:val="ru-RU"/>
        </w:rPr>
      </w:pPr>
      <w:r w:rsidRPr="009929C7">
        <w:rPr>
          <w:lang w:val="ru-RU"/>
        </w:rPr>
        <w:t>Согласование использования спектра</w:t>
      </w:r>
    </w:p>
    <w:p w:rsidR="005C5869" w:rsidRPr="000D249A" w:rsidRDefault="009428AC" w:rsidP="000D249A">
      <w:r w:rsidRPr="000D249A">
        <w:t xml:space="preserve">Согласование использования спектра на глобальном уровне ведет к снижению </w:t>
      </w:r>
      <w:r w:rsidR="000D249A" w:rsidRPr="000D249A">
        <w:t>цен</w:t>
      </w:r>
      <w:r w:rsidRPr="000D249A">
        <w:t xml:space="preserve"> на оборудование, тем самым расширяя принятие технологии и оказывая прямое и косвенное воздействие на экономический рост</w:t>
      </w:r>
      <w:r w:rsidR="005C5869" w:rsidRPr="000D249A">
        <w:t xml:space="preserve">. </w:t>
      </w:r>
      <w:r w:rsidRPr="000D249A">
        <w:t>Этот рост означает повышение производительности, создание рабочих мест, предпринимательство, инвестиции в инфраструктуру, налогообложение</w:t>
      </w:r>
      <w:r w:rsidR="005C5869" w:rsidRPr="000D249A">
        <w:t xml:space="preserve">; </w:t>
      </w:r>
      <w:r w:rsidRPr="000D249A">
        <w:t>все это вызывает рост ВВП</w:t>
      </w:r>
      <w:r w:rsidR="005C5869" w:rsidRPr="000D249A">
        <w:t>.</w:t>
      </w:r>
    </w:p>
    <w:p w:rsidR="005C5869" w:rsidRPr="009428AC" w:rsidRDefault="009428AC" w:rsidP="000D249A">
      <w:pPr>
        <w:keepNext/>
        <w:keepLines/>
      </w:pPr>
      <w:r w:rsidRPr="000D249A">
        <w:t>Согласование на глобальном уровне использования полос спектра и планов использования полос даст</w:t>
      </w:r>
      <w:r>
        <w:t xml:space="preserve"> следующие преимущества</w:t>
      </w:r>
      <w:r w:rsidR="005C5869" w:rsidRPr="009428AC">
        <w:t>:</w:t>
      </w:r>
    </w:p>
    <w:p w:rsidR="005C5869" w:rsidRPr="000D249A" w:rsidRDefault="005C5869" w:rsidP="000D249A">
      <w:pPr>
        <w:pStyle w:val="enumlev1"/>
      </w:pPr>
      <w:r w:rsidRPr="009428AC">
        <w:t>–</w:t>
      </w:r>
      <w:r w:rsidRPr="009428AC">
        <w:tab/>
      </w:r>
      <w:r w:rsidR="009428AC">
        <w:t xml:space="preserve">обеспечит </w:t>
      </w:r>
      <w:r w:rsidR="009428AC" w:rsidRPr="000D249A">
        <w:t>экономию за счет масштаба</w:t>
      </w:r>
      <w:r w:rsidRPr="000D249A">
        <w:t>;</w:t>
      </w:r>
    </w:p>
    <w:p w:rsidR="005C5869" w:rsidRPr="000D249A" w:rsidRDefault="005C5869" w:rsidP="000D249A">
      <w:pPr>
        <w:pStyle w:val="enumlev1"/>
      </w:pPr>
      <w:r w:rsidRPr="000D249A">
        <w:t>–</w:t>
      </w:r>
      <w:r w:rsidRPr="000D249A">
        <w:tab/>
      </w:r>
      <w:r w:rsidR="009428AC" w:rsidRPr="000D249A">
        <w:t>предоставит потребителям более широкий выбор поставщиков услуг и марок устройств</w:t>
      </w:r>
      <w:r w:rsidRPr="000D249A">
        <w:t>;</w:t>
      </w:r>
    </w:p>
    <w:p w:rsidR="005C5869" w:rsidRPr="000D249A" w:rsidRDefault="005C5869" w:rsidP="000D249A">
      <w:pPr>
        <w:pStyle w:val="enumlev1"/>
      </w:pPr>
      <w:r w:rsidRPr="000D249A">
        <w:lastRenderedPageBreak/>
        <w:t>–</w:t>
      </w:r>
      <w:r w:rsidRPr="000D249A">
        <w:tab/>
      </w:r>
      <w:r w:rsidR="009428AC" w:rsidRPr="000D249A">
        <w:t>позволит избежать фрагментации рынков</w:t>
      </w:r>
      <w:r w:rsidRPr="000D249A">
        <w:t>;</w:t>
      </w:r>
    </w:p>
    <w:p w:rsidR="005C5869" w:rsidRPr="000D249A" w:rsidRDefault="005C5869" w:rsidP="000D249A">
      <w:pPr>
        <w:pStyle w:val="enumlev1"/>
      </w:pPr>
      <w:r w:rsidRPr="000D249A">
        <w:t>–</w:t>
      </w:r>
      <w:r w:rsidRPr="000D249A">
        <w:tab/>
      </w:r>
      <w:r w:rsidR="009428AC" w:rsidRPr="000D249A">
        <w:t xml:space="preserve">уменьшит потенциал радиопомех в </w:t>
      </w:r>
      <w:r w:rsidR="0085668E" w:rsidRPr="000D249A">
        <w:t>сухопутных подвижных службах</w:t>
      </w:r>
      <w:r w:rsidRPr="000D249A">
        <w:t>;</w:t>
      </w:r>
    </w:p>
    <w:p w:rsidR="005C5869" w:rsidRPr="000D249A" w:rsidRDefault="005C5869" w:rsidP="000D249A">
      <w:pPr>
        <w:pStyle w:val="enumlev1"/>
      </w:pPr>
      <w:r w:rsidRPr="000D249A">
        <w:t>–</w:t>
      </w:r>
      <w:r w:rsidRPr="000D249A">
        <w:tab/>
      </w:r>
      <w:r w:rsidR="0085668E" w:rsidRPr="000D249A">
        <w:t>упростит глобальный роуминг</w:t>
      </w:r>
      <w:r w:rsidRPr="000D249A">
        <w:t>;</w:t>
      </w:r>
    </w:p>
    <w:p w:rsidR="005C5869" w:rsidRPr="0085668E" w:rsidRDefault="005C5869" w:rsidP="000D249A">
      <w:pPr>
        <w:pStyle w:val="enumlev1"/>
      </w:pPr>
      <w:r w:rsidRPr="000D249A">
        <w:t>–</w:t>
      </w:r>
      <w:r w:rsidRPr="000D249A">
        <w:tab/>
      </w:r>
      <w:r w:rsidR="0085668E" w:rsidRPr="000D249A">
        <w:t>максимально</w:t>
      </w:r>
      <w:r w:rsidR="0085668E">
        <w:t xml:space="preserve"> увеличит общую экономическую выгоду</w:t>
      </w:r>
      <w:r w:rsidRPr="0085668E">
        <w:t>.</w:t>
      </w:r>
    </w:p>
    <w:p w:rsidR="005C5869" w:rsidRPr="009929C7" w:rsidRDefault="0085668E" w:rsidP="000D249A">
      <w:pPr>
        <w:pStyle w:val="Headingb"/>
        <w:rPr>
          <w:lang w:val="ru-RU"/>
        </w:rPr>
      </w:pPr>
      <w:r w:rsidRPr="009929C7">
        <w:rPr>
          <w:lang w:val="ru-RU"/>
        </w:rPr>
        <w:t>Краткое изложение предложений европейских стран по полосам частот</w:t>
      </w:r>
    </w:p>
    <w:p w:rsidR="005C5869" w:rsidRPr="0085668E" w:rsidRDefault="0085668E" w:rsidP="0085668E">
      <w:r>
        <w:t>В</w:t>
      </w:r>
      <w:r w:rsidRPr="0085668E">
        <w:t xml:space="preserve"> </w:t>
      </w:r>
      <w:r>
        <w:t>этих</w:t>
      </w:r>
      <w:r w:rsidRPr="0085668E">
        <w:t xml:space="preserve"> </w:t>
      </w:r>
      <w:r>
        <w:t>предложениях</w:t>
      </w:r>
      <w:r w:rsidRPr="0085668E">
        <w:t xml:space="preserve"> </w:t>
      </w:r>
      <w:r>
        <w:t>европейских</w:t>
      </w:r>
      <w:r w:rsidRPr="0085668E">
        <w:t xml:space="preserve"> </w:t>
      </w:r>
      <w:r>
        <w:t>стран</w:t>
      </w:r>
      <w:r w:rsidRPr="0085668E">
        <w:t xml:space="preserve"> </w:t>
      </w:r>
      <w:r>
        <w:t>поддерживается</w:t>
      </w:r>
      <w:r w:rsidRPr="0085668E">
        <w:t xml:space="preserve"> </w:t>
      </w:r>
      <w:r>
        <w:t>определение полосы частот</w:t>
      </w:r>
      <w:r w:rsidR="00C07A1A" w:rsidRPr="0085668E">
        <w:t xml:space="preserve"> 1427−</w:t>
      </w:r>
      <w:r w:rsidR="005C5869" w:rsidRPr="0085668E">
        <w:t xml:space="preserve">1518 </w:t>
      </w:r>
      <w:r w:rsidR="00680517" w:rsidRPr="00680517">
        <w:t>МГц</w:t>
      </w:r>
      <w:r w:rsidR="005C5869" w:rsidRPr="0085668E">
        <w:t xml:space="preserve"> </w:t>
      </w:r>
      <w:r>
        <w:t>для</w:t>
      </w:r>
      <w:r w:rsidR="005C5869" w:rsidRPr="0085668E">
        <w:t xml:space="preserve"> </w:t>
      </w:r>
      <w:proofErr w:type="spellStart"/>
      <w:r w:rsidR="005C5869" w:rsidRPr="00680517">
        <w:rPr>
          <w:lang w:val="en-GB"/>
        </w:rPr>
        <w:t>IMT</w:t>
      </w:r>
      <w:proofErr w:type="spellEnd"/>
      <w:r w:rsidR="005C5869" w:rsidRPr="0085668E">
        <w:t xml:space="preserve"> </w:t>
      </w:r>
      <w:r>
        <w:t>и распределение полосы частот</w:t>
      </w:r>
      <w:r w:rsidR="005C5869" w:rsidRPr="0085668E">
        <w:t xml:space="preserve"> 3400</w:t>
      </w:r>
      <w:r w:rsidR="00C07A1A" w:rsidRPr="0085668E">
        <w:t>−</w:t>
      </w:r>
      <w:r w:rsidR="005C5869" w:rsidRPr="0085668E">
        <w:t xml:space="preserve">3800 </w:t>
      </w:r>
      <w:r w:rsidR="00680517" w:rsidRPr="00680517">
        <w:t>МГц</w:t>
      </w:r>
      <w:r w:rsidR="005C5869" w:rsidRPr="0085668E">
        <w:t xml:space="preserve"> </w:t>
      </w:r>
      <w:r>
        <w:t xml:space="preserve">подвижной службе на первичной основе в </w:t>
      </w:r>
      <w:r w:rsidR="00680517" w:rsidRPr="00680517">
        <w:t>Таблице</w:t>
      </w:r>
      <w:r w:rsidR="00680517" w:rsidRPr="0085668E">
        <w:t xml:space="preserve"> </w:t>
      </w:r>
      <w:r w:rsidR="00680517" w:rsidRPr="00680517">
        <w:t>распределения</w:t>
      </w:r>
      <w:r w:rsidR="00680517" w:rsidRPr="0085668E">
        <w:t xml:space="preserve"> </w:t>
      </w:r>
      <w:r w:rsidR="00680517" w:rsidRPr="00680517">
        <w:t>частот</w:t>
      </w:r>
      <w:r w:rsidR="00680517" w:rsidRPr="0085668E">
        <w:t xml:space="preserve"> </w:t>
      </w:r>
      <w:r w:rsidR="00680517" w:rsidRPr="00680517">
        <w:t>Статьи</w:t>
      </w:r>
      <w:r w:rsidR="00680517" w:rsidRPr="0085668E">
        <w:t xml:space="preserve"> </w:t>
      </w:r>
      <w:r w:rsidR="005C5869" w:rsidRPr="0085668E">
        <w:t xml:space="preserve">5 </w:t>
      </w:r>
      <w:r w:rsidR="00680517">
        <w:t>и</w:t>
      </w:r>
      <w:r w:rsidR="005C5869" w:rsidRPr="0085668E">
        <w:t xml:space="preserve"> </w:t>
      </w:r>
      <w:r>
        <w:t>ее определение для</w:t>
      </w:r>
      <w:r w:rsidR="005C5869" w:rsidRPr="0085668E">
        <w:t xml:space="preserve"> </w:t>
      </w:r>
      <w:proofErr w:type="spellStart"/>
      <w:r w:rsidR="005C5869" w:rsidRPr="00680517">
        <w:rPr>
          <w:lang w:val="en-GB"/>
        </w:rPr>
        <w:t>IMT</w:t>
      </w:r>
      <w:proofErr w:type="spellEnd"/>
      <w:r w:rsidR="005C5869" w:rsidRPr="0085668E">
        <w:t xml:space="preserve">, </w:t>
      </w:r>
      <w:r>
        <w:t>в зависимости от случая</w:t>
      </w:r>
      <w:r w:rsidR="005C5869" w:rsidRPr="0085668E">
        <w:t>.</w:t>
      </w:r>
    </w:p>
    <w:p w:rsidR="005C5869" w:rsidRPr="0085668E" w:rsidRDefault="0085668E" w:rsidP="0085668E">
      <w:r>
        <w:t>В</w:t>
      </w:r>
      <w:r w:rsidRPr="0085668E">
        <w:t xml:space="preserve"> </w:t>
      </w:r>
      <w:r>
        <w:t>этих</w:t>
      </w:r>
      <w:r w:rsidRPr="0085668E">
        <w:t xml:space="preserve"> </w:t>
      </w:r>
      <w:r>
        <w:t>предложениях</w:t>
      </w:r>
      <w:r w:rsidRPr="0085668E">
        <w:t xml:space="preserve"> </w:t>
      </w:r>
      <w:r>
        <w:t>европейских</w:t>
      </w:r>
      <w:r w:rsidRPr="0085668E">
        <w:t xml:space="preserve"> </w:t>
      </w:r>
      <w:r>
        <w:t>стран</w:t>
      </w:r>
      <w:r w:rsidRPr="0085668E">
        <w:t xml:space="preserve"> </w:t>
      </w:r>
      <w:r>
        <w:t>не поддерживается</w:t>
      </w:r>
      <w:r w:rsidRPr="0085668E">
        <w:t xml:space="preserve"> </w:t>
      </w:r>
      <w:r>
        <w:t>распределение полос частот</w:t>
      </w:r>
      <w:r w:rsidR="005C5869" w:rsidRPr="0085668E">
        <w:t xml:space="preserve"> 470</w:t>
      </w:r>
      <w:r w:rsidR="00C07A1A" w:rsidRPr="0085668E">
        <w:t>−</w:t>
      </w:r>
      <w:r>
        <w:t>694 </w:t>
      </w:r>
      <w:r w:rsidR="00680517" w:rsidRPr="00680517">
        <w:t>МГц</w:t>
      </w:r>
      <w:r w:rsidR="005C5869" w:rsidRPr="0085668E">
        <w:t>, 1300</w:t>
      </w:r>
      <w:r w:rsidR="00C07A1A" w:rsidRPr="0085668E">
        <w:t>−</w:t>
      </w:r>
      <w:r w:rsidR="005C5869" w:rsidRPr="0085668E">
        <w:t>1</w:t>
      </w:r>
      <w:r w:rsidR="00680517" w:rsidRPr="0085668E">
        <w:t>350</w:t>
      </w:r>
      <w:r w:rsidR="00680517" w:rsidRPr="00680517">
        <w:rPr>
          <w:lang w:val="en-GB"/>
        </w:rPr>
        <w:t> </w:t>
      </w:r>
      <w:r w:rsidR="00680517" w:rsidRPr="00680517">
        <w:t>МГц</w:t>
      </w:r>
      <w:r w:rsidR="00816690" w:rsidRPr="0085668E">
        <w:rPr>
          <w:rStyle w:val="FootnoteReference"/>
        </w:rPr>
        <w:footnoteReference w:customMarkFollows="1" w:id="1"/>
        <w:t>*</w:t>
      </w:r>
      <w:r w:rsidR="005C5869" w:rsidRPr="0085668E">
        <w:t>, 1350</w:t>
      </w:r>
      <w:r w:rsidR="00C07A1A" w:rsidRPr="0085668E">
        <w:t>−</w:t>
      </w:r>
      <w:r w:rsidR="005C5869" w:rsidRPr="0085668E">
        <w:t>1</w:t>
      </w:r>
      <w:r w:rsidR="00680517" w:rsidRPr="0085668E">
        <w:t>400</w:t>
      </w:r>
      <w:r w:rsidR="00680517" w:rsidRPr="00680517">
        <w:rPr>
          <w:lang w:val="en-GB"/>
        </w:rPr>
        <w:t> </w:t>
      </w:r>
      <w:r w:rsidR="00680517" w:rsidRPr="00680517">
        <w:t>МГц</w:t>
      </w:r>
      <w:r w:rsidR="005C5869" w:rsidRPr="0085668E">
        <w:t>, 1518</w:t>
      </w:r>
      <w:r w:rsidR="00C07A1A" w:rsidRPr="0085668E">
        <w:t>−</w:t>
      </w:r>
      <w:r w:rsidR="005C5869" w:rsidRPr="0085668E">
        <w:t xml:space="preserve">1525 </w:t>
      </w:r>
      <w:r w:rsidR="00680517" w:rsidRPr="00680517">
        <w:t>МГц</w:t>
      </w:r>
      <w:r w:rsidR="005C5869" w:rsidRPr="0085668E">
        <w:t>, 1695</w:t>
      </w:r>
      <w:r w:rsidR="00C07A1A" w:rsidRPr="0085668E">
        <w:t>−1</w:t>
      </w:r>
      <w:r w:rsidR="005C5869" w:rsidRPr="0085668E">
        <w:t xml:space="preserve">710 </w:t>
      </w:r>
      <w:r w:rsidR="00680517" w:rsidRPr="00680517">
        <w:t>МГц</w:t>
      </w:r>
      <w:r w:rsidR="005C5869" w:rsidRPr="0085668E">
        <w:t>, 2</w:t>
      </w:r>
      <w:r w:rsidR="00C07A1A" w:rsidRPr="0085668E">
        <w:t>025−</w:t>
      </w:r>
      <w:r w:rsidR="005C5869" w:rsidRPr="0085668E">
        <w:t xml:space="preserve">2110 </w:t>
      </w:r>
      <w:r w:rsidR="00680517" w:rsidRPr="00680517">
        <w:t>МГц</w:t>
      </w:r>
      <w:r w:rsidR="005C5869" w:rsidRPr="0085668E">
        <w:rPr>
          <w:rStyle w:val="FootnoteReference"/>
        </w:rPr>
        <w:t>*</w:t>
      </w:r>
      <w:r w:rsidR="005C5869" w:rsidRPr="0085668E">
        <w:t>, 2200</w:t>
      </w:r>
      <w:r w:rsidR="00C07A1A" w:rsidRPr="0085668E">
        <w:t>−2</w:t>
      </w:r>
      <w:r w:rsidR="005C5869" w:rsidRPr="0085668E">
        <w:t xml:space="preserve">290 </w:t>
      </w:r>
      <w:r w:rsidR="00680517" w:rsidRPr="00680517">
        <w:t>МГц</w:t>
      </w:r>
      <w:r w:rsidR="005C5869" w:rsidRPr="0085668E">
        <w:rPr>
          <w:rStyle w:val="FootnoteReference"/>
        </w:rPr>
        <w:t>*</w:t>
      </w:r>
      <w:r w:rsidR="005C5869" w:rsidRPr="0085668E">
        <w:t>, 2900</w:t>
      </w:r>
      <w:r w:rsidR="00C07A1A" w:rsidRPr="0085668E">
        <w:t>−</w:t>
      </w:r>
      <w:r w:rsidR="005C5869" w:rsidRPr="0085668E">
        <w:t>3</w:t>
      </w:r>
      <w:r w:rsidR="00680517" w:rsidRPr="0085668E">
        <w:t>100</w:t>
      </w:r>
      <w:r w:rsidR="00680517" w:rsidRPr="00680517">
        <w:rPr>
          <w:lang w:val="en-GB"/>
        </w:rPr>
        <w:t> </w:t>
      </w:r>
      <w:r w:rsidR="00680517" w:rsidRPr="00680517">
        <w:t>МГц</w:t>
      </w:r>
      <w:r w:rsidR="005C5869" w:rsidRPr="0085668E">
        <w:rPr>
          <w:rStyle w:val="FootnoteReference"/>
        </w:rPr>
        <w:t>*</w:t>
      </w:r>
      <w:r w:rsidR="005C5869" w:rsidRPr="0085668E">
        <w:t>, 3300</w:t>
      </w:r>
      <w:r w:rsidR="00C07A1A" w:rsidRPr="0085668E">
        <w:t>−</w:t>
      </w:r>
      <w:r w:rsidR="005C5869" w:rsidRPr="0085668E">
        <w:t xml:space="preserve">3400 </w:t>
      </w:r>
      <w:r w:rsidR="00680517" w:rsidRPr="00680517">
        <w:t>МГц</w:t>
      </w:r>
      <w:r w:rsidR="005C5869" w:rsidRPr="0085668E">
        <w:t>, 3800</w:t>
      </w:r>
      <w:r w:rsidR="00C07A1A" w:rsidRPr="0085668E">
        <w:t>−</w:t>
      </w:r>
      <w:r w:rsidR="005C5869" w:rsidRPr="0085668E">
        <w:t xml:space="preserve">4200 </w:t>
      </w:r>
      <w:r w:rsidR="00680517" w:rsidRPr="00680517">
        <w:t>МГц</w:t>
      </w:r>
      <w:r w:rsidR="005C5869" w:rsidRPr="0085668E">
        <w:t>, 4400</w:t>
      </w:r>
      <w:r w:rsidR="00C07A1A" w:rsidRPr="0085668E">
        <w:t>−</w:t>
      </w:r>
      <w:r w:rsidR="005C5869" w:rsidRPr="0085668E">
        <w:t>5</w:t>
      </w:r>
      <w:r w:rsidR="00C07A1A" w:rsidRPr="0085668E">
        <w:t xml:space="preserve">000 </w:t>
      </w:r>
      <w:r w:rsidR="00680517" w:rsidRPr="00680517">
        <w:t>МГц</w:t>
      </w:r>
      <w:r w:rsidR="00C07A1A" w:rsidRPr="0085668E">
        <w:t>, 5</w:t>
      </w:r>
      <w:r w:rsidR="005C5869" w:rsidRPr="0085668E">
        <w:t>350</w:t>
      </w:r>
      <w:r w:rsidR="00C07A1A" w:rsidRPr="0085668E">
        <w:t>−</w:t>
      </w:r>
      <w:r>
        <w:t>5470 </w:t>
      </w:r>
      <w:r w:rsidR="00680517" w:rsidRPr="00680517">
        <w:t>МГц</w:t>
      </w:r>
      <w:r w:rsidR="005C5869" w:rsidRPr="0085668E">
        <w:t>, 5725</w:t>
      </w:r>
      <w:r w:rsidR="00C07A1A" w:rsidRPr="0085668E">
        <w:t>−</w:t>
      </w:r>
      <w:r w:rsidR="005C5869" w:rsidRPr="0085668E">
        <w:t>5</w:t>
      </w:r>
      <w:r w:rsidR="00680517" w:rsidRPr="0085668E">
        <w:t>850</w:t>
      </w:r>
      <w:r w:rsidR="00680517" w:rsidRPr="00680517">
        <w:rPr>
          <w:lang w:val="en-GB"/>
        </w:rPr>
        <w:t> </w:t>
      </w:r>
      <w:r w:rsidR="00680517" w:rsidRPr="00680517">
        <w:t>МГц</w:t>
      </w:r>
      <w:r w:rsidR="005C5869" w:rsidRPr="0085668E">
        <w:t xml:space="preserve"> </w:t>
      </w:r>
      <w:r w:rsidR="00C07A1A" w:rsidRPr="00680517">
        <w:t>и</w:t>
      </w:r>
      <w:r w:rsidR="00C07A1A" w:rsidRPr="0085668E">
        <w:t xml:space="preserve"> 5</w:t>
      </w:r>
      <w:r w:rsidR="005C5869" w:rsidRPr="0085668E">
        <w:t>925</w:t>
      </w:r>
      <w:r w:rsidR="00C07A1A" w:rsidRPr="0085668E">
        <w:t>−</w:t>
      </w:r>
      <w:r w:rsidR="005C5869" w:rsidRPr="0085668E">
        <w:t>6</w:t>
      </w:r>
      <w:r w:rsidR="00680517" w:rsidRPr="0085668E">
        <w:t>425</w:t>
      </w:r>
      <w:r w:rsidR="00680517" w:rsidRPr="00680517">
        <w:rPr>
          <w:lang w:val="en-GB"/>
        </w:rPr>
        <w:t> </w:t>
      </w:r>
      <w:r w:rsidR="00680517" w:rsidRPr="00680517">
        <w:t>МГц</w:t>
      </w:r>
      <w:r w:rsidR="005C5869" w:rsidRPr="0085668E">
        <w:t xml:space="preserve"> </w:t>
      </w:r>
      <w:r>
        <w:t xml:space="preserve">подвижной службе на первичной основе </w:t>
      </w:r>
      <w:r w:rsidR="00C07A1A" w:rsidRPr="00680517">
        <w:t>в</w:t>
      </w:r>
      <w:r w:rsidR="00C07A1A" w:rsidRPr="0085668E">
        <w:t xml:space="preserve"> </w:t>
      </w:r>
      <w:r w:rsidR="00C07A1A" w:rsidRPr="00680517">
        <w:t>Таблице</w:t>
      </w:r>
      <w:r w:rsidR="00C07A1A" w:rsidRPr="0085668E">
        <w:t xml:space="preserve"> </w:t>
      </w:r>
      <w:r w:rsidR="00C07A1A" w:rsidRPr="00680517">
        <w:t>распределения</w:t>
      </w:r>
      <w:r w:rsidR="00C07A1A" w:rsidRPr="0085668E">
        <w:t xml:space="preserve"> </w:t>
      </w:r>
      <w:r w:rsidR="00C07A1A" w:rsidRPr="00680517">
        <w:t>частот</w:t>
      </w:r>
      <w:r w:rsidR="00C07A1A" w:rsidRPr="0085668E">
        <w:t xml:space="preserve"> </w:t>
      </w:r>
      <w:r w:rsidR="00C07A1A" w:rsidRPr="00680517">
        <w:t>Статьи</w:t>
      </w:r>
      <w:r w:rsidR="00C07A1A" w:rsidRPr="00680517">
        <w:rPr>
          <w:lang w:val="en-GB"/>
        </w:rPr>
        <w:t> </w:t>
      </w:r>
      <w:r w:rsidR="005C5869" w:rsidRPr="0085668E">
        <w:t xml:space="preserve">5 </w:t>
      </w:r>
      <w:r w:rsidR="00680517">
        <w:t>и</w:t>
      </w:r>
      <w:r w:rsidR="005C5869" w:rsidRPr="0085668E">
        <w:t xml:space="preserve"> </w:t>
      </w:r>
      <w:r>
        <w:t>определение их для</w:t>
      </w:r>
      <w:r w:rsidR="005C5869" w:rsidRPr="0085668E">
        <w:t xml:space="preserve"> </w:t>
      </w:r>
      <w:proofErr w:type="spellStart"/>
      <w:r w:rsidR="005C5869" w:rsidRPr="00680517">
        <w:rPr>
          <w:lang w:val="en-GB"/>
        </w:rPr>
        <w:t>IMT</w:t>
      </w:r>
      <w:proofErr w:type="spellEnd"/>
      <w:r w:rsidR="005C5869" w:rsidRPr="0085668E">
        <w:t xml:space="preserve">, </w:t>
      </w:r>
      <w:r>
        <w:t>в зависимости от случая</w:t>
      </w:r>
      <w:r w:rsidR="005C5869" w:rsidRPr="0085668E">
        <w:t>.</w:t>
      </w:r>
    </w:p>
    <w:p w:rsidR="005C5869" w:rsidRPr="0085668E" w:rsidRDefault="0085668E" w:rsidP="0085668E">
      <w:r>
        <w:t>Кратко</w:t>
      </w:r>
      <w:r w:rsidRPr="0085668E">
        <w:t xml:space="preserve"> </w:t>
      </w:r>
      <w:r>
        <w:t>изложенные</w:t>
      </w:r>
      <w:r w:rsidRPr="0085668E">
        <w:t xml:space="preserve"> </w:t>
      </w:r>
      <w:r>
        <w:t>выше</w:t>
      </w:r>
      <w:r w:rsidRPr="0085668E">
        <w:t xml:space="preserve"> </w:t>
      </w:r>
      <w:r>
        <w:t>предложения</w:t>
      </w:r>
      <w:r w:rsidRPr="0085668E">
        <w:t xml:space="preserve"> </w:t>
      </w:r>
      <w:r>
        <w:t>европейских стран разделены на следующие</w:t>
      </w:r>
      <w:r w:rsidR="005C5869" w:rsidRPr="0085668E">
        <w:t xml:space="preserve"> </w:t>
      </w:r>
      <w:r>
        <w:t>дополнительные</w:t>
      </w:r>
      <w:r w:rsidR="000257B8" w:rsidRPr="0085668E">
        <w:t xml:space="preserve"> </w:t>
      </w:r>
      <w:r>
        <w:t>документы</w:t>
      </w:r>
      <w:r w:rsidR="005C5869" w:rsidRPr="0085668E">
        <w:t>:</w:t>
      </w:r>
    </w:p>
    <w:p w:rsidR="005C5869" w:rsidRPr="0085668E" w:rsidRDefault="00C07A1A" w:rsidP="0085668E">
      <w:pPr>
        <w:tabs>
          <w:tab w:val="left" w:pos="3261"/>
        </w:tabs>
        <w:ind w:left="3261" w:hanging="3261"/>
      </w:pPr>
      <w:r w:rsidRPr="00680517">
        <w:rPr>
          <w:b/>
          <w:bCs/>
        </w:rPr>
        <w:t>Дополнительный</w:t>
      </w:r>
      <w:r w:rsidRPr="0085668E">
        <w:rPr>
          <w:b/>
          <w:bCs/>
        </w:rPr>
        <w:t xml:space="preserve"> </w:t>
      </w:r>
      <w:r w:rsidRPr="00680517">
        <w:rPr>
          <w:b/>
          <w:bCs/>
        </w:rPr>
        <w:t>документ</w:t>
      </w:r>
      <w:r w:rsidR="005C5869" w:rsidRPr="0085668E">
        <w:rPr>
          <w:b/>
          <w:bCs/>
        </w:rPr>
        <w:t xml:space="preserve"> 1</w:t>
      </w:r>
      <w:r w:rsidR="005C5869" w:rsidRPr="0085668E">
        <w:tab/>
      </w:r>
      <w:r w:rsidR="0085668E">
        <w:t>Предложения</w:t>
      </w:r>
      <w:r w:rsidR="0085668E" w:rsidRPr="0085668E">
        <w:t xml:space="preserve">, </w:t>
      </w:r>
      <w:r w:rsidR="0085668E">
        <w:t xml:space="preserve">касающиеся полосы частот </w:t>
      </w:r>
      <w:r w:rsidRPr="0085668E">
        <w:t>1</w:t>
      </w:r>
      <w:r w:rsidR="005C5869" w:rsidRPr="0085668E">
        <w:t>427</w:t>
      </w:r>
      <w:r w:rsidRPr="0085668E">
        <w:t>−</w:t>
      </w:r>
      <w:r w:rsidR="005C5869" w:rsidRPr="0085668E">
        <w:t xml:space="preserve">1518 </w:t>
      </w:r>
      <w:r w:rsidR="00680517" w:rsidRPr="00680517">
        <w:t>МГц</w:t>
      </w:r>
      <w:r w:rsidR="00816690" w:rsidRPr="0085668E">
        <w:t>;</w:t>
      </w:r>
    </w:p>
    <w:p w:rsidR="005C5869" w:rsidRPr="0085668E" w:rsidRDefault="00C07A1A" w:rsidP="0085668E">
      <w:pPr>
        <w:tabs>
          <w:tab w:val="left" w:pos="3261"/>
        </w:tabs>
        <w:ind w:left="3261" w:hanging="3261"/>
      </w:pPr>
      <w:r w:rsidRPr="00680517">
        <w:rPr>
          <w:b/>
          <w:bCs/>
        </w:rPr>
        <w:t>Дополнительный</w:t>
      </w:r>
      <w:r w:rsidRPr="0085668E">
        <w:rPr>
          <w:b/>
          <w:bCs/>
        </w:rPr>
        <w:t xml:space="preserve"> </w:t>
      </w:r>
      <w:r w:rsidRPr="00680517">
        <w:rPr>
          <w:b/>
          <w:bCs/>
        </w:rPr>
        <w:t>документ</w:t>
      </w:r>
      <w:r w:rsidRPr="0085668E">
        <w:rPr>
          <w:b/>
          <w:bCs/>
        </w:rPr>
        <w:t xml:space="preserve"> </w:t>
      </w:r>
      <w:r w:rsidR="005C5869" w:rsidRPr="0085668E">
        <w:rPr>
          <w:b/>
          <w:bCs/>
        </w:rPr>
        <w:t>2</w:t>
      </w:r>
      <w:r w:rsidR="005C5869" w:rsidRPr="0085668E">
        <w:tab/>
      </w:r>
      <w:r w:rsidR="0085668E">
        <w:t>Предложения</w:t>
      </w:r>
      <w:r w:rsidR="0085668E" w:rsidRPr="0085668E">
        <w:t xml:space="preserve">, </w:t>
      </w:r>
      <w:r w:rsidR="0085668E">
        <w:t xml:space="preserve">касающиеся полосы частот </w:t>
      </w:r>
      <w:r w:rsidR="005C5869" w:rsidRPr="0085668E">
        <w:t>3</w:t>
      </w:r>
      <w:r w:rsidRPr="0085668E">
        <w:t>400−</w:t>
      </w:r>
      <w:r w:rsidR="005C5869" w:rsidRPr="0085668E">
        <w:t xml:space="preserve">3800 </w:t>
      </w:r>
      <w:r w:rsidR="00680517" w:rsidRPr="00680517">
        <w:t>МГц</w:t>
      </w:r>
      <w:r w:rsidR="00816690" w:rsidRPr="0085668E">
        <w:t>;</w:t>
      </w:r>
    </w:p>
    <w:p w:rsidR="005C5869" w:rsidRPr="0085668E" w:rsidRDefault="00C07A1A" w:rsidP="0085668E">
      <w:pPr>
        <w:tabs>
          <w:tab w:val="left" w:pos="3261"/>
        </w:tabs>
        <w:ind w:left="3261" w:hanging="3261"/>
      </w:pPr>
      <w:r w:rsidRPr="00680517">
        <w:rPr>
          <w:b/>
          <w:bCs/>
        </w:rPr>
        <w:t>Дополнительный</w:t>
      </w:r>
      <w:r w:rsidRPr="0085668E">
        <w:rPr>
          <w:b/>
          <w:bCs/>
        </w:rPr>
        <w:t xml:space="preserve"> </w:t>
      </w:r>
      <w:r w:rsidRPr="00680517">
        <w:rPr>
          <w:b/>
          <w:bCs/>
        </w:rPr>
        <w:t>документ</w:t>
      </w:r>
      <w:r w:rsidRPr="0085668E">
        <w:rPr>
          <w:b/>
          <w:bCs/>
        </w:rPr>
        <w:t xml:space="preserve"> </w:t>
      </w:r>
      <w:r w:rsidR="005C5869" w:rsidRPr="0085668E">
        <w:rPr>
          <w:b/>
          <w:bCs/>
        </w:rPr>
        <w:t>3</w:t>
      </w:r>
      <w:r w:rsidR="005C5869" w:rsidRPr="0085668E">
        <w:tab/>
      </w:r>
      <w:r w:rsidR="0085668E">
        <w:t>Предложения</w:t>
      </w:r>
      <w:r w:rsidR="0085668E" w:rsidRPr="0085668E">
        <w:t xml:space="preserve">, </w:t>
      </w:r>
      <w:r w:rsidR="0085668E">
        <w:t xml:space="preserve">касающиеся полосы частот </w:t>
      </w:r>
      <w:r w:rsidRPr="0085668E">
        <w:t>470−</w:t>
      </w:r>
      <w:r w:rsidR="005C5869" w:rsidRPr="0085668E">
        <w:t xml:space="preserve">694 </w:t>
      </w:r>
      <w:r w:rsidR="00680517" w:rsidRPr="00680517">
        <w:t>МГц</w:t>
      </w:r>
      <w:r w:rsidR="00816690" w:rsidRPr="0085668E">
        <w:t>;</w:t>
      </w:r>
    </w:p>
    <w:p w:rsidR="005C5869" w:rsidRPr="0085668E" w:rsidRDefault="00C07A1A" w:rsidP="0085668E">
      <w:pPr>
        <w:tabs>
          <w:tab w:val="left" w:pos="3261"/>
        </w:tabs>
        <w:ind w:left="3261" w:hanging="3261"/>
      </w:pPr>
      <w:r w:rsidRPr="00680517">
        <w:rPr>
          <w:b/>
          <w:bCs/>
        </w:rPr>
        <w:t>Дополнительный</w:t>
      </w:r>
      <w:r w:rsidRPr="0085668E">
        <w:rPr>
          <w:b/>
          <w:bCs/>
        </w:rPr>
        <w:t xml:space="preserve"> </w:t>
      </w:r>
      <w:r w:rsidRPr="00680517">
        <w:rPr>
          <w:b/>
          <w:bCs/>
        </w:rPr>
        <w:t>документ</w:t>
      </w:r>
      <w:r w:rsidRPr="0085668E">
        <w:rPr>
          <w:b/>
          <w:bCs/>
        </w:rPr>
        <w:t xml:space="preserve"> </w:t>
      </w:r>
      <w:r w:rsidR="005C5869" w:rsidRPr="0085668E">
        <w:rPr>
          <w:b/>
          <w:bCs/>
        </w:rPr>
        <w:t>4</w:t>
      </w:r>
      <w:r w:rsidR="005C5869" w:rsidRPr="0085668E">
        <w:tab/>
      </w:r>
      <w:r w:rsidR="0085668E">
        <w:t>Предложения</w:t>
      </w:r>
      <w:r w:rsidR="0085668E" w:rsidRPr="0085668E">
        <w:t xml:space="preserve">, </w:t>
      </w:r>
      <w:r w:rsidR="0085668E">
        <w:t xml:space="preserve">касающиеся полос частот </w:t>
      </w:r>
      <w:r w:rsidR="00816690" w:rsidRPr="0085668E">
        <w:t>1300−</w:t>
      </w:r>
      <w:r w:rsidR="005C5869" w:rsidRPr="0085668E">
        <w:t xml:space="preserve">1350 </w:t>
      </w:r>
      <w:r w:rsidR="00680517" w:rsidRPr="00680517">
        <w:t>МГц</w:t>
      </w:r>
      <w:r w:rsidR="005C5869" w:rsidRPr="0085668E">
        <w:t>, 1350</w:t>
      </w:r>
      <w:r w:rsidR="00816690" w:rsidRPr="0085668E">
        <w:t>−</w:t>
      </w:r>
      <w:r w:rsidR="005C5869" w:rsidRPr="0085668E">
        <w:t>1</w:t>
      </w:r>
      <w:r w:rsidR="00680517" w:rsidRPr="0085668E">
        <w:t>400</w:t>
      </w:r>
      <w:r w:rsidR="00680517" w:rsidRPr="005E3547">
        <w:rPr>
          <w:lang w:val="en-GB"/>
        </w:rPr>
        <w:t> </w:t>
      </w:r>
      <w:r w:rsidR="00680517" w:rsidRPr="00680517">
        <w:t>МГц</w:t>
      </w:r>
      <w:r w:rsidR="005C5869" w:rsidRPr="0085668E">
        <w:t>, 1518</w:t>
      </w:r>
      <w:r w:rsidR="00816690" w:rsidRPr="0085668E">
        <w:t>−</w:t>
      </w:r>
      <w:r w:rsidR="005C5869" w:rsidRPr="0085668E">
        <w:t xml:space="preserve">1525 </w:t>
      </w:r>
      <w:r w:rsidR="00680517" w:rsidRPr="00680517">
        <w:t>МГц</w:t>
      </w:r>
      <w:r w:rsidR="005C5869" w:rsidRPr="0085668E">
        <w:t>, 1695</w:t>
      </w:r>
      <w:r w:rsidR="00816690" w:rsidRPr="0085668E">
        <w:t>−</w:t>
      </w:r>
      <w:r w:rsidR="005C5869" w:rsidRPr="0085668E">
        <w:t xml:space="preserve">1710 </w:t>
      </w:r>
      <w:r w:rsidR="00680517" w:rsidRPr="00680517">
        <w:t>МГц</w:t>
      </w:r>
      <w:r w:rsidR="005C5869" w:rsidRPr="0085668E">
        <w:t>, 2</w:t>
      </w:r>
      <w:r w:rsidR="00816690" w:rsidRPr="0085668E">
        <w:t>025−</w:t>
      </w:r>
      <w:r w:rsidR="005C5869" w:rsidRPr="0085668E">
        <w:t>2</w:t>
      </w:r>
      <w:r w:rsidR="00680517" w:rsidRPr="0085668E">
        <w:t>110</w:t>
      </w:r>
      <w:r w:rsidR="00680517" w:rsidRPr="005E3547">
        <w:rPr>
          <w:lang w:val="en-GB"/>
        </w:rPr>
        <w:t> </w:t>
      </w:r>
      <w:r w:rsidR="00680517" w:rsidRPr="00680517">
        <w:t>МГц</w:t>
      </w:r>
      <w:r w:rsidR="00816690" w:rsidRPr="0085668E">
        <w:t>, 2</w:t>
      </w:r>
      <w:r w:rsidR="005C5869" w:rsidRPr="0085668E">
        <w:t>200</w:t>
      </w:r>
      <w:r w:rsidR="00816690" w:rsidRPr="0085668E">
        <w:t>−</w:t>
      </w:r>
      <w:r w:rsidR="005C5869" w:rsidRPr="0085668E">
        <w:t xml:space="preserve">2290 </w:t>
      </w:r>
      <w:r w:rsidR="00680517" w:rsidRPr="00680517">
        <w:t>МГц</w:t>
      </w:r>
      <w:r w:rsidR="005C5869" w:rsidRPr="0085668E">
        <w:t>, 2900</w:t>
      </w:r>
      <w:r w:rsidR="00816690" w:rsidRPr="0085668E">
        <w:t>−</w:t>
      </w:r>
      <w:r w:rsidR="005C5869" w:rsidRPr="0085668E">
        <w:t xml:space="preserve">3100 </w:t>
      </w:r>
      <w:r w:rsidR="00680517" w:rsidRPr="00680517">
        <w:t>МГц</w:t>
      </w:r>
      <w:r w:rsidR="005C5869" w:rsidRPr="0085668E">
        <w:t>, 3300</w:t>
      </w:r>
      <w:r w:rsidR="00816690" w:rsidRPr="0085668E">
        <w:t>−</w:t>
      </w:r>
      <w:r w:rsidR="000D249A">
        <w:t>3400 </w:t>
      </w:r>
      <w:r w:rsidR="00680517" w:rsidRPr="00680517">
        <w:t>МГц</w:t>
      </w:r>
      <w:r w:rsidR="005C5869" w:rsidRPr="0085668E">
        <w:t>, 4500</w:t>
      </w:r>
      <w:r w:rsidR="00816690" w:rsidRPr="0085668E">
        <w:t>−</w:t>
      </w:r>
      <w:r w:rsidR="005C5869" w:rsidRPr="0085668E">
        <w:t>4</w:t>
      </w:r>
      <w:r w:rsidR="00680517" w:rsidRPr="0085668E">
        <w:t>800</w:t>
      </w:r>
      <w:r w:rsidR="00680517" w:rsidRPr="005E3547">
        <w:rPr>
          <w:lang w:val="en-GB"/>
        </w:rPr>
        <w:t> </w:t>
      </w:r>
      <w:r w:rsidR="00680517" w:rsidRPr="00680517">
        <w:t>МГц</w:t>
      </w:r>
      <w:r w:rsidR="005C5869" w:rsidRPr="0085668E">
        <w:t>, 5350</w:t>
      </w:r>
      <w:r w:rsidR="00816690" w:rsidRPr="0085668E">
        <w:t>−</w:t>
      </w:r>
      <w:r w:rsidR="005C5869" w:rsidRPr="0085668E">
        <w:t xml:space="preserve">5470 </w:t>
      </w:r>
      <w:r w:rsidR="00680517" w:rsidRPr="00680517">
        <w:t>МГц</w:t>
      </w:r>
      <w:r w:rsidR="005C5869" w:rsidRPr="0085668E">
        <w:t>, 5</w:t>
      </w:r>
      <w:r w:rsidR="00816690" w:rsidRPr="0085668E">
        <w:t>725−</w:t>
      </w:r>
      <w:r w:rsidR="000D249A">
        <w:t>5850 </w:t>
      </w:r>
      <w:r w:rsidR="00680517" w:rsidRPr="00680517">
        <w:t>МГц</w:t>
      </w:r>
      <w:r w:rsidR="005C5869" w:rsidRPr="0085668E">
        <w:t>;</w:t>
      </w:r>
    </w:p>
    <w:p w:rsidR="005C5869" w:rsidRPr="0085668E" w:rsidRDefault="00C07A1A" w:rsidP="0085668E">
      <w:pPr>
        <w:tabs>
          <w:tab w:val="left" w:pos="3261"/>
        </w:tabs>
        <w:ind w:left="3261" w:hanging="3261"/>
      </w:pPr>
      <w:r w:rsidRPr="00680517">
        <w:rPr>
          <w:b/>
          <w:bCs/>
        </w:rPr>
        <w:t>Дополнительный</w:t>
      </w:r>
      <w:r w:rsidRPr="0085668E">
        <w:rPr>
          <w:b/>
          <w:bCs/>
        </w:rPr>
        <w:t xml:space="preserve"> </w:t>
      </w:r>
      <w:r w:rsidRPr="00680517">
        <w:rPr>
          <w:b/>
          <w:bCs/>
        </w:rPr>
        <w:t>документ</w:t>
      </w:r>
      <w:r w:rsidRPr="0085668E">
        <w:rPr>
          <w:b/>
          <w:bCs/>
        </w:rPr>
        <w:t xml:space="preserve"> </w:t>
      </w:r>
      <w:r w:rsidR="005C5869" w:rsidRPr="0085668E">
        <w:rPr>
          <w:b/>
          <w:bCs/>
        </w:rPr>
        <w:t>5</w:t>
      </w:r>
      <w:r w:rsidR="005C5869" w:rsidRPr="0085668E">
        <w:tab/>
      </w:r>
      <w:r w:rsidR="0085668E">
        <w:t>Предложения</w:t>
      </w:r>
      <w:r w:rsidR="0085668E" w:rsidRPr="0085668E">
        <w:t xml:space="preserve">, </w:t>
      </w:r>
      <w:r w:rsidR="0085668E">
        <w:t xml:space="preserve">касающиеся полосы частот </w:t>
      </w:r>
      <w:r w:rsidR="00816690" w:rsidRPr="0085668E">
        <w:t>3800−4</w:t>
      </w:r>
      <w:r w:rsidR="005C5869" w:rsidRPr="0085668E">
        <w:t xml:space="preserve">200 </w:t>
      </w:r>
      <w:r w:rsidR="00680517" w:rsidRPr="00680517">
        <w:t>МГц</w:t>
      </w:r>
      <w:r w:rsidR="00816690" w:rsidRPr="0085668E">
        <w:t>;</w:t>
      </w:r>
    </w:p>
    <w:p w:rsidR="005C5869" w:rsidRPr="0085668E" w:rsidRDefault="00C07A1A" w:rsidP="0085668E">
      <w:pPr>
        <w:tabs>
          <w:tab w:val="left" w:pos="3261"/>
        </w:tabs>
        <w:ind w:left="3261" w:hanging="3261"/>
      </w:pPr>
      <w:r w:rsidRPr="00680517">
        <w:rPr>
          <w:b/>
          <w:bCs/>
        </w:rPr>
        <w:t>Дополнительный</w:t>
      </w:r>
      <w:r w:rsidRPr="0085668E">
        <w:rPr>
          <w:b/>
          <w:bCs/>
        </w:rPr>
        <w:t xml:space="preserve"> </w:t>
      </w:r>
      <w:r w:rsidRPr="00680517">
        <w:rPr>
          <w:b/>
          <w:bCs/>
        </w:rPr>
        <w:t>документ</w:t>
      </w:r>
      <w:r w:rsidRPr="0085668E">
        <w:rPr>
          <w:b/>
          <w:bCs/>
        </w:rPr>
        <w:t xml:space="preserve"> </w:t>
      </w:r>
      <w:r w:rsidR="005C5869" w:rsidRPr="0085668E">
        <w:rPr>
          <w:b/>
          <w:bCs/>
        </w:rPr>
        <w:t>6</w:t>
      </w:r>
      <w:r w:rsidR="005C5869" w:rsidRPr="0085668E">
        <w:tab/>
      </w:r>
      <w:r w:rsidR="0085668E">
        <w:t>Предложения</w:t>
      </w:r>
      <w:r w:rsidR="0085668E" w:rsidRPr="0085668E">
        <w:t xml:space="preserve">, </w:t>
      </w:r>
      <w:r w:rsidR="0085668E">
        <w:t xml:space="preserve">касающиеся полос частот </w:t>
      </w:r>
      <w:r w:rsidR="00816690" w:rsidRPr="0085668E">
        <w:t>4</w:t>
      </w:r>
      <w:r w:rsidR="005C5869" w:rsidRPr="0085668E">
        <w:t>400</w:t>
      </w:r>
      <w:r w:rsidR="00816690" w:rsidRPr="0085668E">
        <w:t>−</w:t>
      </w:r>
      <w:r w:rsidR="005C5869" w:rsidRPr="0085668E">
        <w:t xml:space="preserve">4500 </w:t>
      </w:r>
      <w:r w:rsidR="00680517" w:rsidRPr="00680517">
        <w:t>МГц</w:t>
      </w:r>
      <w:r w:rsidR="005C5869" w:rsidRPr="0085668E">
        <w:t>, 4800</w:t>
      </w:r>
      <w:r w:rsidR="00816690" w:rsidRPr="0085668E">
        <w:t>−</w:t>
      </w:r>
      <w:r w:rsidR="005C5869" w:rsidRPr="0085668E">
        <w:t>5</w:t>
      </w:r>
      <w:r w:rsidR="00680517" w:rsidRPr="0085668E">
        <w:t>000</w:t>
      </w:r>
      <w:r w:rsidR="00680517" w:rsidRPr="005E3547">
        <w:rPr>
          <w:lang w:val="en-GB"/>
        </w:rPr>
        <w:t> </w:t>
      </w:r>
      <w:r w:rsidR="00680517" w:rsidRPr="00680517">
        <w:t>МГц</w:t>
      </w:r>
      <w:r w:rsidR="005C5869" w:rsidRPr="0085668E">
        <w:t>, 5</w:t>
      </w:r>
      <w:r w:rsidR="00816690" w:rsidRPr="0085668E">
        <w:t>925−</w:t>
      </w:r>
      <w:r w:rsidR="005C5869" w:rsidRPr="0085668E">
        <w:t xml:space="preserve">6425 </w:t>
      </w:r>
      <w:r w:rsidR="00680517" w:rsidRPr="00680517">
        <w:t>МГц</w:t>
      </w:r>
      <w:r w:rsidR="00816690" w:rsidRPr="0085668E">
        <w:t>;</w:t>
      </w:r>
    </w:p>
    <w:p w:rsidR="002B55EE" w:rsidRPr="0085668E" w:rsidRDefault="00C07A1A" w:rsidP="0085668E">
      <w:pPr>
        <w:tabs>
          <w:tab w:val="left" w:pos="3261"/>
        </w:tabs>
        <w:ind w:left="3261" w:hanging="3261"/>
      </w:pPr>
      <w:r w:rsidRPr="00680517">
        <w:rPr>
          <w:b/>
          <w:bCs/>
        </w:rPr>
        <w:t>Дополнительный</w:t>
      </w:r>
      <w:r w:rsidRPr="0085668E">
        <w:rPr>
          <w:b/>
          <w:bCs/>
        </w:rPr>
        <w:t xml:space="preserve"> </w:t>
      </w:r>
      <w:r w:rsidRPr="00680517">
        <w:rPr>
          <w:b/>
          <w:bCs/>
        </w:rPr>
        <w:t>документ</w:t>
      </w:r>
      <w:r w:rsidRPr="0085668E">
        <w:rPr>
          <w:b/>
          <w:bCs/>
        </w:rPr>
        <w:t xml:space="preserve"> </w:t>
      </w:r>
      <w:r w:rsidR="005C5869" w:rsidRPr="0085668E">
        <w:rPr>
          <w:b/>
          <w:bCs/>
        </w:rPr>
        <w:t>7</w:t>
      </w:r>
      <w:r w:rsidR="005C5869" w:rsidRPr="0085668E">
        <w:tab/>
      </w:r>
      <w:r w:rsidR="0085668E">
        <w:t>Предложения</w:t>
      </w:r>
      <w:r w:rsidR="0085668E" w:rsidRPr="0085668E">
        <w:t xml:space="preserve">, </w:t>
      </w:r>
      <w:r w:rsidR="0085668E">
        <w:t>касающиеся полосы частот</w:t>
      </w:r>
      <w:r w:rsidR="00816690" w:rsidRPr="0085668E">
        <w:t xml:space="preserve"> 2</w:t>
      </w:r>
      <w:r w:rsidR="005C5869" w:rsidRPr="0085668E">
        <w:t>700</w:t>
      </w:r>
      <w:r w:rsidR="00816690" w:rsidRPr="0085668E">
        <w:t>−</w:t>
      </w:r>
      <w:r w:rsidR="005C5869" w:rsidRPr="0085668E">
        <w:t xml:space="preserve">2900 </w:t>
      </w:r>
      <w:r w:rsidR="00680517" w:rsidRPr="00680517">
        <w:t>МГц</w:t>
      </w:r>
      <w:r w:rsidR="005C5869" w:rsidRPr="0085668E">
        <w:t>.</w:t>
      </w:r>
    </w:p>
    <w:p w:rsidR="00816690" w:rsidRPr="0085668E" w:rsidRDefault="00816690" w:rsidP="0032202E">
      <w:pPr>
        <w:pStyle w:val="Reasons"/>
      </w:pPr>
    </w:p>
    <w:p w:rsidR="00816690" w:rsidRPr="00680517" w:rsidRDefault="00816690">
      <w:pPr>
        <w:jc w:val="center"/>
      </w:pPr>
      <w:r w:rsidRPr="00680517">
        <w:t>______________</w:t>
      </w:r>
    </w:p>
    <w:sectPr w:rsidR="00816690" w:rsidRPr="0068051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EE" w:rsidRDefault="002B55EE">
      <w:r>
        <w:separator/>
      </w:r>
    </w:p>
  </w:endnote>
  <w:endnote w:type="continuationSeparator" w:id="0">
    <w:p w:rsidR="002B55EE" w:rsidRDefault="002B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929C7">
      <w:rPr>
        <w:noProof/>
        <w:lang w:val="en-US"/>
      </w:rPr>
      <w:t>P:\RUS\ITU-R\CONF-R\CMR15\000\009ADD01R.docx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29C7">
      <w:rPr>
        <w:noProof/>
      </w:rPr>
      <w:t>27.07.15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29C7">
      <w:rPr>
        <w:noProof/>
      </w:rPr>
      <w:t>27.07.15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929C7">
      <w:rPr>
        <w:lang w:val="en-US"/>
      </w:rPr>
      <w:t>P:\RUS\ITU-R\CONF-R\CMR15\000\009ADD01R.docx</w:t>
    </w:r>
    <w:r>
      <w:fldChar w:fldCharType="end"/>
    </w:r>
    <w:r w:rsidR="00680517" w:rsidRPr="009929C7">
      <w:t xml:space="preserve"> (383782)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29C7">
      <w:t>27.07.15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29C7">
      <w:t>27.07.15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929C7">
      <w:rPr>
        <w:lang w:val="en-US"/>
      </w:rPr>
      <w:t>P:\RUS\ITU-R\CONF-R\CMR15\000\009ADD01R.docx</w:t>
    </w:r>
    <w:r>
      <w:fldChar w:fldCharType="end"/>
    </w:r>
    <w:r w:rsidR="005C5869" w:rsidRPr="009929C7">
      <w:t xml:space="preserve"> (383782)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29C7">
      <w:t>27.07.15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29C7">
      <w:t>27.07.15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EE" w:rsidRDefault="002B55EE">
      <w:r>
        <w:rPr>
          <w:b/>
        </w:rPr>
        <w:t>_______________</w:t>
      </w:r>
    </w:p>
  </w:footnote>
  <w:footnote w:type="continuationSeparator" w:id="0">
    <w:p w:rsidR="002B55EE" w:rsidRDefault="002B55EE">
      <w:r>
        <w:continuationSeparator/>
      </w:r>
    </w:p>
  </w:footnote>
  <w:footnote w:id="1">
    <w:p w:rsidR="00816690" w:rsidRPr="0085668E" w:rsidRDefault="00816690" w:rsidP="0085668E">
      <w:pPr>
        <w:pStyle w:val="FootnoteText"/>
        <w:rPr>
          <w:lang w:val="ru-RU"/>
        </w:rPr>
      </w:pPr>
      <w:r w:rsidRPr="0085668E">
        <w:rPr>
          <w:rStyle w:val="FootnoteReference"/>
          <w:lang w:val="ru-RU"/>
        </w:rPr>
        <w:t>*</w:t>
      </w:r>
      <w:r w:rsidRPr="0085668E">
        <w:rPr>
          <w:lang w:val="ru-RU"/>
        </w:rPr>
        <w:t xml:space="preserve"> </w:t>
      </w:r>
      <w:r w:rsidRPr="0085668E">
        <w:rPr>
          <w:lang w:val="ru-RU"/>
        </w:rPr>
        <w:tab/>
      </w:r>
      <w:r w:rsidR="0085668E">
        <w:rPr>
          <w:lang w:val="ru-RU"/>
        </w:rPr>
        <w:t>Эти</w:t>
      </w:r>
      <w:r w:rsidR="0085668E" w:rsidRPr="0085668E">
        <w:rPr>
          <w:lang w:val="ru-RU"/>
        </w:rPr>
        <w:t xml:space="preserve"> </w:t>
      </w:r>
      <w:r w:rsidR="0085668E">
        <w:rPr>
          <w:lang w:val="ru-RU"/>
        </w:rPr>
        <w:t>полосы</w:t>
      </w:r>
      <w:r w:rsidR="0085668E" w:rsidRPr="0085668E">
        <w:rPr>
          <w:lang w:val="ru-RU"/>
        </w:rPr>
        <w:t xml:space="preserve"> </w:t>
      </w:r>
      <w:r w:rsidR="0085668E">
        <w:rPr>
          <w:lang w:val="ru-RU"/>
        </w:rPr>
        <w:t>не</w:t>
      </w:r>
      <w:r w:rsidR="0085668E" w:rsidRPr="0085668E">
        <w:rPr>
          <w:lang w:val="ru-RU"/>
        </w:rPr>
        <w:t xml:space="preserve"> </w:t>
      </w:r>
      <w:r w:rsidR="0085668E">
        <w:rPr>
          <w:lang w:val="ru-RU"/>
        </w:rPr>
        <w:t>считаются</w:t>
      </w:r>
      <w:r w:rsidR="0085668E" w:rsidRPr="0085668E">
        <w:rPr>
          <w:lang w:val="ru-RU"/>
        </w:rPr>
        <w:t xml:space="preserve"> </w:t>
      </w:r>
      <w:proofErr w:type="spellStart"/>
      <w:r w:rsidR="0085668E">
        <w:rPr>
          <w:lang w:val="ru-RU"/>
        </w:rPr>
        <w:t>кандидатными</w:t>
      </w:r>
      <w:proofErr w:type="spellEnd"/>
      <w:r w:rsidR="0085668E">
        <w:rPr>
          <w:lang w:val="ru-RU"/>
        </w:rPr>
        <w:t xml:space="preserve"> полосами в соответствии с </w:t>
      </w:r>
      <w:r>
        <w:rPr>
          <w:lang w:val="ru-RU"/>
        </w:rPr>
        <w:t>п</w:t>
      </w:r>
      <w:r w:rsidRPr="0085668E">
        <w:rPr>
          <w:lang w:val="ru-RU"/>
        </w:rPr>
        <w:t xml:space="preserve">. 1.1 </w:t>
      </w:r>
      <w:r>
        <w:rPr>
          <w:lang w:val="ru-RU"/>
        </w:rPr>
        <w:t>повестки</w:t>
      </w:r>
      <w:r w:rsidRPr="0085668E">
        <w:rPr>
          <w:lang w:val="ru-RU"/>
        </w:rPr>
        <w:t xml:space="preserve"> </w:t>
      </w:r>
      <w:r>
        <w:rPr>
          <w:lang w:val="ru-RU"/>
        </w:rPr>
        <w:t>дня</w:t>
      </w:r>
      <w:r w:rsidRPr="0085668E">
        <w:rPr>
          <w:lang w:val="ru-RU"/>
        </w:rPr>
        <w:t xml:space="preserve"> </w:t>
      </w:r>
      <w:r>
        <w:rPr>
          <w:lang w:val="ru-RU"/>
        </w:rPr>
        <w:t>в</w:t>
      </w:r>
      <w:r w:rsidRPr="0085668E">
        <w:rPr>
          <w:lang w:val="ru-RU"/>
        </w:rPr>
        <w:t xml:space="preserve"> </w:t>
      </w:r>
      <w:r>
        <w:rPr>
          <w:lang w:val="ru-RU"/>
        </w:rPr>
        <w:t>Отчете</w:t>
      </w:r>
      <w:r w:rsidRPr="0085668E">
        <w:rPr>
          <w:lang w:val="ru-RU"/>
        </w:rPr>
        <w:t xml:space="preserve"> </w:t>
      </w:r>
      <w:proofErr w:type="spellStart"/>
      <w:r>
        <w:rPr>
          <w:lang w:val="ru-RU"/>
        </w:rPr>
        <w:t>ПСК</w:t>
      </w:r>
      <w:proofErr w:type="spellEnd"/>
      <w:r w:rsidRPr="0085668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29C7">
      <w:rPr>
        <w:noProof/>
      </w:rPr>
      <w:t>2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CB5AF7">
      <w:rPr>
        <w:lang w:val="en-US"/>
      </w:rPr>
      <w:t>5</w:t>
    </w:r>
    <w:r w:rsidR="00680517">
      <w:t>/</w:t>
    </w:r>
    <w:r w:rsidR="00680517">
      <w:rPr>
        <w:lang w:val="ru-RU"/>
      </w:rPr>
      <w:t>9(</w:t>
    </w:r>
    <w:proofErr w:type="spellStart"/>
    <w:r w:rsidR="00680517">
      <w:rPr>
        <w:lang w:val="en-US"/>
      </w:rPr>
      <w:t>Add.1</w:t>
    </w:r>
    <w:proofErr w:type="spellEnd"/>
    <w:r w:rsidR="00680517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EE"/>
    <w:rsid w:val="000257B8"/>
    <w:rsid w:val="000260F1"/>
    <w:rsid w:val="0003535B"/>
    <w:rsid w:val="000D249A"/>
    <w:rsid w:val="00123B68"/>
    <w:rsid w:val="00124C09"/>
    <w:rsid w:val="00126F2E"/>
    <w:rsid w:val="001521AE"/>
    <w:rsid w:val="001842C8"/>
    <w:rsid w:val="001E5FB4"/>
    <w:rsid w:val="00202CA0"/>
    <w:rsid w:val="00245A1F"/>
    <w:rsid w:val="00280796"/>
    <w:rsid w:val="00290C74"/>
    <w:rsid w:val="002B55EE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C5869"/>
    <w:rsid w:val="005D1879"/>
    <w:rsid w:val="005D79A3"/>
    <w:rsid w:val="005E3547"/>
    <w:rsid w:val="005E61DD"/>
    <w:rsid w:val="006023DF"/>
    <w:rsid w:val="00620DD7"/>
    <w:rsid w:val="00657DE0"/>
    <w:rsid w:val="00680517"/>
    <w:rsid w:val="00692C06"/>
    <w:rsid w:val="006A6E9B"/>
    <w:rsid w:val="00763F4F"/>
    <w:rsid w:val="00775720"/>
    <w:rsid w:val="00811633"/>
    <w:rsid w:val="00816690"/>
    <w:rsid w:val="0085668E"/>
    <w:rsid w:val="00872FC8"/>
    <w:rsid w:val="008B43F2"/>
    <w:rsid w:val="008C3257"/>
    <w:rsid w:val="009119CC"/>
    <w:rsid w:val="00941A02"/>
    <w:rsid w:val="009428AC"/>
    <w:rsid w:val="009929C7"/>
    <w:rsid w:val="009E5FC8"/>
    <w:rsid w:val="009F477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A13A4"/>
    <w:rsid w:val="00BA1AA1"/>
    <w:rsid w:val="00BA35DC"/>
    <w:rsid w:val="00BC5313"/>
    <w:rsid w:val="00C07A1A"/>
    <w:rsid w:val="00C20466"/>
    <w:rsid w:val="00C324A8"/>
    <w:rsid w:val="00C56E7A"/>
    <w:rsid w:val="00C64184"/>
    <w:rsid w:val="00CB5AF7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DFC105-4FBC-4865-AA4B-C283F48F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3417-AE67-4E6C-B7D3-EE01F061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4</TotalTime>
  <Pages>1</Pages>
  <Words>520</Words>
  <Characters>3705</Characters>
  <Application>Microsoft Office Word</Application>
  <DocSecurity>0</DocSecurity>
  <Lines>75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Maloletkova, Svetlana</cp:lastModifiedBy>
  <cp:revision>4</cp:revision>
  <cp:lastPrinted>2015-07-27T14:21:00Z</cp:lastPrinted>
  <dcterms:created xsi:type="dcterms:W3CDTF">2015-07-23T15:21:00Z</dcterms:created>
  <dcterms:modified xsi:type="dcterms:W3CDTF">2015-07-27T14:21:00Z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