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243C9E" w:rsidTr="0050008E">
        <w:trPr>
          <w:cantSplit/>
        </w:trPr>
        <w:tc>
          <w:tcPr>
            <w:tcW w:w="6911" w:type="dxa"/>
          </w:tcPr>
          <w:p w:rsidR="0090121B" w:rsidRPr="00243C9E" w:rsidRDefault="005D46FB" w:rsidP="00243C9E">
            <w:pPr>
              <w:spacing w:before="400" w:after="48"/>
              <w:rPr>
                <w:rFonts w:ascii="Verdana" w:hAnsi="Verdana"/>
                <w:position w:val="6"/>
              </w:rPr>
            </w:pPr>
            <w:r w:rsidRPr="00243C9E">
              <w:rPr>
                <w:rFonts w:ascii="Verdana" w:eastAsia="SimSun" w:hAnsi="Verdana" w:cs="Traditional Arabic"/>
                <w:b/>
                <w:position w:val="6"/>
                <w:sz w:val="20"/>
              </w:rPr>
              <w:t>Conferencia Mundial de Radiocomunicaciones (CMR-15)</w:t>
            </w:r>
            <w:r w:rsidRPr="00243C9E">
              <w:rPr>
                <w:rFonts w:ascii="Verdana" w:hAnsi="Verdana" w:cs="Times"/>
                <w:b/>
                <w:position w:val="6"/>
                <w:sz w:val="20"/>
              </w:rPr>
              <w:br/>
            </w:r>
            <w:r w:rsidRPr="00243C9E">
              <w:rPr>
                <w:rFonts w:ascii="Verdana" w:eastAsia="SimSun" w:hAnsi="Verdana" w:cs="Traditional Arabic"/>
                <w:b/>
                <w:bCs/>
                <w:position w:val="6"/>
                <w:sz w:val="18"/>
                <w:szCs w:val="18"/>
              </w:rPr>
              <w:t>Ginebra, 2-27 de noviembre de 2015</w:t>
            </w:r>
          </w:p>
        </w:tc>
        <w:tc>
          <w:tcPr>
            <w:tcW w:w="3120" w:type="dxa"/>
          </w:tcPr>
          <w:p w:rsidR="0090121B" w:rsidRPr="00243C9E" w:rsidRDefault="00CE7431" w:rsidP="00243C9E">
            <w:pPr>
              <w:spacing w:before="0"/>
              <w:jc w:val="right"/>
            </w:pPr>
            <w:bookmarkStart w:id="0" w:name="ditulogo"/>
            <w:bookmarkEnd w:id="0"/>
            <w:r w:rsidRPr="00243C9E">
              <w:rPr>
                <w:noProof/>
                <w:lang w:val="en-GB"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243C9E" w:rsidTr="0050008E">
        <w:trPr>
          <w:cantSplit/>
        </w:trPr>
        <w:tc>
          <w:tcPr>
            <w:tcW w:w="6911" w:type="dxa"/>
            <w:tcBorders>
              <w:bottom w:val="single" w:sz="12" w:space="0" w:color="auto"/>
            </w:tcBorders>
          </w:tcPr>
          <w:p w:rsidR="0090121B" w:rsidRPr="00243C9E" w:rsidRDefault="00CE7431" w:rsidP="00243C9E">
            <w:pPr>
              <w:spacing w:before="0" w:after="48"/>
              <w:rPr>
                <w:b/>
                <w:smallCaps/>
                <w:szCs w:val="24"/>
              </w:rPr>
            </w:pPr>
            <w:bookmarkStart w:id="1" w:name="dhead"/>
            <w:r w:rsidRPr="00243C9E">
              <w:rPr>
                <w:rFonts w:ascii="Verdana" w:eastAsia="SimSun" w:hAnsi="Verdana" w:cs="Traditional Arabic"/>
                <w:b/>
                <w:smallCaps/>
                <w:sz w:val="20"/>
              </w:rPr>
              <w:t>UNIÓN INTERNACIONAL DE TELECOMUNICACIONES</w:t>
            </w:r>
          </w:p>
        </w:tc>
        <w:tc>
          <w:tcPr>
            <w:tcW w:w="3120" w:type="dxa"/>
            <w:tcBorders>
              <w:bottom w:val="single" w:sz="12" w:space="0" w:color="auto"/>
            </w:tcBorders>
          </w:tcPr>
          <w:p w:rsidR="0090121B" w:rsidRPr="00243C9E" w:rsidRDefault="0090121B" w:rsidP="00243C9E">
            <w:pPr>
              <w:spacing w:before="0"/>
              <w:rPr>
                <w:rFonts w:ascii="Verdana" w:hAnsi="Verdana"/>
                <w:szCs w:val="24"/>
              </w:rPr>
            </w:pPr>
          </w:p>
        </w:tc>
      </w:tr>
      <w:tr w:rsidR="0090121B" w:rsidRPr="00243C9E" w:rsidTr="0090121B">
        <w:trPr>
          <w:cantSplit/>
        </w:trPr>
        <w:tc>
          <w:tcPr>
            <w:tcW w:w="6911" w:type="dxa"/>
            <w:tcBorders>
              <w:top w:val="single" w:sz="12" w:space="0" w:color="auto"/>
            </w:tcBorders>
          </w:tcPr>
          <w:p w:rsidR="0090121B" w:rsidRPr="00243C9E" w:rsidRDefault="0090121B" w:rsidP="00243C9E">
            <w:pPr>
              <w:spacing w:before="0" w:after="48"/>
              <w:rPr>
                <w:rFonts w:ascii="Verdana" w:hAnsi="Verdana"/>
                <w:b/>
                <w:smallCaps/>
                <w:sz w:val="20"/>
              </w:rPr>
            </w:pPr>
          </w:p>
        </w:tc>
        <w:tc>
          <w:tcPr>
            <w:tcW w:w="3120" w:type="dxa"/>
            <w:tcBorders>
              <w:top w:val="single" w:sz="12" w:space="0" w:color="auto"/>
            </w:tcBorders>
          </w:tcPr>
          <w:p w:rsidR="0090121B" w:rsidRPr="00243C9E" w:rsidRDefault="0090121B" w:rsidP="00243C9E">
            <w:pPr>
              <w:spacing w:before="0"/>
              <w:rPr>
                <w:rFonts w:ascii="Verdana" w:hAnsi="Verdana"/>
                <w:sz w:val="20"/>
              </w:rPr>
            </w:pPr>
          </w:p>
        </w:tc>
      </w:tr>
      <w:tr w:rsidR="0090121B" w:rsidRPr="00243C9E" w:rsidTr="0090121B">
        <w:trPr>
          <w:cantSplit/>
        </w:trPr>
        <w:tc>
          <w:tcPr>
            <w:tcW w:w="6911" w:type="dxa"/>
            <w:shd w:val="clear" w:color="auto" w:fill="auto"/>
          </w:tcPr>
          <w:p w:rsidR="0090121B" w:rsidRPr="00243C9E" w:rsidRDefault="00AE658F" w:rsidP="00243C9E">
            <w:pPr>
              <w:spacing w:before="0"/>
              <w:rPr>
                <w:rFonts w:ascii="Verdana" w:hAnsi="Verdana"/>
                <w:b/>
                <w:sz w:val="20"/>
              </w:rPr>
            </w:pPr>
            <w:r w:rsidRPr="00243C9E">
              <w:rPr>
                <w:rFonts w:ascii="Verdana" w:eastAsia="SimSun" w:hAnsi="Verdana" w:cs="Traditional Arabic"/>
                <w:b/>
                <w:sz w:val="20"/>
              </w:rPr>
              <w:t>SESIÓN PLENARIA</w:t>
            </w:r>
          </w:p>
        </w:tc>
        <w:tc>
          <w:tcPr>
            <w:tcW w:w="3120" w:type="dxa"/>
            <w:shd w:val="clear" w:color="auto" w:fill="auto"/>
          </w:tcPr>
          <w:p w:rsidR="0090121B" w:rsidRPr="00243C9E" w:rsidRDefault="00AE658F" w:rsidP="00243C9E">
            <w:pPr>
              <w:spacing w:before="0"/>
              <w:rPr>
                <w:rFonts w:ascii="Verdana" w:hAnsi="Verdana"/>
                <w:sz w:val="20"/>
              </w:rPr>
            </w:pPr>
            <w:r w:rsidRPr="00243C9E">
              <w:rPr>
                <w:rFonts w:ascii="Verdana" w:eastAsia="SimSun" w:hAnsi="Verdana" w:cs="Traditional Arabic"/>
                <w:b/>
                <w:sz w:val="20"/>
              </w:rPr>
              <w:t>Addéndum 1 al</w:t>
            </w:r>
            <w:r w:rsidRPr="00243C9E">
              <w:rPr>
                <w:rFonts w:ascii="Verdana" w:eastAsia="SimSun" w:hAnsi="Verdana" w:cs="Traditional Arabic"/>
                <w:b/>
                <w:sz w:val="20"/>
              </w:rPr>
              <w:br/>
              <w:t>Documento 9</w:t>
            </w:r>
            <w:r w:rsidR="0090121B" w:rsidRPr="00243C9E">
              <w:rPr>
                <w:rFonts w:ascii="Verdana" w:eastAsia="SimSun" w:hAnsi="Verdana" w:cs="Traditional Arabic"/>
                <w:b/>
                <w:sz w:val="20"/>
              </w:rPr>
              <w:t>-</w:t>
            </w:r>
            <w:r w:rsidRPr="00243C9E">
              <w:rPr>
                <w:rFonts w:ascii="Verdana" w:eastAsia="SimSun" w:hAnsi="Verdana" w:cs="Traditional Arabic"/>
                <w:b/>
                <w:sz w:val="20"/>
              </w:rPr>
              <w:t>S</w:t>
            </w:r>
          </w:p>
        </w:tc>
      </w:tr>
      <w:bookmarkEnd w:id="1"/>
      <w:tr w:rsidR="000A5B9A" w:rsidRPr="00243C9E" w:rsidTr="0090121B">
        <w:trPr>
          <w:cantSplit/>
        </w:trPr>
        <w:tc>
          <w:tcPr>
            <w:tcW w:w="6911" w:type="dxa"/>
            <w:shd w:val="clear" w:color="auto" w:fill="auto"/>
          </w:tcPr>
          <w:p w:rsidR="000A5B9A" w:rsidRPr="00243C9E" w:rsidRDefault="000A5B9A" w:rsidP="00243C9E">
            <w:pPr>
              <w:spacing w:before="0" w:after="48"/>
              <w:rPr>
                <w:rFonts w:ascii="Verdana" w:hAnsi="Verdana"/>
                <w:b/>
                <w:smallCaps/>
                <w:sz w:val="20"/>
              </w:rPr>
            </w:pPr>
          </w:p>
        </w:tc>
        <w:tc>
          <w:tcPr>
            <w:tcW w:w="3120" w:type="dxa"/>
            <w:shd w:val="clear" w:color="auto" w:fill="auto"/>
          </w:tcPr>
          <w:p w:rsidR="000A5B9A" w:rsidRPr="00243C9E" w:rsidRDefault="000A5B9A" w:rsidP="00243C9E">
            <w:pPr>
              <w:spacing w:before="0"/>
              <w:rPr>
                <w:rFonts w:ascii="Verdana" w:hAnsi="Verdana"/>
                <w:b/>
                <w:sz w:val="20"/>
              </w:rPr>
            </w:pPr>
            <w:r w:rsidRPr="00243C9E">
              <w:rPr>
                <w:rFonts w:ascii="Verdana" w:eastAsia="SimSun" w:hAnsi="Verdana" w:cs="Traditional Arabic"/>
                <w:b/>
                <w:sz w:val="20"/>
              </w:rPr>
              <w:t>24 de junio de 2015</w:t>
            </w:r>
          </w:p>
        </w:tc>
      </w:tr>
      <w:tr w:rsidR="000A5B9A" w:rsidRPr="00243C9E" w:rsidTr="0090121B">
        <w:trPr>
          <w:cantSplit/>
        </w:trPr>
        <w:tc>
          <w:tcPr>
            <w:tcW w:w="6911" w:type="dxa"/>
          </w:tcPr>
          <w:p w:rsidR="000A5B9A" w:rsidRPr="00243C9E" w:rsidRDefault="000A5B9A" w:rsidP="00243C9E">
            <w:pPr>
              <w:spacing w:before="0" w:after="48"/>
              <w:rPr>
                <w:rFonts w:ascii="Verdana" w:hAnsi="Verdana"/>
                <w:b/>
                <w:smallCaps/>
                <w:sz w:val="20"/>
              </w:rPr>
            </w:pPr>
          </w:p>
        </w:tc>
        <w:tc>
          <w:tcPr>
            <w:tcW w:w="3120" w:type="dxa"/>
          </w:tcPr>
          <w:p w:rsidR="000A5B9A" w:rsidRPr="00243C9E" w:rsidRDefault="000A5B9A" w:rsidP="00243C9E">
            <w:pPr>
              <w:spacing w:before="0"/>
              <w:rPr>
                <w:rFonts w:ascii="Verdana" w:hAnsi="Verdana"/>
                <w:b/>
                <w:sz w:val="20"/>
              </w:rPr>
            </w:pPr>
            <w:r w:rsidRPr="00243C9E">
              <w:rPr>
                <w:rFonts w:ascii="Verdana" w:eastAsia="SimSun" w:hAnsi="Verdana" w:cs="Traditional Arabic"/>
                <w:b/>
                <w:sz w:val="20"/>
              </w:rPr>
              <w:t>Original: inglés</w:t>
            </w:r>
          </w:p>
        </w:tc>
      </w:tr>
      <w:tr w:rsidR="000A5B9A" w:rsidRPr="00243C9E" w:rsidTr="006744FC">
        <w:trPr>
          <w:cantSplit/>
        </w:trPr>
        <w:tc>
          <w:tcPr>
            <w:tcW w:w="10031" w:type="dxa"/>
            <w:gridSpan w:val="2"/>
          </w:tcPr>
          <w:p w:rsidR="000A5B9A" w:rsidRPr="00243C9E" w:rsidRDefault="000A5B9A" w:rsidP="00243C9E">
            <w:pPr>
              <w:spacing w:before="0"/>
              <w:rPr>
                <w:rFonts w:ascii="Verdana" w:hAnsi="Verdana"/>
                <w:b/>
                <w:sz w:val="20"/>
              </w:rPr>
            </w:pPr>
          </w:p>
        </w:tc>
      </w:tr>
      <w:tr w:rsidR="000A5B9A" w:rsidRPr="00243C9E" w:rsidTr="0050008E">
        <w:trPr>
          <w:cantSplit/>
        </w:trPr>
        <w:tc>
          <w:tcPr>
            <w:tcW w:w="10031" w:type="dxa"/>
            <w:gridSpan w:val="2"/>
          </w:tcPr>
          <w:p w:rsidR="000A5B9A" w:rsidRPr="00243C9E" w:rsidRDefault="000A5B9A" w:rsidP="00243C9E">
            <w:pPr>
              <w:pStyle w:val="Source"/>
            </w:pPr>
            <w:bookmarkStart w:id="2" w:name="dsource" w:colFirst="0" w:colLast="0"/>
            <w:r w:rsidRPr="00243C9E">
              <w:rPr>
                <w:rFonts w:eastAsia="SimSun"/>
              </w:rPr>
              <w:t>Propuestas Comunes Europeas</w:t>
            </w:r>
          </w:p>
        </w:tc>
      </w:tr>
      <w:tr w:rsidR="000A5B9A" w:rsidRPr="00243C9E" w:rsidTr="0050008E">
        <w:trPr>
          <w:cantSplit/>
        </w:trPr>
        <w:tc>
          <w:tcPr>
            <w:tcW w:w="10031" w:type="dxa"/>
            <w:gridSpan w:val="2"/>
          </w:tcPr>
          <w:p w:rsidR="000A5B9A" w:rsidRPr="00243C9E" w:rsidRDefault="000A5B9A" w:rsidP="00243C9E">
            <w:pPr>
              <w:pStyle w:val="Title1"/>
            </w:pPr>
            <w:bookmarkStart w:id="3" w:name="dtitle1" w:colFirst="0" w:colLast="0"/>
            <w:bookmarkEnd w:id="2"/>
            <w:r w:rsidRPr="00243C9E">
              <w:rPr>
                <w:rFonts w:eastAsia="SimSun"/>
              </w:rPr>
              <w:t>Prop</w:t>
            </w:r>
            <w:r w:rsidR="00485E68" w:rsidRPr="00243C9E">
              <w:rPr>
                <w:rFonts w:eastAsia="SimSun"/>
              </w:rPr>
              <w:t>uestas para los trabajos de la conferencia</w:t>
            </w:r>
          </w:p>
        </w:tc>
      </w:tr>
      <w:tr w:rsidR="000A5B9A" w:rsidRPr="00243C9E" w:rsidTr="0050008E">
        <w:trPr>
          <w:cantSplit/>
        </w:trPr>
        <w:tc>
          <w:tcPr>
            <w:tcW w:w="10031" w:type="dxa"/>
            <w:gridSpan w:val="2"/>
          </w:tcPr>
          <w:p w:rsidR="000A5B9A" w:rsidRPr="00243C9E" w:rsidRDefault="000A5B9A" w:rsidP="00243C9E">
            <w:pPr>
              <w:pStyle w:val="Title2"/>
            </w:pPr>
            <w:bookmarkStart w:id="4" w:name="dtitle2" w:colFirst="0" w:colLast="0"/>
            <w:bookmarkEnd w:id="3"/>
          </w:p>
        </w:tc>
      </w:tr>
      <w:tr w:rsidR="000A5B9A" w:rsidRPr="00243C9E" w:rsidTr="0050008E">
        <w:trPr>
          <w:cantSplit/>
        </w:trPr>
        <w:tc>
          <w:tcPr>
            <w:tcW w:w="10031" w:type="dxa"/>
            <w:gridSpan w:val="2"/>
          </w:tcPr>
          <w:p w:rsidR="000A5B9A" w:rsidRPr="00243C9E" w:rsidRDefault="000A5B9A" w:rsidP="00243C9E">
            <w:pPr>
              <w:pStyle w:val="Agendaitem"/>
            </w:pPr>
            <w:bookmarkStart w:id="5" w:name="dtitle3" w:colFirst="0" w:colLast="0"/>
            <w:bookmarkEnd w:id="4"/>
            <w:r w:rsidRPr="00243C9E">
              <w:rPr>
                <w:rFonts w:eastAsia="SimSun"/>
              </w:rPr>
              <w:t>Punto 1.1 del orden del día</w:t>
            </w:r>
          </w:p>
        </w:tc>
      </w:tr>
    </w:tbl>
    <w:bookmarkEnd w:id="5"/>
    <w:p w:rsidR="001C0E40" w:rsidRPr="00243C9E" w:rsidRDefault="00C606AC" w:rsidP="00243C9E">
      <w:r w:rsidRPr="00243C9E">
        <w:t>1.1</w:t>
      </w:r>
      <w:r w:rsidRPr="00243C9E">
        <w:tab/>
        <w:t xml:space="preserve">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Resolución </w:t>
      </w:r>
      <w:r w:rsidRPr="00243C9E">
        <w:rPr>
          <w:b/>
          <w:bCs/>
        </w:rPr>
        <w:t>233 (CMR</w:t>
      </w:r>
      <w:r w:rsidRPr="00243C9E">
        <w:rPr>
          <w:b/>
          <w:bCs/>
        </w:rPr>
        <w:noBreakHyphen/>
        <w:t>12)</w:t>
      </w:r>
      <w:r w:rsidRPr="00243C9E">
        <w:t>;</w:t>
      </w:r>
    </w:p>
    <w:p w:rsidR="001D0725" w:rsidRPr="00243C9E" w:rsidRDefault="001D0725" w:rsidP="00243C9E">
      <w:pPr>
        <w:spacing w:before="160"/>
        <w:rPr>
          <w:rFonts w:ascii="Times New Roman Bold" w:hAnsi="Times New Roman Bold" w:cs="Times New Roman Bold"/>
          <w:b/>
        </w:rPr>
      </w:pPr>
      <w:r w:rsidRPr="00243C9E">
        <w:rPr>
          <w:rFonts w:ascii="Times New Roman Bold" w:hAnsi="Times New Roman Bold" w:cs="Times New Roman Bold"/>
          <w:b/>
        </w:rPr>
        <w:t>Introducción</w:t>
      </w:r>
    </w:p>
    <w:p w:rsidR="001D0725" w:rsidRPr="00243C9E" w:rsidRDefault="00243C9E" w:rsidP="00243C9E">
      <w:r w:rsidRPr="00243C9E">
        <w:t>En la Resolución</w:t>
      </w:r>
      <w:r w:rsidR="001D0725" w:rsidRPr="00243C9E">
        <w:t xml:space="preserve"> 233 (</w:t>
      </w:r>
      <w:r>
        <w:t>CMR</w:t>
      </w:r>
      <w:r w:rsidR="001D0725" w:rsidRPr="00243C9E">
        <w:t xml:space="preserve">-12) </w:t>
      </w:r>
      <w:r>
        <w:t xml:space="preserve">se solicitan estudios sobre los requisitos de espectro adicionales para las Comunicaciones móviles internacionales </w:t>
      </w:r>
      <w:r w:rsidR="001D0725" w:rsidRPr="00243C9E">
        <w:t xml:space="preserve">(IMT) </w:t>
      </w:r>
      <w:r>
        <w:t>y las posibles bandas de frecuencia</w:t>
      </w:r>
      <w:r w:rsidR="001D0725" w:rsidRPr="00243C9E">
        <w:t xml:space="preserve">. </w:t>
      </w:r>
    </w:p>
    <w:p w:rsidR="0012062E" w:rsidRPr="00243C9E" w:rsidRDefault="00243C9E" w:rsidP="00243C9E">
      <w:r>
        <w:t xml:space="preserve">En los estudios sobre los requisitos de espectro se han de tomar en consideración </w:t>
      </w:r>
      <w:r w:rsidR="00B52742" w:rsidRPr="00243C9E">
        <w:t xml:space="preserve">las características técnicas y operativas de los sistemas IMT y las bandas identificadas actualmente para las IMT, sus condiciones técnicas de utilización y la posibilidad de optimizar su uso para aumentar la eficiencia espectral. </w:t>
      </w:r>
      <w:r>
        <w:t xml:space="preserve">También se han de considerar </w:t>
      </w:r>
      <w:r w:rsidR="00B52742" w:rsidRPr="00243C9E">
        <w:t xml:space="preserve">las necesidades en constante evolución, incluyendo la demanda de IMT y otras aplicaciones móviles de banda ancha terrenales por </w:t>
      </w:r>
      <w:r w:rsidR="0012062E" w:rsidRPr="00243C9E">
        <w:t>parte de los usuarios y</w:t>
      </w:r>
      <w:r w:rsidR="00B52742" w:rsidRPr="00243C9E">
        <w:t xml:space="preserve"> </w:t>
      </w:r>
      <w:r w:rsidR="0012062E" w:rsidRPr="00243C9E">
        <w:t>el periodo de tiempo en el que se necesitaría el espectro;</w:t>
      </w:r>
    </w:p>
    <w:p w:rsidR="00B52742" w:rsidRPr="00243C9E" w:rsidRDefault="00243C9E" w:rsidP="00B01A0D">
      <w:pPr>
        <w:jc w:val="both"/>
      </w:pPr>
      <w:r>
        <w:t xml:space="preserve">Al estudiar las posibles bandas de frecuencia se ha de tener presente la </w:t>
      </w:r>
      <w:r w:rsidR="00B52742" w:rsidRPr="00243C9E">
        <w:t>compartición y compatibilidad con los servicios que ya tienen atribuciones en las posibles bandas de frecuencias candidatas y en las bandas adyacentes, en su caso, tomando en consideración su utilización actual y planificada de dichas bandas por los servicios existentes</w:t>
      </w:r>
      <w:r>
        <w:t>,</w:t>
      </w:r>
      <w:r w:rsidR="00B52742" w:rsidRPr="00243C9E">
        <w:t xml:space="preserve"> así como los estudios aplicables que ya haya realizado el UIT-R</w:t>
      </w:r>
      <w:r w:rsidR="00B01A0D">
        <w:t>.</w:t>
      </w:r>
    </w:p>
    <w:p w:rsidR="001D0725" w:rsidRPr="00243C9E" w:rsidRDefault="00243C9E" w:rsidP="00243C9E">
      <w:pPr>
        <w:spacing w:before="160"/>
        <w:rPr>
          <w:rFonts w:ascii="Times New Roman Bold" w:hAnsi="Times New Roman Bold" w:cs="Times New Roman Bold"/>
          <w:b/>
        </w:rPr>
      </w:pPr>
      <w:r>
        <w:rPr>
          <w:rFonts w:ascii="Times New Roman Bold" w:hAnsi="Times New Roman Bold" w:cs="Times New Roman Bold"/>
          <w:b/>
        </w:rPr>
        <w:t>Armonización del espectro</w:t>
      </w:r>
    </w:p>
    <w:p w:rsidR="001D0725" w:rsidRPr="00243C9E" w:rsidRDefault="00243C9E" w:rsidP="00243C9E">
      <w:r>
        <w:t>La armonización del espectro mundial reduce el precio de los equipos y, en consecuencia, aumenta la adopción de la tecnología y tiene un efecto directo e indirecto sobre el crecimiento económico</w:t>
      </w:r>
      <w:r w:rsidR="001D0725" w:rsidRPr="00243C9E">
        <w:t xml:space="preserve">. </w:t>
      </w:r>
      <w:r>
        <w:t>Este crecimiento aumenta la productividad</w:t>
      </w:r>
      <w:r w:rsidR="001D0725" w:rsidRPr="00243C9E">
        <w:t xml:space="preserve">, </w:t>
      </w:r>
      <w:r>
        <w:t>la creación de e</w:t>
      </w:r>
      <w:bookmarkStart w:id="6" w:name="_GoBack"/>
      <w:bookmarkEnd w:id="6"/>
      <w:r>
        <w:t>mpleo</w:t>
      </w:r>
      <w:r w:rsidR="001D0725" w:rsidRPr="00243C9E">
        <w:t xml:space="preserve">, </w:t>
      </w:r>
      <w:r>
        <w:t>la iniciativa empresarial</w:t>
      </w:r>
      <w:r w:rsidR="001D0725" w:rsidRPr="00243C9E">
        <w:t xml:space="preserve">, </w:t>
      </w:r>
      <w:r>
        <w:t>la inversión en infraestructura y</w:t>
      </w:r>
      <w:r w:rsidR="001D0725" w:rsidRPr="00243C9E">
        <w:t xml:space="preserve"> </w:t>
      </w:r>
      <w:r>
        <w:t>la imposición, que en conjunto genera el crecimiento del PIB</w:t>
      </w:r>
      <w:r w:rsidR="001D0725" w:rsidRPr="00243C9E">
        <w:t>.</w:t>
      </w:r>
    </w:p>
    <w:p w:rsidR="001D0725" w:rsidRPr="00243C9E" w:rsidRDefault="00243C9E" w:rsidP="00243C9E">
      <w:r>
        <w:t>La armonización mundial del espectro y de los planes de banda conllevará los siguientes beneficios</w:t>
      </w:r>
      <w:r w:rsidR="001D0725" w:rsidRPr="00243C9E">
        <w:t>:</w:t>
      </w:r>
    </w:p>
    <w:p w:rsidR="001D0725" w:rsidRPr="00243C9E" w:rsidRDefault="001D0725" w:rsidP="00E92CDD">
      <w:pPr>
        <w:pStyle w:val="enumlev1"/>
      </w:pPr>
      <w:r w:rsidRPr="00243C9E">
        <w:t>–</w:t>
      </w:r>
      <w:r w:rsidRPr="00243C9E">
        <w:tab/>
      </w:r>
      <w:r w:rsidR="00EF5ED8">
        <w:t xml:space="preserve">genera </w:t>
      </w:r>
      <w:r w:rsidR="00243C9E">
        <w:t>economías de escala</w:t>
      </w:r>
      <w:r w:rsidRPr="00243C9E">
        <w:t>;</w:t>
      </w:r>
    </w:p>
    <w:p w:rsidR="001D0725" w:rsidRPr="00243C9E" w:rsidRDefault="001D0725" w:rsidP="00E92CDD">
      <w:pPr>
        <w:pStyle w:val="enumlev1"/>
      </w:pPr>
      <w:r w:rsidRPr="00243C9E">
        <w:lastRenderedPageBreak/>
        <w:t>–</w:t>
      </w:r>
      <w:r w:rsidRPr="00243C9E">
        <w:tab/>
      </w:r>
      <w:r w:rsidR="00EF5ED8">
        <w:t>ofrece a</w:t>
      </w:r>
      <w:r w:rsidR="00243C9E">
        <w:t xml:space="preserve">l consumidor </w:t>
      </w:r>
      <w:r w:rsidR="00EF5ED8">
        <w:t>más opciones de elegir el proveedor de servicio y la marca del dispositivo</w:t>
      </w:r>
      <w:r w:rsidRPr="00243C9E">
        <w:t>;</w:t>
      </w:r>
    </w:p>
    <w:p w:rsidR="001D0725" w:rsidRPr="00243C9E" w:rsidRDefault="001D0725" w:rsidP="00E92CDD">
      <w:pPr>
        <w:pStyle w:val="enumlev1"/>
      </w:pPr>
      <w:r w:rsidRPr="00243C9E">
        <w:t>–</w:t>
      </w:r>
      <w:r w:rsidRPr="00243C9E">
        <w:tab/>
      </w:r>
      <w:r w:rsidR="00EF5ED8">
        <w:t>evita la fragmentación del mercado</w:t>
      </w:r>
      <w:r w:rsidRPr="00243C9E">
        <w:t>;</w:t>
      </w:r>
    </w:p>
    <w:p w:rsidR="001D0725" w:rsidRPr="00243C9E" w:rsidRDefault="001D0725" w:rsidP="00E92CDD">
      <w:pPr>
        <w:pStyle w:val="enumlev1"/>
      </w:pPr>
      <w:r w:rsidRPr="00243C9E">
        <w:t>–</w:t>
      </w:r>
      <w:r w:rsidRPr="00243C9E">
        <w:tab/>
      </w:r>
      <w:r w:rsidR="00EF5ED8">
        <w:t>disminuye la probabilidad de interferencia en los servicios móviles terre</w:t>
      </w:r>
      <w:r w:rsidR="00E749D5">
        <w:t>s</w:t>
      </w:r>
      <w:r w:rsidR="00EF5ED8">
        <w:t>tres</w:t>
      </w:r>
      <w:r w:rsidRPr="00243C9E">
        <w:t>;</w:t>
      </w:r>
    </w:p>
    <w:p w:rsidR="001D0725" w:rsidRPr="00243C9E" w:rsidRDefault="001D0725" w:rsidP="00E92CDD">
      <w:pPr>
        <w:pStyle w:val="enumlev1"/>
      </w:pPr>
      <w:r w:rsidRPr="00243C9E">
        <w:t>–</w:t>
      </w:r>
      <w:r w:rsidRPr="00243C9E">
        <w:tab/>
        <w:t>facilita</w:t>
      </w:r>
      <w:r w:rsidR="00EF5ED8">
        <w:t xml:space="preserve"> la itinerancia mundial</w:t>
      </w:r>
      <w:r w:rsidRPr="00243C9E">
        <w:t>;</w:t>
      </w:r>
    </w:p>
    <w:p w:rsidR="001D0725" w:rsidRPr="00243C9E" w:rsidRDefault="00EF5ED8" w:rsidP="00E92CDD">
      <w:pPr>
        <w:pStyle w:val="enumlev1"/>
      </w:pPr>
      <w:r>
        <w:t>–</w:t>
      </w:r>
      <w:r>
        <w:tab/>
        <w:t>maximiza el valor económico</w:t>
      </w:r>
      <w:r w:rsidR="001D0725" w:rsidRPr="00243C9E">
        <w:t xml:space="preserve"> total.</w:t>
      </w:r>
    </w:p>
    <w:p w:rsidR="001D0725" w:rsidRPr="00243C9E" w:rsidRDefault="00EF5ED8" w:rsidP="00B01A0D">
      <w:pPr>
        <w:spacing w:before="160"/>
        <w:rPr>
          <w:rFonts w:ascii="Times New Roman Bold" w:hAnsi="Times New Roman Bold" w:cs="Times New Roman Bold"/>
          <w:b/>
        </w:rPr>
      </w:pPr>
      <w:r>
        <w:rPr>
          <w:rFonts w:ascii="Times New Roman Bold" w:hAnsi="Times New Roman Bold" w:cs="Times New Roman Bold"/>
          <w:b/>
        </w:rPr>
        <w:t xml:space="preserve">Resumen de las </w:t>
      </w:r>
      <w:r w:rsidR="00B01A0D">
        <w:rPr>
          <w:rFonts w:ascii="Times New Roman Bold" w:hAnsi="Times New Roman Bold" w:cs="Times New Roman Bold"/>
          <w:b/>
        </w:rPr>
        <w:t>P</w:t>
      </w:r>
      <w:r>
        <w:rPr>
          <w:rFonts w:ascii="Times New Roman Bold" w:hAnsi="Times New Roman Bold" w:cs="Times New Roman Bold"/>
          <w:b/>
        </w:rPr>
        <w:t xml:space="preserve">ropuestas </w:t>
      </w:r>
      <w:r w:rsidR="00B01A0D">
        <w:rPr>
          <w:rFonts w:ascii="Times New Roman Bold" w:hAnsi="Times New Roman Bold" w:cs="Times New Roman Bold"/>
          <w:b/>
        </w:rPr>
        <w:t>E</w:t>
      </w:r>
      <w:r>
        <w:rPr>
          <w:rFonts w:ascii="Times New Roman Bold" w:hAnsi="Times New Roman Bold" w:cs="Times New Roman Bold"/>
          <w:b/>
        </w:rPr>
        <w:t>uropeas sobre las bandas de frecuencia</w:t>
      </w:r>
      <w:r w:rsidR="001D0725" w:rsidRPr="00243C9E">
        <w:rPr>
          <w:rFonts w:ascii="Times New Roman Bold" w:hAnsi="Times New Roman Bold" w:cs="Times New Roman Bold"/>
          <w:b/>
        </w:rPr>
        <w:t>:</w:t>
      </w:r>
    </w:p>
    <w:p w:rsidR="001D0725" w:rsidRPr="00243C9E" w:rsidRDefault="00EF5ED8" w:rsidP="00B01A0D">
      <w:r>
        <w:t xml:space="preserve">Estas </w:t>
      </w:r>
      <w:r w:rsidR="00B01A0D">
        <w:t>P</w:t>
      </w:r>
      <w:r>
        <w:t xml:space="preserve">ropuestas </w:t>
      </w:r>
      <w:r w:rsidR="00B01A0D">
        <w:t>E</w:t>
      </w:r>
      <w:r>
        <w:t xml:space="preserve">uropeas refrendan la identificación de la banda de frecuencias </w:t>
      </w:r>
      <w:r w:rsidR="001D0725" w:rsidRPr="00243C9E">
        <w:t xml:space="preserve">1 427-1 518 MHz </w:t>
      </w:r>
      <w:r>
        <w:t xml:space="preserve">para las </w:t>
      </w:r>
      <w:r w:rsidR="001D0725" w:rsidRPr="00243C9E">
        <w:t xml:space="preserve">IMT </w:t>
      </w:r>
      <w:r>
        <w:t xml:space="preserve">y la atribución de la banda </w:t>
      </w:r>
      <w:r w:rsidR="001D0725" w:rsidRPr="00243C9E">
        <w:t xml:space="preserve">3 400-3 800 MHz </w:t>
      </w:r>
      <w:r>
        <w:t xml:space="preserve">al servicio móvil a título primario en el Cuadro de atribución de bandas de frecuencias del Artículo </w:t>
      </w:r>
      <w:r w:rsidR="001D0725" w:rsidRPr="00243C9E">
        <w:rPr>
          <w:bCs/>
        </w:rPr>
        <w:t>5</w:t>
      </w:r>
      <w:r w:rsidR="001D0725" w:rsidRPr="00243C9E">
        <w:t xml:space="preserve"> </w:t>
      </w:r>
      <w:r>
        <w:t xml:space="preserve">y la identificación para las </w:t>
      </w:r>
      <w:r w:rsidR="001D0725" w:rsidRPr="00243C9E">
        <w:t xml:space="preserve">IMT, </w:t>
      </w:r>
      <w:r>
        <w:t>según proceda</w:t>
      </w:r>
      <w:r w:rsidR="001D0725" w:rsidRPr="00243C9E">
        <w:t>.</w:t>
      </w:r>
    </w:p>
    <w:p w:rsidR="001D0725" w:rsidRPr="00243C9E" w:rsidRDefault="00EF5ED8" w:rsidP="00B01A0D">
      <w:r>
        <w:t xml:space="preserve">Estas </w:t>
      </w:r>
      <w:r w:rsidR="00B01A0D">
        <w:t>P</w:t>
      </w:r>
      <w:r>
        <w:t xml:space="preserve">ropuestas </w:t>
      </w:r>
      <w:r w:rsidR="00B01A0D">
        <w:t>E</w:t>
      </w:r>
      <w:r>
        <w:t xml:space="preserve">uropeas no refrendan la atribución de las bandas de frecuencia </w:t>
      </w:r>
      <w:r w:rsidR="001D0725" w:rsidRPr="00243C9E">
        <w:t>470-694 MHz, 1</w:t>
      </w:r>
      <w:r w:rsidR="00B01A0D">
        <w:t> </w:t>
      </w:r>
      <w:r w:rsidR="001D0725" w:rsidRPr="00243C9E">
        <w:t>300-1 350 MHz</w:t>
      </w:r>
      <w:r w:rsidR="001D0725" w:rsidRPr="00243C9E">
        <w:rPr>
          <w:position w:val="6"/>
          <w:sz w:val="18"/>
        </w:rPr>
        <w:footnoteReference w:customMarkFollows="1" w:id="1"/>
        <w:t>*</w:t>
      </w:r>
      <w:r w:rsidR="001D0725" w:rsidRPr="00243C9E">
        <w:t>, 1 350-1 400 MHz, 1 518-1 525 MHz, 1 695-1 710 MHz, 2 025-2 110 MHz</w:t>
      </w:r>
      <w:r w:rsidR="001D0725" w:rsidRPr="00243C9E">
        <w:rPr>
          <w:sz w:val="18"/>
          <w:szCs w:val="18"/>
        </w:rPr>
        <w:t>*</w:t>
      </w:r>
      <w:r w:rsidR="001D0725" w:rsidRPr="00243C9E">
        <w:t>, 2</w:t>
      </w:r>
      <w:r w:rsidR="00B01A0D">
        <w:t> </w:t>
      </w:r>
      <w:r w:rsidR="001D0725" w:rsidRPr="00243C9E">
        <w:t>200-2 290 MHz</w:t>
      </w:r>
      <w:r w:rsidR="001D0725" w:rsidRPr="00243C9E">
        <w:rPr>
          <w:sz w:val="18"/>
          <w:szCs w:val="18"/>
        </w:rPr>
        <w:t>*</w:t>
      </w:r>
      <w:r w:rsidR="001D0725" w:rsidRPr="00243C9E">
        <w:t>, 2 900-3 100 MHz</w:t>
      </w:r>
      <w:r w:rsidR="001D0725" w:rsidRPr="00243C9E">
        <w:rPr>
          <w:sz w:val="18"/>
          <w:szCs w:val="18"/>
        </w:rPr>
        <w:t>*</w:t>
      </w:r>
      <w:r w:rsidR="001D0725" w:rsidRPr="00243C9E">
        <w:t>, 3 300-3 400 MHz, 3 800-4 200 MHz, 4 400-5 000 MHz, 5</w:t>
      </w:r>
      <w:r w:rsidR="00B01A0D">
        <w:t> </w:t>
      </w:r>
      <w:r w:rsidR="001D0725" w:rsidRPr="00243C9E">
        <w:t xml:space="preserve">350-5 470 MHz, 5 725-5 850 MHz </w:t>
      </w:r>
      <w:r>
        <w:t xml:space="preserve">y </w:t>
      </w:r>
      <w:r w:rsidR="001D0725" w:rsidRPr="00243C9E">
        <w:t xml:space="preserve">5 925-6 425 MHz </w:t>
      </w:r>
      <w:r>
        <w:t xml:space="preserve">al servicio móvil en el Cuadro de atribución de bandas de frecuencias del Artículo </w:t>
      </w:r>
      <w:r w:rsidRPr="00243C9E">
        <w:rPr>
          <w:bCs/>
        </w:rPr>
        <w:t>5</w:t>
      </w:r>
      <w:r w:rsidRPr="00243C9E">
        <w:t xml:space="preserve"> </w:t>
      </w:r>
      <w:r>
        <w:t xml:space="preserve">y la identificación para las </w:t>
      </w:r>
      <w:r w:rsidRPr="00243C9E">
        <w:t xml:space="preserve">IMT, </w:t>
      </w:r>
      <w:r>
        <w:t>según proceda</w:t>
      </w:r>
      <w:r w:rsidR="001D0725" w:rsidRPr="00243C9E">
        <w:t>.</w:t>
      </w:r>
    </w:p>
    <w:p w:rsidR="001D0725" w:rsidRPr="00243C9E" w:rsidRDefault="00EF5ED8" w:rsidP="00EF5ED8">
      <w:r>
        <w:t xml:space="preserve">Las </w:t>
      </w:r>
      <w:r w:rsidR="00B01A0D">
        <w:t xml:space="preserve">Propuestas Europeas </w:t>
      </w:r>
      <w:r>
        <w:t xml:space="preserve">resumidas más arriba se dividen en los siguientes </w:t>
      </w:r>
      <w:r w:rsidR="001D0725" w:rsidRPr="00243C9E">
        <w:t>addenda:</w:t>
      </w:r>
    </w:p>
    <w:p w:rsidR="001D0725" w:rsidRPr="00243C9E" w:rsidRDefault="001D0725" w:rsidP="00B01A0D">
      <w:pPr>
        <w:tabs>
          <w:tab w:val="clear" w:pos="1134"/>
          <w:tab w:val="clear" w:pos="1871"/>
          <w:tab w:val="clear" w:pos="2268"/>
          <w:tab w:val="left" w:pos="1843"/>
          <w:tab w:val="left" w:pos="2608"/>
          <w:tab w:val="left" w:pos="3345"/>
        </w:tabs>
        <w:spacing w:before="80"/>
        <w:ind w:left="1843" w:hanging="1843"/>
      </w:pPr>
      <w:r w:rsidRPr="00243C9E">
        <w:rPr>
          <w:b/>
        </w:rPr>
        <w:t>Add</w:t>
      </w:r>
      <w:r w:rsidR="00B01A0D">
        <w:rPr>
          <w:b/>
        </w:rPr>
        <w:t>é</w:t>
      </w:r>
      <w:r w:rsidRPr="00243C9E">
        <w:rPr>
          <w:b/>
        </w:rPr>
        <w:t>ndum 1</w:t>
      </w:r>
      <w:r w:rsidRPr="00243C9E">
        <w:tab/>
      </w:r>
      <w:r w:rsidR="00EF5ED8">
        <w:t xml:space="preserve">Propuestas relativas a la banda de frecuencias </w:t>
      </w:r>
      <w:r w:rsidRPr="00243C9E">
        <w:t>1 427-1 518 MHz</w:t>
      </w:r>
    </w:p>
    <w:p w:rsidR="001D0725" w:rsidRPr="00243C9E" w:rsidRDefault="001D0725" w:rsidP="00B01A0D">
      <w:pPr>
        <w:tabs>
          <w:tab w:val="clear" w:pos="1134"/>
          <w:tab w:val="clear" w:pos="1871"/>
          <w:tab w:val="clear" w:pos="2268"/>
          <w:tab w:val="left" w:pos="1843"/>
          <w:tab w:val="left" w:pos="2608"/>
          <w:tab w:val="left" w:pos="3345"/>
        </w:tabs>
        <w:spacing w:before="80"/>
        <w:ind w:left="1843" w:hanging="1843"/>
      </w:pPr>
      <w:r w:rsidRPr="00243C9E">
        <w:rPr>
          <w:b/>
        </w:rPr>
        <w:t>Add</w:t>
      </w:r>
      <w:r w:rsidR="00B01A0D">
        <w:rPr>
          <w:b/>
        </w:rPr>
        <w:t>é</w:t>
      </w:r>
      <w:r w:rsidRPr="00243C9E">
        <w:rPr>
          <w:b/>
        </w:rPr>
        <w:t>ndum 2</w:t>
      </w:r>
      <w:r w:rsidRPr="00243C9E">
        <w:tab/>
      </w:r>
      <w:r w:rsidR="00EF5ED8">
        <w:t xml:space="preserve">Propuestas relativas a la banda de frecuencias </w:t>
      </w:r>
      <w:r w:rsidRPr="00243C9E">
        <w:t>3 400-3 800 MHz</w:t>
      </w:r>
    </w:p>
    <w:p w:rsidR="001D0725" w:rsidRPr="00243C9E" w:rsidRDefault="001D0725" w:rsidP="00B01A0D">
      <w:pPr>
        <w:tabs>
          <w:tab w:val="clear" w:pos="1134"/>
          <w:tab w:val="clear" w:pos="1871"/>
          <w:tab w:val="clear" w:pos="2268"/>
          <w:tab w:val="left" w:pos="1843"/>
          <w:tab w:val="left" w:pos="2608"/>
          <w:tab w:val="left" w:pos="3345"/>
        </w:tabs>
        <w:spacing w:before="80"/>
        <w:ind w:left="1843" w:hanging="1843"/>
      </w:pPr>
      <w:r w:rsidRPr="00243C9E">
        <w:rPr>
          <w:b/>
        </w:rPr>
        <w:t>Add</w:t>
      </w:r>
      <w:r w:rsidR="00B01A0D">
        <w:rPr>
          <w:b/>
        </w:rPr>
        <w:t>é</w:t>
      </w:r>
      <w:r w:rsidRPr="00243C9E">
        <w:rPr>
          <w:b/>
        </w:rPr>
        <w:t>ndum 3</w:t>
      </w:r>
      <w:r w:rsidRPr="00243C9E">
        <w:tab/>
      </w:r>
      <w:r w:rsidR="00EF5ED8">
        <w:t xml:space="preserve">Propuestas relativas a la banda de frecuencias </w:t>
      </w:r>
      <w:r w:rsidRPr="00243C9E">
        <w:t>470-694 MHz</w:t>
      </w:r>
    </w:p>
    <w:p w:rsidR="001D0725" w:rsidRPr="00243C9E" w:rsidRDefault="001D0725" w:rsidP="00B01A0D">
      <w:pPr>
        <w:tabs>
          <w:tab w:val="clear" w:pos="1134"/>
          <w:tab w:val="clear" w:pos="1871"/>
          <w:tab w:val="clear" w:pos="2268"/>
          <w:tab w:val="left" w:pos="1843"/>
          <w:tab w:val="left" w:pos="2608"/>
          <w:tab w:val="left" w:pos="3345"/>
        </w:tabs>
        <w:spacing w:before="80"/>
        <w:ind w:left="1843" w:hanging="1843"/>
      </w:pPr>
      <w:r w:rsidRPr="00243C9E">
        <w:rPr>
          <w:b/>
        </w:rPr>
        <w:t>Add</w:t>
      </w:r>
      <w:r w:rsidR="00B01A0D">
        <w:rPr>
          <w:b/>
        </w:rPr>
        <w:t>é</w:t>
      </w:r>
      <w:r w:rsidRPr="00243C9E">
        <w:rPr>
          <w:b/>
        </w:rPr>
        <w:t>ndum 4</w:t>
      </w:r>
      <w:r w:rsidRPr="00243C9E">
        <w:tab/>
      </w:r>
      <w:r w:rsidR="00EF5ED8">
        <w:t xml:space="preserve">Propuestas relativas a las bandas de frecuencias </w:t>
      </w:r>
      <w:r w:rsidRPr="00243C9E">
        <w:t>1 300-1 350 MHz, 1</w:t>
      </w:r>
      <w:r w:rsidR="00B01A0D">
        <w:t> </w:t>
      </w:r>
      <w:r w:rsidRPr="00243C9E">
        <w:t>350</w:t>
      </w:r>
      <w:r w:rsidR="00B01A0D">
        <w:noBreakHyphen/>
      </w:r>
      <w:r w:rsidRPr="00243C9E">
        <w:t>1</w:t>
      </w:r>
      <w:r w:rsidR="00B01A0D">
        <w:t> </w:t>
      </w:r>
      <w:r w:rsidRPr="00243C9E">
        <w:t>400</w:t>
      </w:r>
      <w:r w:rsidR="00B01A0D">
        <w:t> </w:t>
      </w:r>
      <w:r w:rsidRPr="00243C9E">
        <w:t>MHz, 1 518-1 525 MHz, 1 695-1 710 MHz, 2 025-2 110 MHz, 2</w:t>
      </w:r>
      <w:r w:rsidR="00B01A0D">
        <w:t> </w:t>
      </w:r>
      <w:r w:rsidRPr="00243C9E">
        <w:t>200-2 290 MHz, 2 900</w:t>
      </w:r>
      <w:r w:rsidRPr="00243C9E">
        <w:noBreakHyphen/>
        <w:t>3 100 MHz, 3 300-3 400 MHz, 4 500-4 800 MHz, 5</w:t>
      </w:r>
      <w:r w:rsidR="00B01A0D">
        <w:t> </w:t>
      </w:r>
      <w:r w:rsidRPr="00243C9E">
        <w:t>350-5 470 MHz</w:t>
      </w:r>
      <w:r w:rsidR="00151C5B">
        <w:t xml:space="preserve"> y</w:t>
      </w:r>
      <w:r w:rsidRPr="00243C9E">
        <w:t xml:space="preserve"> 5 725-5 850 MHz;</w:t>
      </w:r>
    </w:p>
    <w:p w:rsidR="001D0725" w:rsidRPr="00243C9E" w:rsidRDefault="001D0725" w:rsidP="00B01A0D">
      <w:pPr>
        <w:tabs>
          <w:tab w:val="clear" w:pos="1134"/>
          <w:tab w:val="clear" w:pos="1871"/>
          <w:tab w:val="clear" w:pos="2268"/>
          <w:tab w:val="left" w:pos="1843"/>
          <w:tab w:val="left" w:pos="2608"/>
          <w:tab w:val="left" w:pos="3345"/>
        </w:tabs>
        <w:spacing w:before="80"/>
        <w:ind w:left="1843" w:hanging="1843"/>
      </w:pPr>
      <w:r w:rsidRPr="00243C9E">
        <w:rPr>
          <w:b/>
        </w:rPr>
        <w:t>Add</w:t>
      </w:r>
      <w:r w:rsidR="00B01A0D">
        <w:rPr>
          <w:b/>
        </w:rPr>
        <w:t>é</w:t>
      </w:r>
      <w:r w:rsidRPr="00243C9E">
        <w:rPr>
          <w:b/>
        </w:rPr>
        <w:t>ndum 5</w:t>
      </w:r>
      <w:r w:rsidRPr="00243C9E">
        <w:tab/>
      </w:r>
      <w:r w:rsidR="00EF5ED8">
        <w:t xml:space="preserve">Propuestas relativas a la banda de frecuencias </w:t>
      </w:r>
      <w:r w:rsidRPr="00243C9E">
        <w:t>3 800-4 200 MHz</w:t>
      </w:r>
    </w:p>
    <w:p w:rsidR="001D0725" w:rsidRPr="00243C9E" w:rsidRDefault="001D0725" w:rsidP="00B01A0D">
      <w:pPr>
        <w:tabs>
          <w:tab w:val="clear" w:pos="1134"/>
          <w:tab w:val="clear" w:pos="1871"/>
          <w:tab w:val="clear" w:pos="2268"/>
          <w:tab w:val="left" w:pos="1843"/>
          <w:tab w:val="left" w:pos="2608"/>
          <w:tab w:val="left" w:pos="3345"/>
        </w:tabs>
        <w:spacing w:before="80"/>
        <w:ind w:left="1843" w:hanging="1843"/>
      </w:pPr>
      <w:r w:rsidRPr="00243C9E">
        <w:rPr>
          <w:b/>
        </w:rPr>
        <w:t>Add</w:t>
      </w:r>
      <w:r w:rsidR="00B01A0D">
        <w:rPr>
          <w:b/>
        </w:rPr>
        <w:t>é</w:t>
      </w:r>
      <w:r w:rsidRPr="00243C9E">
        <w:rPr>
          <w:b/>
        </w:rPr>
        <w:t>ndum 6</w:t>
      </w:r>
      <w:r w:rsidRPr="00243C9E">
        <w:tab/>
      </w:r>
      <w:r w:rsidR="00EF5ED8">
        <w:t xml:space="preserve">Propuestas relativas a las bandas de frecuencias </w:t>
      </w:r>
      <w:r w:rsidRPr="00243C9E">
        <w:t>4 400-4 500 MHz, 4</w:t>
      </w:r>
      <w:r w:rsidR="00B01A0D">
        <w:t> </w:t>
      </w:r>
      <w:r w:rsidRPr="00243C9E">
        <w:t>800-5</w:t>
      </w:r>
      <w:r w:rsidR="00B01A0D">
        <w:t> </w:t>
      </w:r>
      <w:r w:rsidRPr="00243C9E">
        <w:t>000</w:t>
      </w:r>
      <w:r w:rsidR="00B01A0D">
        <w:t> </w:t>
      </w:r>
      <w:r w:rsidRPr="00243C9E">
        <w:t xml:space="preserve">MHz </w:t>
      </w:r>
      <w:r w:rsidR="00151C5B">
        <w:t xml:space="preserve">y </w:t>
      </w:r>
      <w:r w:rsidRPr="00243C9E">
        <w:t>5 925-6 425 MHz</w:t>
      </w:r>
    </w:p>
    <w:p w:rsidR="001D0725" w:rsidRPr="00243C9E" w:rsidRDefault="001D0725" w:rsidP="00B01A0D">
      <w:pPr>
        <w:tabs>
          <w:tab w:val="clear" w:pos="1134"/>
          <w:tab w:val="clear" w:pos="1871"/>
          <w:tab w:val="clear" w:pos="2268"/>
          <w:tab w:val="left" w:pos="1843"/>
          <w:tab w:val="left" w:pos="2608"/>
          <w:tab w:val="left" w:pos="3345"/>
        </w:tabs>
        <w:spacing w:before="80"/>
        <w:ind w:left="1843" w:hanging="1843"/>
      </w:pPr>
      <w:r w:rsidRPr="00243C9E">
        <w:rPr>
          <w:b/>
        </w:rPr>
        <w:t>Add</w:t>
      </w:r>
      <w:r w:rsidR="00B01A0D">
        <w:rPr>
          <w:b/>
        </w:rPr>
        <w:t>é</w:t>
      </w:r>
      <w:r w:rsidRPr="00243C9E">
        <w:rPr>
          <w:b/>
        </w:rPr>
        <w:t>ndum 7</w:t>
      </w:r>
      <w:r w:rsidRPr="00243C9E">
        <w:tab/>
      </w:r>
      <w:r w:rsidR="00151C5B">
        <w:t xml:space="preserve">Propuestas relativas a la banda de frecuencias </w:t>
      </w:r>
      <w:r w:rsidRPr="00243C9E">
        <w:t>2 700-2 900 MHz.</w:t>
      </w:r>
    </w:p>
    <w:p w:rsidR="00D85481" w:rsidRPr="00243C9E" w:rsidRDefault="00D85481" w:rsidP="00243C9E">
      <w:pPr>
        <w:pStyle w:val="Reasons"/>
      </w:pPr>
    </w:p>
    <w:p w:rsidR="00D85481" w:rsidRPr="00243C9E" w:rsidRDefault="00D85481" w:rsidP="00243C9E">
      <w:pPr>
        <w:jc w:val="center"/>
      </w:pPr>
      <w:r w:rsidRPr="00243C9E">
        <w:t>______________</w:t>
      </w:r>
    </w:p>
    <w:p w:rsidR="008750A8" w:rsidRPr="00243C9E" w:rsidRDefault="008750A8" w:rsidP="00243C9E">
      <w:pPr>
        <w:tabs>
          <w:tab w:val="clear" w:pos="1134"/>
          <w:tab w:val="clear" w:pos="1871"/>
          <w:tab w:val="clear" w:pos="2268"/>
        </w:tabs>
        <w:overflowPunct/>
        <w:autoSpaceDE/>
        <w:autoSpaceDN/>
        <w:adjustRightInd/>
        <w:spacing w:before="0"/>
        <w:textAlignment w:val="auto"/>
      </w:pPr>
    </w:p>
    <w:sectPr w:rsidR="008750A8" w:rsidRPr="00243C9E">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F34911" w:rsidRDefault="0077084A">
    <w:pPr>
      <w:ind w:right="360"/>
    </w:pPr>
    <w:r>
      <w:fldChar w:fldCharType="begin"/>
    </w:r>
    <w:r w:rsidRPr="00F34911">
      <w:instrText xml:space="preserve"> FILENAME \p  \* MERGEFORMAT </w:instrText>
    </w:r>
    <w:r>
      <w:fldChar w:fldCharType="separate"/>
    </w:r>
    <w:r w:rsidR="00F34911" w:rsidRPr="00F34911">
      <w:rPr>
        <w:noProof/>
      </w:rPr>
      <w:t>P:\ESP\ITU-R\CONF-R\CMR15\000\009ADD01S.docx</w:t>
    </w:r>
    <w:r>
      <w:fldChar w:fldCharType="end"/>
    </w:r>
    <w:r w:rsidRPr="00F34911">
      <w:tab/>
    </w:r>
    <w:r>
      <w:fldChar w:fldCharType="begin"/>
    </w:r>
    <w:r>
      <w:instrText xml:space="preserve"> SAVEDATE \@ DD.MM.YY </w:instrText>
    </w:r>
    <w:r>
      <w:fldChar w:fldCharType="separate"/>
    </w:r>
    <w:r w:rsidR="00F34911">
      <w:rPr>
        <w:noProof/>
      </w:rPr>
      <w:t>28.07.15</w:t>
    </w:r>
    <w:r>
      <w:fldChar w:fldCharType="end"/>
    </w:r>
    <w:r w:rsidRPr="00F34911">
      <w:tab/>
    </w:r>
    <w:r>
      <w:fldChar w:fldCharType="begin"/>
    </w:r>
    <w:r>
      <w:instrText xml:space="preserve"> PRINTDATE \@ DD.MM.YY </w:instrText>
    </w:r>
    <w:r>
      <w:fldChar w:fldCharType="separate"/>
    </w:r>
    <w:r w:rsidR="00F34911">
      <w:rPr>
        <w:noProof/>
      </w:rPr>
      <w:t>28.07.15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E66" w:rsidRDefault="00F34911">
    <w:pPr>
      <w:pStyle w:val="Footer"/>
    </w:pPr>
    <w:r>
      <w:fldChar w:fldCharType="begin"/>
    </w:r>
    <w:r>
      <w:instrText xml:space="preserve"> FILENAME \p  \* MERGEFORMAT </w:instrText>
    </w:r>
    <w:r>
      <w:fldChar w:fldCharType="separate"/>
    </w:r>
    <w:r>
      <w:t>P:\ESP\ITU-R\CONF-R\CMR15\000\009ADD01S.docx</w:t>
    </w:r>
    <w:r>
      <w:fldChar w:fldCharType="end"/>
    </w:r>
    <w:r w:rsidR="00254E66">
      <w:t xml:space="preserve"> (383782)</w:t>
    </w:r>
    <w:r w:rsidR="00254E66">
      <w:tab/>
    </w:r>
    <w:r w:rsidR="00254E66">
      <w:fldChar w:fldCharType="begin"/>
    </w:r>
    <w:r w:rsidR="00254E66">
      <w:instrText xml:space="preserve"> SAVEDATE \@ DD.MM.YY </w:instrText>
    </w:r>
    <w:r w:rsidR="00254E66">
      <w:fldChar w:fldCharType="separate"/>
    </w:r>
    <w:r>
      <w:t>28.07.15</w:t>
    </w:r>
    <w:r w:rsidR="00254E66">
      <w:fldChar w:fldCharType="end"/>
    </w:r>
    <w:r w:rsidR="00254E66">
      <w:tab/>
    </w:r>
    <w:r w:rsidR="00254E66">
      <w:fldChar w:fldCharType="begin"/>
    </w:r>
    <w:r w:rsidR="00254E66">
      <w:instrText xml:space="preserve"> PRINTDATE \@ DD.MM.YY </w:instrText>
    </w:r>
    <w:r w:rsidR="00254E66">
      <w:fldChar w:fldCharType="separate"/>
    </w:r>
    <w:r>
      <w:t>28.07.15</w:t>
    </w:r>
    <w:r w:rsidR="00254E66">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769" w:rsidRDefault="00E45769" w:rsidP="00E45769">
    <w:pPr>
      <w:pStyle w:val="Footer"/>
    </w:pPr>
    <w:fldSimple w:instr=" FILENAME \p  \* MERGEFORMAT ">
      <w:r w:rsidR="00F34911">
        <w:t>P:\ESP\ITU-R\CONF-R\CMR15\000\009ADD01S.docx</w:t>
      </w:r>
    </w:fldSimple>
    <w:r>
      <w:t xml:space="preserve"> (383782)</w:t>
    </w:r>
    <w:r>
      <w:tab/>
    </w:r>
    <w:r>
      <w:fldChar w:fldCharType="begin"/>
    </w:r>
    <w:r>
      <w:instrText xml:space="preserve"> SAVEDATE \@ DD.MM.YY </w:instrText>
    </w:r>
    <w:r>
      <w:fldChar w:fldCharType="separate"/>
    </w:r>
    <w:r w:rsidR="00F34911">
      <w:t>28.07.15</w:t>
    </w:r>
    <w:r>
      <w:fldChar w:fldCharType="end"/>
    </w:r>
    <w:r>
      <w:tab/>
    </w:r>
    <w:r>
      <w:fldChar w:fldCharType="begin"/>
    </w:r>
    <w:r>
      <w:instrText xml:space="preserve"> PRINTDATE \@ DD.MM.YY </w:instrText>
    </w:r>
    <w:r>
      <w:fldChar w:fldCharType="separate"/>
    </w:r>
    <w:r w:rsidR="00F34911">
      <w:t>28.07.15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 w:id="1">
    <w:p w:rsidR="001D0725" w:rsidRPr="00B01A0D" w:rsidRDefault="001D0725" w:rsidP="007C093F">
      <w:pPr>
        <w:pStyle w:val="FootnoteText"/>
      </w:pPr>
      <w:r w:rsidRPr="00B01A0D">
        <w:rPr>
          <w:rStyle w:val="FootnoteReference"/>
        </w:rPr>
        <w:t>*</w:t>
      </w:r>
      <w:r w:rsidRPr="00B01A0D">
        <w:tab/>
      </w:r>
      <w:r w:rsidR="00254E66" w:rsidRPr="00254E66">
        <w:t xml:space="preserve">En el </w:t>
      </w:r>
      <w:r w:rsidR="007C093F">
        <w:t>I</w:t>
      </w:r>
      <w:r w:rsidR="00254E66" w:rsidRPr="00254E66">
        <w:t>nforme de la RPC estas bandas no se consideran bandas candidatas con arreglo al punto</w:t>
      </w:r>
      <w:r w:rsidR="00254E66">
        <w:t> </w:t>
      </w:r>
      <w:r w:rsidR="00254E66" w:rsidRPr="00254E66">
        <w:t>1.1 del orden del día</w:t>
      </w:r>
      <w:r w:rsidRPr="00B01A0D">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34911">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9(Add.1)-</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062E"/>
    <w:rsid w:val="00121170"/>
    <w:rsid w:val="00123CC5"/>
    <w:rsid w:val="0015142D"/>
    <w:rsid w:val="00151C5B"/>
    <w:rsid w:val="001616DC"/>
    <w:rsid w:val="00163962"/>
    <w:rsid w:val="00191A97"/>
    <w:rsid w:val="001A083F"/>
    <w:rsid w:val="001C41FA"/>
    <w:rsid w:val="001D0725"/>
    <w:rsid w:val="001E2B52"/>
    <w:rsid w:val="001E3F27"/>
    <w:rsid w:val="00236D2A"/>
    <w:rsid w:val="00243C9E"/>
    <w:rsid w:val="00254E66"/>
    <w:rsid w:val="00255F12"/>
    <w:rsid w:val="00262C09"/>
    <w:rsid w:val="002A791F"/>
    <w:rsid w:val="002C1B26"/>
    <w:rsid w:val="002C5D6C"/>
    <w:rsid w:val="002E701F"/>
    <w:rsid w:val="003248A9"/>
    <w:rsid w:val="00324FFA"/>
    <w:rsid w:val="0032680B"/>
    <w:rsid w:val="00363A65"/>
    <w:rsid w:val="003B1E8C"/>
    <w:rsid w:val="003C2508"/>
    <w:rsid w:val="003D0AA3"/>
    <w:rsid w:val="00440B3A"/>
    <w:rsid w:val="0045384C"/>
    <w:rsid w:val="00454553"/>
    <w:rsid w:val="00485E68"/>
    <w:rsid w:val="004B124A"/>
    <w:rsid w:val="005133B5"/>
    <w:rsid w:val="00532097"/>
    <w:rsid w:val="0058350F"/>
    <w:rsid w:val="00583C7E"/>
    <w:rsid w:val="005D46FB"/>
    <w:rsid w:val="005F2605"/>
    <w:rsid w:val="005F3B0E"/>
    <w:rsid w:val="005F559C"/>
    <w:rsid w:val="00662BA0"/>
    <w:rsid w:val="006709F6"/>
    <w:rsid w:val="00692AAE"/>
    <w:rsid w:val="006D6E67"/>
    <w:rsid w:val="006E1A13"/>
    <w:rsid w:val="00701C20"/>
    <w:rsid w:val="00702F3D"/>
    <w:rsid w:val="0070518E"/>
    <w:rsid w:val="007354E9"/>
    <w:rsid w:val="00765578"/>
    <w:rsid w:val="0077084A"/>
    <w:rsid w:val="007952C7"/>
    <w:rsid w:val="007C093F"/>
    <w:rsid w:val="007C0B95"/>
    <w:rsid w:val="007C2317"/>
    <w:rsid w:val="007D330A"/>
    <w:rsid w:val="00866AE6"/>
    <w:rsid w:val="008750A8"/>
    <w:rsid w:val="008D6723"/>
    <w:rsid w:val="008E5AF2"/>
    <w:rsid w:val="0090121B"/>
    <w:rsid w:val="009144C9"/>
    <w:rsid w:val="0094091F"/>
    <w:rsid w:val="00973754"/>
    <w:rsid w:val="009C0BED"/>
    <w:rsid w:val="009E11EC"/>
    <w:rsid w:val="00A118DB"/>
    <w:rsid w:val="00A4450C"/>
    <w:rsid w:val="00AA5E6C"/>
    <w:rsid w:val="00AE5677"/>
    <w:rsid w:val="00AE658F"/>
    <w:rsid w:val="00AF2F78"/>
    <w:rsid w:val="00B01A0D"/>
    <w:rsid w:val="00B239FA"/>
    <w:rsid w:val="00B52742"/>
    <w:rsid w:val="00B52D55"/>
    <w:rsid w:val="00B8288C"/>
    <w:rsid w:val="00BE2E80"/>
    <w:rsid w:val="00BE5EDD"/>
    <w:rsid w:val="00BE6A1F"/>
    <w:rsid w:val="00C126C4"/>
    <w:rsid w:val="00C606AC"/>
    <w:rsid w:val="00C63EB5"/>
    <w:rsid w:val="00CC01E0"/>
    <w:rsid w:val="00CD5FEE"/>
    <w:rsid w:val="00CE60D2"/>
    <w:rsid w:val="00CE7431"/>
    <w:rsid w:val="00CF1290"/>
    <w:rsid w:val="00D0288A"/>
    <w:rsid w:val="00D72A5D"/>
    <w:rsid w:val="00D85481"/>
    <w:rsid w:val="00DC629B"/>
    <w:rsid w:val="00E05BFF"/>
    <w:rsid w:val="00E262F1"/>
    <w:rsid w:val="00E3176A"/>
    <w:rsid w:val="00E45769"/>
    <w:rsid w:val="00E54754"/>
    <w:rsid w:val="00E56BD3"/>
    <w:rsid w:val="00E71D14"/>
    <w:rsid w:val="00E749D5"/>
    <w:rsid w:val="00E92CDD"/>
    <w:rsid w:val="00EF5ED8"/>
    <w:rsid w:val="00F34911"/>
    <w:rsid w:val="00F37888"/>
    <w:rsid w:val="00F421DE"/>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367CC03-06D1-4AA6-B7F4-8085D4425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FootnoteTextChar">
    <w:name w:val="Footnote Text Char"/>
    <w:basedOn w:val="DefaultParagraphFont"/>
    <w:link w:val="FootnoteText"/>
    <w:rsid w:val="001D0725"/>
    <w:rPr>
      <w:rFonts w:ascii="Times New Roman" w:hAnsi="Times New Roman"/>
      <w:sz w:val="24"/>
      <w:lang w:val="es-ES_tradnl" w:eastAsia="en-US"/>
    </w:rPr>
  </w:style>
  <w:style w:type="character" w:customStyle="1" w:styleId="enumlev1Char">
    <w:name w:val="enumlev1 Char"/>
    <w:basedOn w:val="DefaultParagraphFont"/>
    <w:link w:val="enumlev1"/>
    <w:rsid w:val="00B52742"/>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R15-WRC15-C-0009!A1!MSW-S</DPM_x0020_File_x0020_name>
    <DPM_x0020_Author xmlns="32a1a8c5-2265-4ebc-b7a0-2071e2c5c9bb" xsi:nil="false">Documents Proposals Manager (DPM)</DPM_x0020_Author>
    <DPM_x0020_Version xmlns="32a1a8c5-2265-4ebc-b7a0-2071e2c5c9bb" xsi:nil="false">DPM_v5.2015.7.15_prod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F8740FCE-7A49-4F61-A5D2-A1840B6DDBFC}">
  <ds:schemaRefs>
    <ds:schemaRef ds:uri="http://www.w3.org/XML/1998/namespace"/>
    <ds:schemaRef ds:uri="http://schemas.microsoft.com/office/2006/documentManagement/types"/>
    <ds:schemaRef ds:uri="http://schemas.microsoft.com/office/infopath/2007/PartnerControls"/>
    <ds:schemaRef ds:uri="http://purl.org/dc/elements/1.1/"/>
    <ds:schemaRef ds:uri="http://purl.org/dc/dcmitype/"/>
    <ds:schemaRef ds:uri="http://purl.org/dc/terms/"/>
    <ds:schemaRef ds:uri="http://schemas.openxmlformats.org/package/2006/metadata/core-properties"/>
    <ds:schemaRef ds:uri="32a1a8c5-2265-4ebc-b7a0-2071e2c5c9bb"/>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AEA05D-33E9-4A45-B5AD-8356A47C5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698</Words>
  <Characters>3623</Characters>
  <Application>Microsoft Office Word</Application>
  <DocSecurity>0</DocSecurity>
  <Lines>73</Lines>
  <Paragraphs>35</Paragraphs>
  <ScaleCrop>false</ScaleCrop>
  <HeadingPairs>
    <vt:vector size="2" baseType="variant">
      <vt:variant>
        <vt:lpstr>Title</vt:lpstr>
      </vt:variant>
      <vt:variant>
        <vt:i4>1</vt:i4>
      </vt:variant>
    </vt:vector>
  </HeadingPairs>
  <TitlesOfParts>
    <vt:vector size="1" baseType="lpstr">
      <vt:lpstr>R15-WRC15-C-0009!A1!MSW-S</vt:lpstr>
    </vt:vector>
  </TitlesOfParts>
  <Manager>Secretaría General - Pool</Manager>
  <Company>Unión Internacional de Telecomunicaciones (UIT)</Company>
  <LinksUpToDate>false</LinksUpToDate>
  <CharactersWithSpaces>4293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R15-WRC15-C-0009!A1!MSW-S</dc:title>
  <dc:subject>Conferencia Mundial de Radiocomunicaciones - 2015</dc:subject>
  <dc:creator>Documents Proposals Manager (DPM)</dc:creator>
  <cp:keywords>DPM_v5.2015.7.15_prod</cp:keywords>
  <dc:description/>
  <cp:lastModifiedBy>Christe-Baldan, Susana</cp:lastModifiedBy>
  <cp:revision>11</cp:revision>
  <cp:lastPrinted>2015-07-28T10:17:00Z</cp:lastPrinted>
  <dcterms:created xsi:type="dcterms:W3CDTF">2015-07-28T08:26:00Z</dcterms:created>
  <dcterms:modified xsi:type="dcterms:W3CDTF">2015-07-28T10:18:00Z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