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F7BAA" w:rsidRDefault="003E1608" w:rsidP="002F7BAA">
            <w:pPr>
              <w:pStyle w:val="Adress"/>
              <w:framePr w:hSpace="0" w:wrap="auto" w:xAlign="left" w:yAlign="inline"/>
              <w:rPr>
                <w:rtl/>
              </w:rPr>
            </w:pPr>
            <w:r w:rsidRPr="002F7BAA">
              <w:rPr>
                <w:rtl/>
              </w:rPr>
              <w:t xml:space="preserve">الإضافة </w:t>
            </w:r>
            <w:r w:rsidRPr="002F7BAA">
              <w:t>3</w:t>
            </w:r>
            <w:r w:rsidRPr="002F7BAA">
              <w:br/>
            </w:r>
            <w:r w:rsidRPr="002F7BAA">
              <w:rPr>
                <w:rtl/>
              </w:rPr>
              <w:t xml:space="preserve">للوثيقة </w:t>
            </w:r>
            <w:r w:rsidRPr="002F7BAA">
              <w:t>9(Add.1)</w:t>
            </w:r>
            <w:r w:rsidR="002F7BAA">
              <w:rPr>
                <w:rFonts w:ascii="Verdana" w:eastAsia="SimSun" w:hAnsi="Verdana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F7BA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F7BAA">
              <w:rPr>
                <w:rFonts w:ascii="Verdana" w:eastAsia="SimSun" w:hAnsi="Verdana"/>
              </w:rPr>
              <w:t>24</w:t>
            </w:r>
            <w:r w:rsidRPr="002F7BAA">
              <w:rPr>
                <w:rFonts w:ascii="Verdana" w:eastAsia="SimSun" w:hAnsi="Verdana"/>
                <w:rtl/>
              </w:rPr>
              <w:t xml:space="preserve"> يونيو </w:t>
            </w:r>
            <w:r w:rsidRPr="002F7BAA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F7BA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F7BAA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D1A71" w:rsidRDefault="00764079" w:rsidP="00D44350">
            <w:pPr>
              <w:pStyle w:val="Source"/>
              <w:rPr>
                <w:rFonts w:ascii="Times New Roman" w:hAnsi="Times New Roman"/>
              </w:rPr>
            </w:pPr>
            <w:r w:rsidRPr="001D1A71">
              <w:rPr>
                <w:rFonts w:ascii="Times New Roman" w:eastAsia="SimSun" w:hAnsi="Times New Roman"/>
                <w:rtl/>
              </w:rPr>
              <w:t>مقترحات أوروبية مشتركة</w:t>
            </w:r>
            <w:r w:rsidR="001D1A71" w:rsidRPr="001D1A71">
              <w:rPr>
                <w:rFonts w:ascii="Times New Roman" w:eastAsia="SimSun" w:hAnsi="Times New Roman" w:hint="cs"/>
                <w:rtl/>
              </w:rPr>
              <w:t xml:space="preserve"> </w:t>
            </w:r>
            <w:r w:rsidR="001D1A71" w:rsidRPr="001D1A71">
              <w:rPr>
                <w:rFonts w:ascii="Times New Roman" w:eastAsia="SimSun" w:hAnsi="Times New Roman"/>
              </w:rPr>
              <w:t>(CEPT)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D1A71" w:rsidRDefault="001D1A71" w:rsidP="00D44350">
            <w:pPr>
              <w:pStyle w:val="Title1"/>
              <w:spacing w:before="240"/>
              <w:rPr>
                <w:rtl/>
              </w:rPr>
            </w:pPr>
            <w:r w:rsidRPr="001D1A71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D1A71" w:rsidRDefault="00764079" w:rsidP="001D1A71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D1A71" w:rsidRDefault="00764079" w:rsidP="001D1A71">
            <w:pPr>
              <w:pStyle w:val="Agendaitem"/>
              <w:spacing w:before="240" w:line="192" w:lineRule="auto"/>
            </w:pPr>
            <w:r w:rsidRPr="001D1A71">
              <w:rPr>
                <w:rFonts w:eastAsia="SimSun"/>
                <w:rtl/>
              </w:rPr>
              <w:t xml:space="preserve">البنـد </w:t>
            </w:r>
            <w:r w:rsidR="001D1A71" w:rsidRPr="001D1A71">
              <w:rPr>
                <w:rFonts w:eastAsia="SimSun"/>
              </w:rPr>
              <w:t>1.1</w:t>
            </w:r>
            <w:r w:rsidRPr="001D1A71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296F28" w:rsidP="001D597A">
      <w:pPr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Pr="00421E9B" w:rsidRDefault="00421E9B" w:rsidP="00A71C1B">
      <w:pPr>
        <w:pStyle w:val="Chaptitle"/>
        <w:rPr>
          <w:b/>
          <w:bCs/>
          <w:rtl/>
          <w:lang w:val="en-US"/>
        </w:rPr>
      </w:pPr>
      <w:r>
        <w:rPr>
          <w:rFonts w:hint="cs"/>
          <w:b/>
          <w:bCs/>
          <w:rtl/>
        </w:rPr>
        <w:t>مقترحات أوروبية بشأن عدم تعديل توزيعات لخدمات</w:t>
      </w:r>
      <w:r w:rsidR="00A71C1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واردة في المادة </w:t>
      </w:r>
      <w:r>
        <w:rPr>
          <w:b/>
          <w:bCs/>
          <w:lang w:val="en-US"/>
        </w:rPr>
        <w:t>5</w:t>
      </w:r>
    </w:p>
    <w:p w:rsidR="00E261ED" w:rsidRPr="00E261ED" w:rsidRDefault="00E261ED" w:rsidP="00E261ED">
      <w:pPr>
        <w:pStyle w:val="Chaptitle"/>
        <w:rPr>
          <w:b/>
          <w:bCs/>
          <w:rtl/>
          <w:lang w:bidi="ar-SY"/>
        </w:rPr>
      </w:pPr>
      <w:r w:rsidRPr="00E261ED">
        <w:rPr>
          <w:b/>
          <w:bCs/>
        </w:rPr>
        <w:t>MHz 694-470</w:t>
      </w:r>
    </w:p>
    <w:p w:rsidR="00E261ED" w:rsidRDefault="0039701C" w:rsidP="0039701C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9701C" w:rsidRDefault="00177F9E" w:rsidP="0060213A">
      <w:pPr>
        <w:rPr>
          <w:rtl/>
          <w:lang w:bidi="ar-EG"/>
        </w:rPr>
      </w:pPr>
      <w:r>
        <w:rPr>
          <w:rFonts w:hint="cs"/>
          <w:rtl/>
        </w:rPr>
        <w:t xml:space="preserve">يُوزع مدى التردد </w:t>
      </w:r>
      <w:r>
        <w:t>MHz 694</w:t>
      </w:r>
      <w:r w:rsidR="004D747B">
        <w:noBreakHyphen/>
      </w:r>
      <w:r>
        <w:t>470</w:t>
      </w:r>
      <w:r>
        <w:rPr>
          <w:rFonts w:hint="cs"/>
          <w:rtl/>
          <w:lang w:bidi="ar-EG"/>
        </w:rPr>
        <w:t xml:space="preserve"> للخدمة الإذاعية على أساس أولي في الإقليم</w:t>
      </w:r>
      <w:r w:rsidR="004D747B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. وهناك أيضاً توزيعات إضافية بموجب حواشٍ لخدمات مختلفة في مختلف البلدان، بما</w:t>
      </w:r>
      <w:r w:rsidR="0060213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 w:rsidR="0060213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ذلك توزيعات للخدمة المتنقلة في بعض </w:t>
      </w:r>
      <w:r w:rsidR="00A71C1B">
        <w:rPr>
          <w:rFonts w:hint="cs"/>
          <w:rtl/>
          <w:lang w:bidi="ar-EG"/>
        </w:rPr>
        <w:t>منها</w:t>
      </w:r>
      <w:r>
        <w:rPr>
          <w:rFonts w:hint="cs"/>
          <w:rtl/>
          <w:lang w:bidi="ar-EG"/>
        </w:rPr>
        <w:t xml:space="preserve">. </w:t>
      </w:r>
      <w:r w:rsidR="00E05E7D">
        <w:rPr>
          <w:rFonts w:hint="cs"/>
          <w:rtl/>
          <w:lang w:bidi="ar-EG"/>
        </w:rPr>
        <w:t>وبصفة خاصة</w:t>
      </w:r>
      <w:r>
        <w:rPr>
          <w:rFonts w:hint="cs"/>
          <w:rtl/>
          <w:lang w:bidi="ar-EG"/>
        </w:rPr>
        <w:t>، ووفقاً للرقم</w:t>
      </w:r>
      <w:r w:rsidR="004D747B">
        <w:rPr>
          <w:rFonts w:hint="eastAsia"/>
          <w:rtl/>
          <w:lang w:bidi="ar-EG"/>
        </w:rPr>
        <w:t> </w:t>
      </w:r>
      <w:r>
        <w:rPr>
          <w:lang w:bidi="ar-EG"/>
        </w:rPr>
        <w:t>312.5</w:t>
      </w:r>
      <w:r>
        <w:rPr>
          <w:rFonts w:hint="cs"/>
          <w:rtl/>
          <w:lang w:bidi="ar-EG"/>
        </w:rPr>
        <w:t xml:space="preserve">، يُوزع النطاق </w:t>
      </w:r>
      <w:r>
        <w:t>MHz 694</w:t>
      </w:r>
      <w:r w:rsidR="004D747B">
        <w:noBreakHyphen/>
      </w:r>
      <w:r w:rsidR="0060213A">
        <w:t>645</w:t>
      </w:r>
      <w:r>
        <w:rPr>
          <w:rFonts w:hint="cs"/>
          <w:rtl/>
          <w:lang w:bidi="ar-EG"/>
        </w:rPr>
        <w:t xml:space="preserve"> لخدمة الملاحة الراديوية للطيران على أساس أولي</w:t>
      </w:r>
      <w:r w:rsidR="00E05E7D" w:rsidRPr="00E05E7D">
        <w:rPr>
          <w:rFonts w:hint="cs"/>
          <w:rtl/>
          <w:lang w:bidi="ar-EG"/>
        </w:rPr>
        <w:t xml:space="preserve"> </w:t>
      </w:r>
      <w:r w:rsidR="00E05E7D">
        <w:rPr>
          <w:rFonts w:hint="cs"/>
          <w:rtl/>
          <w:lang w:bidi="ar-EG"/>
        </w:rPr>
        <w:t>في بعض بلدان الإقليم</w:t>
      </w:r>
      <w:r w:rsidR="004D747B">
        <w:rPr>
          <w:rFonts w:hint="eastAsia"/>
          <w:rtl/>
          <w:lang w:bidi="ar-EG"/>
        </w:rPr>
        <w:t> </w:t>
      </w:r>
      <w:r w:rsidR="00E05E7D">
        <w:rPr>
          <w:lang w:bidi="ar-EG"/>
        </w:rPr>
        <w:t>1</w:t>
      </w:r>
      <w:r>
        <w:rPr>
          <w:rFonts w:hint="cs"/>
          <w:rtl/>
          <w:lang w:bidi="ar-EG"/>
        </w:rPr>
        <w:t xml:space="preserve">. ونظراً إلى أن التوزيع المذكور أعلاه خاضع </w:t>
      </w:r>
      <w:r w:rsidR="004D747B">
        <w:rPr>
          <w:rFonts w:hint="cs"/>
          <w:rtl/>
          <w:lang w:bidi="ar-EG"/>
        </w:rPr>
        <w:t>لأحكام الرقم</w:t>
      </w:r>
      <w:r w:rsidR="004D747B">
        <w:rPr>
          <w:rFonts w:hint="eastAsia"/>
          <w:rtl/>
          <w:lang w:bidi="ar-EG"/>
        </w:rPr>
        <w:t> </w:t>
      </w:r>
      <w:r>
        <w:rPr>
          <w:lang w:bidi="ar-EG"/>
        </w:rPr>
        <w:t>10.4</w:t>
      </w:r>
      <w:r>
        <w:rPr>
          <w:rFonts w:hint="cs"/>
          <w:rtl/>
          <w:lang w:bidi="ar-EG"/>
        </w:rPr>
        <w:t xml:space="preserve">، </w:t>
      </w:r>
      <w:r w:rsidR="001964E3">
        <w:rPr>
          <w:rFonts w:hint="cs"/>
          <w:rtl/>
          <w:lang w:bidi="ar-EG"/>
        </w:rPr>
        <w:t>سيكون من الصعب تعايش أنظمة الاتصالات المتنقلة الدولية مع محطات الملاحة الراديوية</w:t>
      </w:r>
      <w:r w:rsidR="004D747B">
        <w:rPr>
          <w:rFonts w:hint="eastAsia"/>
          <w:rtl/>
          <w:lang w:bidi="ar-EG"/>
        </w:rPr>
        <w:t> </w:t>
      </w:r>
      <w:r w:rsidR="001964E3">
        <w:rPr>
          <w:rFonts w:hint="cs"/>
          <w:rtl/>
          <w:lang w:bidi="ar-EG"/>
        </w:rPr>
        <w:t>للطيران.</w:t>
      </w:r>
    </w:p>
    <w:p w:rsidR="0039701C" w:rsidRDefault="004F64D2" w:rsidP="00D47781">
      <w:pPr>
        <w:rPr>
          <w:rtl/>
          <w:lang w:bidi="ar-EG"/>
        </w:rPr>
      </w:pPr>
      <w:r>
        <w:rPr>
          <w:rFonts w:hint="cs"/>
          <w:rtl/>
        </w:rPr>
        <w:t>إن التقاسم والتوافق في هذا النطاق بين أنظمة الاتصالات المتنقلة</w:t>
      </w:r>
      <w:r w:rsidR="00D47781">
        <w:rPr>
          <w:rFonts w:hint="cs"/>
          <w:rtl/>
        </w:rPr>
        <w:t xml:space="preserve"> الدولية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والخدمة الإذاعية صعب للغاية. وقد أظهرت الدراسات التي أجراها الفريق </w:t>
      </w:r>
      <w:r>
        <w:rPr>
          <w:lang w:bidi="ar-EG"/>
        </w:rPr>
        <w:t>JTG 5</w:t>
      </w:r>
      <w:r w:rsidR="004D747B">
        <w:rPr>
          <w:lang w:bidi="ar-EG"/>
        </w:rPr>
        <w:noBreakHyphen/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التابع لقطاع الاتصالات الراديوية في</w:t>
      </w:r>
      <w:r w:rsidR="004D747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فترة الدراسات السابقة الحاجة إلى مسافات فصل بين المحطات الإذاعية ومحطات الاتصالات المتنقلة الدولية </w:t>
      </w:r>
      <w:r w:rsidR="00B13675">
        <w:rPr>
          <w:rFonts w:hint="cs"/>
          <w:rtl/>
          <w:lang w:bidi="ar-EG"/>
        </w:rPr>
        <w:t>تبلغ حوالي</w:t>
      </w:r>
      <w:r w:rsidR="004D747B">
        <w:rPr>
          <w:rFonts w:hint="eastAsia"/>
          <w:rtl/>
          <w:lang w:bidi="ar-EG"/>
        </w:rPr>
        <w:t> </w:t>
      </w:r>
      <w:r w:rsidR="00D47781">
        <w:rPr>
          <w:lang w:bidi="ar-EG"/>
        </w:rPr>
        <w:t>k</w:t>
      </w:r>
      <w:r>
        <w:rPr>
          <w:lang w:bidi="ar-EG"/>
        </w:rPr>
        <w:t>m 300</w:t>
      </w:r>
      <w:r>
        <w:rPr>
          <w:rFonts w:hint="cs"/>
          <w:rtl/>
          <w:lang w:bidi="ar-EG"/>
        </w:rPr>
        <w:t xml:space="preserve"> أو أكثر. وأكدت الدراسات الأخيرة التي أجريت في</w:t>
      </w:r>
      <w:r w:rsidR="004D747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أوروبا هذه</w:t>
      </w:r>
      <w:r w:rsidR="004D747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النتائج.</w:t>
      </w:r>
    </w:p>
    <w:p w:rsidR="006930B2" w:rsidRPr="004F64D2" w:rsidRDefault="006930B2" w:rsidP="00D477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ولذلك، فإن أوروبا لا تؤيد توزيعاً للخدمة المتنقلة في نطاق التردد هذا </w:t>
      </w:r>
      <w:r w:rsidR="00D47781">
        <w:rPr>
          <w:rFonts w:hint="cs"/>
          <w:rtl/>
          <w:lang w:bidi="ar-EG"/>
        </w:rPr>
        <w:t>ولا تحديد</w:t>
      </w:r>
      <w:r>
        <w:rPr>
          <w:rFonts w:hint="cs"/>
          <w:rtl/>
          <w:lang w:bidi="ar-EG"/>
        </w:rPr>
        <w:t xml:space="preserve"> هذا النطاق للاتصالات المتنقلة</w:t>
      </w:r>
      <w:r w:rsidR="004D747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الدولية.</w:t>
      </w:r>
    </w:p>
    <w:p w:rsidR="009F37C9" w:rsidRDefault="00296F2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96F28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296F2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DC0719" w:rsidRDefault="00296F28">
      <w:pPr>
        <w:pStyle w:val="Proposal"/>
      </w:pPr>
      <w:r>
        <w:rPr>
          <w:u w:val="single"/>
        </w:rPr>
        <w:t>NOC</w:t>
      </w:r>
      <w:r>
        <w:tab/>
        <w:t>EUR/9A1</w:t>
      </w:r>
      <w:r w:rsidR="006E05CB">
        <w:t>A</w:t>
      </w:r>
      <w:r w:rsidR="001F1E77">
        <w:t>3</w:t>
      </w:r>
      <w:r>
        <w:t>/1</w:t>
      </w:r>
    </w:p>
    <w:p w:rsidR="009F37C9" w:rsidRPr="00DA01D2" w:rsidRDefault="00296F28" w:rsidP="00314618">
      <w:pPr>
        <w:pStyle w:val="Tabletitle"/>
        <w:rPr>
          <w:szCs w:val="20"/>
          <w:rtl/>
        </w:rPr>
      </w:pPr>
      <w:r w:rsidRPr="00DA01D2"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2"/>
        <w:gridCol w:w="2976"/>
        <w:gridCol w:w="2849"/>
      </w:tblGrid>
      <w:tr w:rsidR="0059443D" w:rsidRPr="00E741AA" w:rsidTr="00FE7E6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3D" w:rsidRPr="00E741AA" w:rsidRDefault="00296F2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296F2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296F2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296F2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29"/>
        </w:trPr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790-470</w:t>
            </w:r>
          </w:p>
          <w:p w:rsidR="0059443D" w:rsidRPr="00673737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color w:val="000000"/>
              </w:rPr>
            </w:pPr>
            <w:r w:rsidRPr="00673737">
              <w:rPr>
                <w:b/>
                <w:bCs/>
                <w:rtl/>
              </w:rPr>
              <w:t>إذاعية</w:t>
            </w:r>
          </w:p>
          <w:p w:rsidR="0059443D" w:rsidRPr="00E741AA" w:rsidRDefault="000F155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59443D" w:rsidRPr="00E741AA" w:rsidRDefault="000F155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  <w:rtl/>
              </w:rPr>
            </w:pPr>
            <w:r w:rsidRPr="005117C1">
              <w:rPr>
                <w:rStyle w:val="Tablefreq"/>
                <w:noProof/>
              </w:rPr>
              <w:t>512-470</w:t>
            </w:r>
          </w:p>
          <w:p w:rsidR="0059443D" w:rsidRPr="005375CE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5375CE">
              <w:rPr>
                <w:b/>
                <w:bCs/>
                <w:rtl/>
              </w:rPr>
              <w:t>إذاعية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ثابتة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b/>
                <w:bCs/>
                <w:rtl/>
              </w:rPr>
            </w:pPr>
            <w:r w:rsidRPr="00200828">
              <w:rPr>
                <w:rtl/>
              </w:rPr>
              <w:t>متنقلة</w:t>
            </w:r>
            <w:r>
              <w:rPr>
                <w:rFonts w:hint="cs"/>
                <w:rtl/>
              </w:rPr>
              <w:br/>
            </w:r>
          </w:p>
          <w:p w:rsidR="0059443D" w:rsidRPr="0060213A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60213A">
              <w:rPr>
                <w:rStyle w:val="Artref"/>
                <w:b w:val="0"/>
                <w:bCs w:val="0"/>
              </w:rPr>
              <w:t>293.5   292.5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5117C1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tl/>
              </w:rPr>
            </w:pPr>
            <w:r w:rsidRPr="005117C1">
              <w:rPr>
                <w:rStyle w:val="Tablefreq"/>
              </w:rPr>
              <w:t>585-470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b/>
                <w:bCs/>
                <w:rtl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0F155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Pr="00E741AA" w:rsidRDefault="000F155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59443D" w:rsidRPr="0060213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60213A">
              <w:rPr>
                <w:rStyle w:val="Artref"/>
                <w:b w:val="0"/>
                <w:bCs w:val="0"/>
              </w:rPr>
              <w:t>298.5   291.5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F1558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608-512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60213A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  <w:b w:val="0"/>
                <w:bCs w:val="0"/>
              </w:rPr>
            </w:pPr>
            <w:r w:rsidRPr="0060213A">
              <w:rPr>
                <w:rStyle w:val="Artref"/>
                <w:b w:val="0"/>
                <w:bCs w:val="0"/>
              </w:rPr>
              <w:t>297</w:t>
            </w:r>
            <w:r w:rsidRPr="0060213A">
              <w:t>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0F1558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2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F1558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FA3B95" w:rsidRDefault="000F1558" w:rsidP="003B2BBE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610-585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ملاحة راديوية</w:t>
            </w:r>
          </w:p>
          <w:p w:rsidR="0059443D" w:rsidRPr="0060213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60213A">
              <w:rPr>
                <w:rStyle w:val="Artref"/>
                <w:b w:val="0"/>
                <w:bCs w:val="0"/>
              </w:rPr>
              <w:t>307.5  306.5  305.5  149.5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F1558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614-608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فلك راديوي</w:t>
            </w:r>
          </w:p>
          <w:p w:rsidR="0059443D" w:rsidRPr="005117C1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E741AA">
              <w:rPr>
                <w:rtl/>
              </w:rPr>
              <w:t>متنقلة ساتلية باستثناء المتنقلة</w:t>
            </w:r>
            <w:r w:rsidRPr="00E741AA">
              <w:rPr>
                <w:color w:val="000000"/>
                <w:rtl/>
              </w:rPr>
              <w:br/>
            </w:r>
            <w:r w:rsidRPr="00E741AA">
              <w:rPr>
                <w:rtl/>
              </w:rPr>
              <w:t xml:space="preserve">الساتلية للطيران </w:t>
            </w:r>
            <w:r>
              <w:rPr>
                <w:rFonts w:hint="cs"/>
                <w:rtl/>
              </w:rPr>
              <w:br/>
            </w:r>
            <w:r w:rsidRPr="00E741AA">
              <w:rPr>
                <w:rtl/>
              </w:rPr>
              <w:t>(أرض-فضاء)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5117C1" w:rsidRDefault="000F1558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1884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F1558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FA3B95" w:rsidRDefault="000F1558" w:rsidP="003B2BBE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rStyle w:val="Tablefreq"/>
              </w:rPr>
            </w:pP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FA3B95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890-610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ثابتة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متنقلة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741AA">
              <w:rPr>
                <w:b/>
                <w:bCs/>
                <w:rtl/>
              </w:rPr>
              <w:t xml:space="preserve"> </w:t>
            </w:r>
            <w:bookmarkStart w:id="2" w:name="_GoBack"/>
            <w:r w:rsidRPr="000F1558">
              <w:rPr>
                <w:rStyle w:val="Artref"/>
                <w:b w:val="0"/>
                <w:bCs w:val="0"/>
              </w:rPr>
              <w:t>313A.5</w:t>
            </w:r>
            <w:r w:rsidRPr="000F1558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0F1558">
              <w:rPr>
                <w:rStyle w:val="Artref"/>
                <w:b w:val="0"/>
                <w:bCs w:val="0"/>
              </w:rPr>
              <w:t>317A.5 </w:t>
            </w:r>
            <w:bookmarkEnd w:id="2"/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Default="000F155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F155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F155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F155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Default="000F1558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39701C" w:rsidRDefault="0039701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59443D" w:rsidRPr="00875E05" w:rsidRDefault="00296F28" w:rsidP="003B2BBE">
            <w:pPr>
              <w:pStyle w:val="TabletextS5"/>
              <w:spacing w:before="40" w:after="40" w:line="260" w:lineRule="exact"/>
              <w:ind w:left="227" w:right="57"/>
              <w:rPr>
                <w:rStyle w:val="Artref"/>
              </w:rPr>
            </w:pPr>
            <w:r w:rsidRPr="0060213A">
              <w:rPr>
                <w:rStyle w:val="Artref"/>
                <w:b w:val="0"/>
                <w:bCs w:val="0"/>
              </w:rPr>
              <w:t>149.5</w:t>
            </w:r>
            <w:r w:rsidRPr="0060213A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60213A">
              <w:rPr>
                <w:rStyle w:val="Artref"/>
                <w:b w:val="0"/>
                <w:bCs w:val="0"/>
              </w:rPr>
              <w:t>305.5</w:t>
            </w:r>
            <w:r w:rsidRPr="0060213A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60213A">
              <w:rPr>
                <w:rStyle w:val="Artref"/>
                <w:b w:val="0"/>
                <w:bCs w:val="0"/>
              </w:rPr>
              <w:t>306.5</w:t>
            </w:r>
            <w:r w:rsidRPr="0060213A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60213A">
              <w:rPr>
                <w:rStyle w:val="Artref"/>
                <w:b w:val="0"/>
                <w:bCs w:val="0"/>
              </w:rPr>
              <w:t>307.5</w:t>
            </w:r>
            <w:r w:rsidRPr="0060213A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60213A">
              <w:rPr>
                <w:rStyle w:val="Artref"/>
                <w:b w:val="0"/>
                <w:bCs w:val="0"/>
                <w:rtl/>
              </w:rPr>
              <w:br/>
            </w:r>
            <w:r w:rsidRPr="0060213A">
              <w:rPr>
                <w:rStyle w:val="Artref"/>
                <w:b w:val="0"/>
                <w:bCs w:val="0"/>
              </w:rPr>
              <w:t>311A.5</w:t>
            </w:r>
            <w:r w:rsidRPr="0060213A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60213A">
              <w:rPr>
                <w:rStyle w:val="Artref"/>
                <w:b w:val="0"/>
                <w:bCs w:val="0"/>
              </w:rPr>
              <w:t>320.5</w:t>
            </w:r>
          </w:p>
        </w:tc>
      </w:tr>
      <w:tr w:rsidR="0059443D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36"/>
        </w:trPr>
        <w:tc>
          <w:tcPr>
            <w:tcW w:w="18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43D" w:rsidRPr="005117C1" w:rsidRDefault="000F1558" w:rsidP="003B2BBE">
            <w:pPr>
              <w:spacing w:before="40" w:after="40" w:line="260" w:lineRule="exact"/>
              <w:ind w:left="227" w:right="57" w:hanging="170"/>
              <w:rPr>
                <w:rStyle w:val="Tablefreq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FA3B95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rStyle w:val="Tablefreq"/>
              </w:rPr>
            </w:pPr>
            <w:r w:rsidRPr="00FA3B95">
              <w:rPr>
                <w:rStyle w:val="Tablefreq"/>
              </w:rPr>
              <w:t>698-614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b/>
                <w:bCs/>
                <w:rtl/>
              </w:rPr>
              <w:t>إذاعية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ثابتة</w:t>
            </w:r>
          </w:p>
          <w:p w:rsidR="0059443D" w:rsidRPr="00E741AA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color w:val="000000"/>
              </w:rPr>
            </w:pPr>
            <w:r w:rsidRPr="00E741AA">
              <w:rPr>
                <w:rtl/>
              </w:rPr>
              <w:t>متنقلة</w:t>
            </w:r>
          </w:p>
          <w:p w:rsidR="0059443D" w:rsidRPr="0060213A" w:rsidRDefault="00296F28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b w:val="0"/>
                <w:bCs w:val="0"/>
              </w:rPr>
            </w:pPr>
            <w:r w:rsidRPr="0060213A">
              <w:rPr>
                <w:rStyle w:val="Artref"/>
                <w:b w:val="0"/>
                <w:bCs w:val="0"/>
              </w:rPr>
              <w:t>311A.5  309.5  293.5</w:t>
            </w: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443D" w:rsidRPr="005117C1" w:rsidRDefault="000F1558" w:rsidP="003B2BBE">
            <w:pPr>
              <w:pStyle w:val="IndexHeading"/>
              <w:tabs>
                <w:tab w:val="left" w:pos="1171"/>
              </w:tabs>
              <w:spacing w:before="40" w:after="40" w:line="260" w:lineRule="exact"/>
              <w:ind w:left="227" w:right="57" w:hanging="170"/>
              <w:jc w:val="left"/>
              <w:rPr>
                <w:rStyle w:val="Tablefreq"/>
              </w:rPr>
            </w:pPr>
          </w:p>
        </w:tc>
      </w:tr>
      <w:tr w:rsidR="0039701C" w:rsidRPr="00E741AA" w:rsidTr="009A7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8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1C" w:rsidRPr="00E741AA" w:rsidRDefault="0039701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  <w:rtl/>
              </w:rPr>
            </w:pPr>
          </w:p>
          <w:p w:rsidR="0039701C" w:rsidRPr="00E741AA" w:rsidRDefault="0039701C" w:rsidP="003B2BBE">
            <w:pPr>
              <w:pStyle w:val="TabletextS5"/>
              <w:spacing w:before="40" w:after="40" w:line="260" w:lineRule="exact"/>
              <w:ind w:left="227" w:right="57"/>
              <w:rPr>
                <w:color w:val="000000"/>
              </w:rPr>
            </w:pPr>
          </w:p>
          <w:p w:rsidR="0039701C" w:rsidRPr="00027F2F" w:rsidRDefault="0039701C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rFonts w:ascii="Times New Roman"/>
                <w:b w:val="0"/>
                <w:bCs w:val="0"/>
                <w:color w:val="000000"/>
              </w:rPr>
            </w:pPr>
            <w:r w:rsidRPr="00200828">
              <w:t>149.5</w:t>
            </w:r>
            <w:r w:rsidRPr="00200828">
              <w:rPr>
                <w:rtl/>
              </w:rPr>
              <w:t xml:space="preserve">  </w:t>
            </w:r>
            <w:r w:rsidRPr="00200828">
              <w:t>291A.5</w:t>
            </w:r>
            <w:r w:rsidRPr="00200828">
              <w:rPr>
                <w:rtl/>
              </w:rPr>
              <w:t xml:space="preserve">  </w:t>
            </w:r>
            <w:r w:rsidRPr="00200828">
              <w:t>294.5</w:t>
            </w:r>
            <w:r w:rsidRPr="00200828">
              <w:rPr>
                <w:rtl/>
              </w:rPr>
              <w:t xml:space="preserve">  </w:t>
            </w:r>
            <w:r w:rsidRPr="00200828">
              <w:t>296.5</w:t>
            </w:r>
            <w:r>
              <w:rPr>
                <w:color w:val="000000"/>
              </w:rPr>
              <w:t xml:space="preserve">  </w:t>
            </w:r>
            <w:r w:rsidRPr="00200828">
              <w:rPr>
                <w:rFonts w:hint="cs"/>
                <w:rtl/>
              </w:rPr>
              <w:t xml:space="preserve">  </w:t>
            </w:r>
            <w:r w:rsidRPr="00200828">
              <w:t>300.5</w:t>
            </w:r>
            <w:r>
              <w:rPr>
                <w:rtl/>
              </w:rPr>
              <w:t xml:space="preserve"> </w:t>
            </w:r>
            <w:r w:rsidRPr="00200828">
              <w:rPr>
                <w:rtl/>
              </w:rPr>
              <w:t xml:space="preserve">  </w:t>
            </w:r>
            <w:r>
              <w:br/>
            </w:r>
            <w:r w:rsidRPr="00200828">
              <w:t>304.5</w:t>
            </w:r>
            <w:r w:rsidRPr="00200828">
              <w:rPr>
                <w:rtl/>
              </w:rPr>
              <w:t xml:space="preserve">  </w:t>
            </w:r>
            <w:r w:rsidRPr="00200828">
              <w:t>306.5</w:t>
            </w:r>
            <w:r w:rsidRPr="00200828">
              <w:rPr>
                <w:rFonts w:hint="cs"/>
                <w:rtl/>
              </w:rPr>
              <w:t xml:space="preserve">  </w:t>
            </w:r>
            <w:r w:rsidRPr="00200828">
              <w:t>311A.5</w:t>
            </w:r>
            <w:r w:rsidRPr="00200828">
              <w:rPr>
                <w:rtl/>
              </w:rPr>
              <w:t xml:space="preserve">  </w:t>
            </w:r>
            <w:r>
              <w:t xml:space="preserve"> </w:t>
            </w:r>
            <w:r w:rsidRPr="00200828">
              <w:t>312.5</w:t>
            </w:r>
            <w:r w:rsidRPr="00095370">
              <w:rPr>
                <w:rFonts w:hint="cs"/>
                <w:rtl/>
              </w:rPr>
              <w:t xml:space="preserve"> </w:t>
            </w:r>
            <w:r w:rsidRPr="00AB5CBA">
              <w:t>312A.5</w:t>
            </w:r>
          </w:p>
        </w:tc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01C" w:rsidRPr="00875E05" w:rsidRDefault="0039701C" w:rsidP="003B2BBE">
            <w:pPr>
              <w:pStyle w:val="TabletextS5"/>
              <w:spacing w:before="40" w:after="40" w:line="260" w:lineRule="exact"/>
              <w:ind w:left="340" w:right="57"/>
              <w:rPr>
                <w:rStyle w:val="Artref"/>
                <w:rtl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15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701C" w:rsidRPr="00E741AA" w:rsidRDefault="0039701C" w:rsidP="003B2BBE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  <w:tr w:rsidR="0039701C" w:rsidRPr="00E741AA" w:rsidTr="00602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1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1C" w:rsidRPr="00FA3B95" w:rsidRDefault="0039701C" w:rsidP="003B2BBE">
            <w:pPr>
              <w:pStyle w:val="TabletextS5"/>
              <w:spacing w:before="40" w:after="40" w:line="260" w:lineRule="exact"/>
              <w:ind w:left="227" w:right="57"/>
              <w:rPr>
                <w:rStyle w:val="Tablefreq"/>
                <w:lang w:bidi="ar-SY"/>
              </w:rPr>
            </w:pPr>
            <w:r>
              <w:rPr>
                <w:rStyle w:val="Tablefreq"/>
                <w:rFonts w:hint="cs"/>
                <w:rtl/>
              </w:rPr>
              <w:t>...</w:t>
            </w:r>
          </w:p>
        </w:tc>
        <w:tc>
          <w:tcPr>
            <w:tcW w:w="15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1C" w:rsidRPr="00E741AA" w:rsidRDefault="0039701C" w:rsidP="003B2BBE">
            <w:pPr>
              <w:overflowPunct w:val="0"/>
              <w:autoSpaceDE w:val="0"/>
              <w:autoSpaceDN w:val="0"/>
              <w:adjustRightInd w:val="0"/>
              <w:spacing w:before="40" w:after="40" w:line="260" w:lineRule="exact"/>
              <w:ind w:left="340" w:right="57" w:hanging="17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5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1C" w:rsidRPr="00E741AA" w:rsidRDefault="0039701C" w:rsidP="003B2BBE">
            <w:pPr>
              <w:spacing w:before="40" w:after="40" w:line="260" w:lineRule="exact"/>
              <w:ind w:left="227" w:right="57" w:hanging="170"/>
              <w:rPr>
                <w:b/>
                <w:bCs/>
              </w:rPr>
            </w:pPr>
          </w:p>
        </w:tc>
      </w:tr>
    </w:tbl>
    <w:p w:rsidR="00DC0719" w:rsidRDefault="00296F28" w:rsidP="0060213A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278AF">
        <w:rPr>
          <w:rFonts w:hint="cs"/>
          <w:b w:val="0"/>
          <w:bCs w:val="0"/>
          <w:rtl/>
        </w:rPr>
        <w:t xml:space="preserve">تستعمل الأنظمة الإذاعية للأرض النطاق </w:t>
      </w:r>
      <w:r w:rsidR="00D278AF">
        <w:rPr>
          <w:b w:val="0"/>
          <w:bCs w:val="0"/>
        </w:rPr>
        <w:t>MHz 694</w:t>
      </w:r>
      <w:r w:rsidR="006E05CB">
        <w:rPr>
          <w:b w:val="0"/>
          <w:bCs w:val="0"/>
        </w:rPr>
        <w:noBreakHyphen/>
      </w:r>
      <w:r w:rsidR="0060213A">
        <w:rPr>
          <w:b w:val="0"/>
          <w:bCs w:val="0"/>
        </w:rPr>
        <w:t>47</w:t>
      </w:r>
      <w:r w:rsidR="00D278AF">
        <w:rPr>
          <w:b w:val="0"/>
          <w:bCs w:val="0"/>
        </w:rPr>
        <w:t>0</w:t>
      </w:r>
      <w:r w:rsidR="00D278AF">
        <w:rPr>
          <w:rFonts w:hint="cs"/>
          <w:b w:val="0"/>
          <w:bCs w:val="0"/>
          <w:rtl/>
          <w:lang w:bidi="ar-EG"/>
        </w:rPr>
        <w:t xml:space="preserve"> استعمالاً مكثفاً من أجل توفير المحتوى التلفزيوني ومن أجل الخدمات </w:t>
      </w:r>
      <w:r w:rsidR="00D278AF" w:rsidRPr="00D278AF">
        <w:rPr>
          <w:b w:val="0"/>
          <w:bCs w:val="0"/>
          <w:color w:val="000000"/>
          <w:rtl/>
        </w:rPr>
        <w:t>المساعدة للإذاعة</w:t>
      </w:r>
      <w:r w:rsidR="0060213A">
        <w:rPr>
          <w:rFonts w:hint="cs"/>
          <w:b w:val="0"/>
          <w:bCs w:val="0"/>
          <w:color w:val="000000"/>
          <w:rtl/>
        </w:rPr>
        <w:t> </w:t>
      </w:r>
      <w:r w:rsidR="006E05CB">
        <w:rPr>
          <w:b w:val="0"/>
          <w:bCs w:val="0"/>
          <w:color w:val="000000"/>
        </w:rPr>
        <w:t>(</w:t>
      </w:r>
      <w:r w:rsidR="00D278AF" w:rsidRPr="00D278AF">
        <w:rPr>
          <w:b w:val="0"/>
          <w:bCs w:val="0"/>
          <w:color w:val="000000"/>
        </w:rPr>
        <w:t>SAB</w:t>
      </w:r>
      <w:r w:rsidR="006E05CB">
        <w:rPr>
          <w:b w:val="0"/>
          <w:bCs w:val="0"/>
          <w:color w:val="000000"/>
        </w:rPr>
        <w:t>)</w:t>
      </w:r>
      <w:r w:rsidR="006E05CB">
        <w:rPr>
          <w:b w:val="0"/>
          <w:bCs w:val="0"/>
          <w:color w:val="000000"/>
          <w:rtl/>
        </w:rPr>
        <w:t>/</w:t>
      </w:r>
      <w:r w:rsidR="00D278AF" w:rsidRPr="00D278AF">
        <w:rPr>
          <w:b w:val="0"/>
          <w:bCs w:val="0"/>
          <w:color w:val="000000"/>
          <w:rtl/>
        </w:rPr>
        <w:t>المساعدة للإنتاج</w:t>
      </w:r>
      <w:r w:rsidR="006E05CB">
        <w:rPr>
          <w:rFonts w:hint="cs"/>
          <w:b w:val="0"/>
          <w:bCs w:val="0"/>
          <w:color w:val="000000"/>
          <w:rtl/>
        </w:rPr>
        <w:t> </w:t>
      </w:r>
      <w:r w:rsidR="006E05CB">
        <w:rPr>
          <w:b w:val="0"/>
          <w:bCs w:val="0"/>
          <w:color w:val="000000"/>
        </w:rPr>
        <w:t>(</w:t>
      </w:r>
      <w:r w:rsidR="00D278AF" w:rsidRPr="00D278AF">
        <w:rPr>
          <w:b w:val="0"/>
          <w:bCs w:val="0"/>
          <w:color w:val="000000"/>
        </w:rPr>
        <w:t>SAP</w:t>
      </w:r>
      <w:r w:rsidR="006E05CB">
        <w:rPr>
          <w:b w:val="0"/>
          <w:bCs w:val="0"/>
          <w:color w:val="000000"/>
        </w:rPr>
        <w:t>)</w:t>
      </w:r>
      <w:r w:rsidR="00D278AF" w:rsidRPr="00D278AF">
        <w:rPr>
          <w:rFonts w:hint="cs"/>
          <w:b w:val="0"/>
          <w:bCs w:val="0"/>
          <w:rtl/>
          <w:lang w:bidi="ar-EG"/>
        </w:rPr>
        <w:t xml:space="preserve"> </w:t>
      </w:r>
      <w:r w:rsidR="00D278AF">
        <w:rPr>
          <w:rFonts w:hint="cs"/>
          <w:b w:val="0"/>
          <w:bCs w:val="0"/>
          <w:rtl/>
          <w:lang w:bidi="ar-EG"/>
        </w:rPr>
        <w:t xml:space="preserve">في العديد من البلدان الأوروبية. وتمثل عموماً المنصة التلفزيونية الوحيدة لتقديم برامج تلفزيونية مجانية للمواطنين. </w:t>
      </w:r>
      <w:r w:rsidR="00492459">
        <w:rPr>
          <w:rFonts w:hint="cs"/>
          <w:b w:val="0"/>
          <w:bCs w:val="0"/>
          <w:rtl/>
          <w:lang w:bidi="ar-EG"/>
        </w:rPr>
        <w:t xml:space="preserve">وإضافة إلى ذلك، </w:t>
      </w:r>
      <w:r w:rsidR="00852FA6">
        <w:rPr>
          <w:rFonts w:hint="cs"/>
          <w:b w:val="0"/>
          <w:bCs w:val="0"/>
          <w:rtl/>
          <w:lang w:bidi="ar-EG"/>
        </w:rPr>
        <w:t>تخضع</w:t>
      </w:r>
      <w:r w:rsidR="00492459">
        <w:rPr>
          <w:rFonts w:hint="cs"/>
          <w:b w:val="0"/>
          <w:bCs w:val="0"/>
          <w:rtl/>
          <w:lang w:bidi="ar-EG"/>
        </w:rPr>
        <w:t xml:space="preserve"> الخدمة الإذاعية حالياً </w:t>
      </w:r>
      <w:r w:rsidR="00852FA6">
        <w:rPr>
          <w:rFonts w:hint="cs"/>
          <w:b w:val="0"/>
          <w:bCs w:val="0"/>
          <w:rtl/>
          <w:lang w:bidi="ar-EG"/>
        </w:rPr>
        <w:t>لعملية</w:t>
      </w:r>
      <w:r w:rsidR="00492459">
        <w:rPr>
          <w:rFonts w:hint="cs"/>
          <w:b w:val="0"/>
          <w:bCs w:val="0"/>
          <w:rtl/>
          <w:lang w:bidi="ar-EG"/>
        </w:rPr>
        <w:t xml:space="preserve"> الانتقال من البث الإذاعي عادي الوضوح إلى البث الإذاعي عالي الوضوح. ويمكن أن يؤدي توزيع طيف إضافي على أساس أولي للخدمة المتنقلة </w:t>
      </w:r>
      <w:r w:rsidR="00852FA6">
        <w:rPr>
          <w:rFonts w:hint="cs"/>
          <w:b w:val="0"/>
          <w:bCs w:val="0"/>
          <w:rtl/>
          <w:lang w:bidi="ar-EG"/>
        </w:rPr>
        <w:t xml:space="preserve">في هذا النطاق </w:t>
      </w:r>
      <w:r w:rsidR="00722AEA">
        <w:rPr>
          <w:rFonts w:hint="cs"/>
          <w:b w:val="0"/>
          <w:bCs w:val="0"/>
          <w:rtl/>
          <w:lang w:bidi="ar-EG"/>
        </w:rPr>
        <w:t>إلى تقييد</w:t>
      </w:r>
      <w:r w:rsidR="00492459">
        <w:rPr>
          <w:rFonts w:hint="cs"/>
          <w:b w:val="0"/>
          <w:bCs w:val="0"/>
          <w:rtl/>
          <w:lang w:bidi="ar-EG"/>
        </w:rPr>
        <w:t xml:space="preserve"> تطور الخدمة الإذاعية</w:t>
      </w:r>
      <w:r w:rsidR="006E05CB">
        <w:rPr>
          <w:rFonts w:hint="cs"/>
          <w:b w:val="0"/>
          <w:bCs w:val="0"/>
          <w:color w:val="000000"/>
          <w:rtl/>
        </w:rPr>
        <w:t> </w:t>
      </w:r>
      <w:r w:rsidR="00492459">
        <w:rPr>
          <w:rFonts w:hint="cs"/>
          <w:b w:val="0"/>
          <w:bCs w:val="0"/>
          <w:rtl/>
          <w:lang w:bidi="ar-EG"/>
        </w:rPr>
        <w:t>مستقبلاً.</w:t>
      </w:r>
    </w:p>
    <w:p w:rsidR="00116144" w:rsidRPr="00116144" w:rsidRDefault="006E05CB" w:rsidP="0060213A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وسيلزم توفير</w:t>
      </w:r>
      <w:r w:rsidR="00116144">
        <w:rPr>
          <w:rFonts w:hint="cs"/>
          <w:rtl/>
          <w:lang w:bidi="ar-EG"/>
        </w:rPr>
        <w:t xml:space="preserve"> مسافات فصل كبيرة بين أنظمة الاتصالات المتنقلة الدولية والأنظمة الإذاعية مما</w:t>
      </w:r>
      <w:r>
        <w:rPr>
          <w:rFonts w:hint="eastAsia"/>
          <w:rtl/>
          <w:lang w:bidi="ar-EG"/>
        </w:rPr>
        <w:t> </w:t>
      </w:r>
      <w:r w:rsidR="00116144">
        <w:rPr>
          <w:rFonts w:hint="cs"/>
          <w:rtl/>
          <w:lang w:bidi="ar-EG"/>
        </w:rPr>
        <w:t>يجعل تقاسم النطاق ذاته بين هاتين الخدمتين غير</w:t>
      </w:r>
      <w:r>
        <w:rPr>
          <w:rFonts w:hint="eastAsia"/>
          <w:rtl/>
          <w:lang w:bidi="ar-EG"/>
        </w:rPr>
        <w:t> </w:t>
      </w:r>
      <w:r w:rsidR="00116144">
        <w:rPr>
          <w:rFonts w:hint="cs"/>
          <w:rtl/>
          <w:lang w:bidi="ar-EG"/>
        </w:rPr>
        <w:t>ممكن.</w:t>
      </w:r>
    </w:p>
    <w:p w:rsidR="0039701C" w:rsidRDefault="00B20757" w:rsidP="0060213A">
      <w:pPr>
        <w:keepNext/>
        <w:keepLines/>
        <w:rPr>
          <w:rtl/>
          <w:lang w:bidi="ar-EG"/>
        </w:rPr>
      </w:pPr>
      <w:r>
        <w:rPr>
          <w:rFonts w:hint="cs"/>
          <w:rtl/>
        </w:rPr>
        <w:t xml:space="preserve">ملاحظة: </w:t>
      </w:r>
      <w:r w:rsidR="005F20D4">
        <w:rPr>
          <w:rFonts w:hint="cs"/>
          <w:rtl/>
        </w:rPr>
        <w:t xml:space="preserve">هذا المقترح بشأن عدم إدخال أي تعديل فيما </w:t>
      </w:r>
      <w:r w:rsidR="00B20FD0">
        <w:rPr>
          <w:rFonts w:hint="cs"/>
          <w:rtl/>
        </w:rPr>
        <w:t>يخص</w:t>
      </w:r>
      <w:r w:rsidR="005F20D4">
        <w:rPr>
          <w:rFonts w:hint="cs"/>
          <w:rtl/>
        </w:rPr>
        <w:t xml:space="preserve"> النطاق </w:t>
      </w:r>
      <w:r w:rsidR="00B86FA4">
        <w:rPr>
          <w:lang w:bidi="ar-EG"/>
        </w:rPr>
        <w:t>MHz 694-470</w:t>
      </w:r>
      <w:r w:rsidR="00B86FA4">
        <w:rPr>
          <w:rFonts w:hint="cs"/>
          <w:rtl/>
          <w:lang w:bidi="ar-EG"/>
        </w:rPr>
        <w:t xml:space="preserve"> </w:t>
      </w:r>
      <w:r w:rsidR="0016603E">
        <w:rPr>
          <w:rFonts w:hint="cs"/>
          <w:rtl/>
        </w:rPr>
        <w:t xml:space="preserve">ينبغي استعراضه </w:t>
      </w:r>
      <w:r w:rsidR="00B86FA4">
        <w:rPr>
          <w:rFonts w:hint="cs"/>
          <w:rtl/>
          <w:lang w:bidi="ar-EG"/>
        </w:rPr>
        <w:t xml:space="preserve">مع اقتراحات التعديل المتعلق بالنطاق </w:t>
      </w:r>
      <w:r w:rsidR="00B86FA4">
        <w:rPr>
          <w:lang w:bidi="ar-EG"/>
        </w:rPr>
        <w:t>MHz 790-694</w:t>
      </w:r>
      <w:r w:rsidR="00B86FA4">
        <w:rPr>
          <w:rFonts w:hint="cs"/>
          <w:rtl/>
          <w:lang w:bidi="ar-EG"/>
        </w:rPr>
        <w:t xml:space="preserve"> في إطار البند </w:t>
      </w:r>
      <w:r w:rsidR="00B86FA4">
        <w:rPr>
          <w:lang w:bidi="ar-EG"/>
        </w:rPr>
        <w:t>2.1</w:t>
      </w:r>
      <w:r w:rsidR="00B86FA4">
        <w:rPr>
          <w:rFonts w:hint="cs"/>
          <w:rtl/>
          <w:lang w:bidi="ar-EG"/>
        </w:rPr>
        <w:t xml:space="preserve"> من جدول أعمال المؤتمر.</w:t>
      </w:r>
    </w:p>
    <w:p w:rsidR="004D7D38" w:rsidRPr="00B86FA4" w:rsidRDefault="004D7D38" w:rsidP="004D7D38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D7D38" w:rsidRPr="00B86FA4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28" w:rsidRPr="00296F28" w:rsidRDefault="00296F28" w:rsidP="00296F28">
    <w:pPr>
      <w:pStyle w:val="Footer"/>
    </w:pPr>
    <w:r>
      <w:fldChar w:fldCharType="begin"/>
    </w:r>
    <w:r w:rsidRPr="00296F28">
      <w:instrText xml:space="preserve"> FILENAME \p \* MERGEFORMAT </w:instrText>
    </w:r>
    <w:r>
      <w:fldChar w:fldCharType="separate"/>
    </w:r>
    <w:r w:rsidR="000F1558">
      <w:rPr>
        <w:noProof/>
      </w:rPr>
      <w:t>P:\ARA\ITU-R\CONF-R\CMR15\000\009ADD01ADD03A.docx</w:t>
    </w:r>
    <w:r>
      <w:fldChar w:fldCharType="end"/>
    </w:r>
    <w:r w:rsidRPr="00296F28">
      <w:t xml:space="preserve">   (</w:t>
    </w:r>
    <w:r>
      <w:t>383786</w:t>
    </w:r>
    <w:r w:rsidRPr="00296F28">
      <w:t>)</w:t>
    </w:r>
    <w:r w:rsidRPr="00296F2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1558">
      <w:rPr>
        <w:noProof/>
      </w:rPr>
      <w:t>17.07.15</w:t>
    </w:r>
    <w:r w:rsidRPr="00B12661">
      <w:fldChar w:fldCharType="end"/>
    </w:r>
    <w:r w:rsidRPr="00296F2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F1558">
      <w:rPr>
        <w:noProof/>
      </w:rPr>
      <w:t>17.07.15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96F28" w:rsidRDefault="00281F5F" w:rsidP="00296F28">
    <w:pPr>
      <w:pStyle w:val="Footer"/>
    </w:pPr>
    <w:r>
      <w:fldChar w:fldCharType="begin"/>
    </w:r>
    <w:r w:rsidRPr="00296F28">
      <w:instrText xml:space="preserve"> FILENAME \p \* MERGEFORMAT </w:instrText>
    </w:r>
    <w:r>
      <w:fldChar w:fldCharType="separate"/>
    </w:r>
    <w:r w:rsidR="000F1558">
      <w:rPr>
        <w:noProof/>
      </w:rPr>
      <w:t>P:\ARA\ITU-R\CONF-R\CMR15\000\009ADD01ADD03A.docx</w:t>
    </w:r>
    <w:r>
      <w:fldChar w:fldCharType="end"/>
    </w:r>
    <w:r w:rsidRPr="00296F28">
      <w:t xml:space="preserve">   (</w:t>
    </w:r>
    <w:r w:rsidR="00296F28">
      <w:t>383786</w:t>
    </w:r>
    <w:r w:rsidRPr="00296F28">
      <w:t>)</w:t>
    </w:r>
    <w:r w:rsidRPr="00296F2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F1558">
      <w:rPr>
        <w:noProof/>
      </w:rPr>
      <w:t>17.07.15</w:t>
    </w:r>
    <w:r w:rsidRPr="00B12661">
      <w:fldChar w:fldCharType="end"/>
    </w:r>
    <w:r w:rsidRPr="00296F2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F1558">
      <w:rPr>
        <w:noProof/>
      </w:rPr>
      <w:t>17.07.15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F1558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9(Add.1)(Add.3)-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1558"/>
    <w:rsid w:val="000F28EA"/>
    <w:rsid w:val="000F518F"/>
    <w:rsid w:val="0010081C"/>
    <w:rsid w:val="001013E3"/>
    <w:rsid w:val="0010363F"/>
    <w:rsid w:val="00116144"/>
    <w:rsid w:val="00133D13"/>
    <w:rsid w:val="001464F2"/>
    <w:rsid w:val="001629EC"/>
    <w:rsid w:val="0016603E"/>
    <w:rsid w:val="00167364"/>
    <w:rsid w:val="00177F9E"/>
    <w:rsid w:val="001903B2"/>
    <w:rsid w:val="001964E3"/>
    <w:rsid w:val="001D1A71"/>
    <w:rsid w:val="001E190C"/>
    <w:rsid w:val="001E54F6"/>
    <w:rsid w:val="001E5A8C"/>
    <w:rsid w:val="001F1E77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96F28"/>
    <w:rsid w:val="002A4572"/>
    <w:rsid w:val="002A7E2E"/>
    <w:rsid w:val="002B16D8"/>
    <w:rsid w:val="002D5F64"/>
    <w:rsid w:val="002D6FBF"/>
    <w:rsid w:val="002E48BF"/>
    <w:rsid w:val="002E61C2"/>
    <w:rsid w:val="002F7BAA"/>
    <w:rsid w:val="0033737F"/>
    <w:rsid w:val="00353652"/>
    <w:rsid w:val="003569E1"/>
    <w:rsid w:val="003815E2"/>
    <w:rsid w:val="00381FAD"/>
    <w:rsid w:val="00382A66"/>
    <w:rsid w:val="003923B1"/>
    <w:rsid w:val="003965FE"/>
    <w:rsid w:val="0039701C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1E9B"/>
    <w:rsid w:val="00422C04"/>
    <w:rsid w:val="00426144"/>
    <w:rsid w:val="00461FA7"/>
    <w:rsid w:val="00470CBD"/>
    <w:rsid w:val="0047407D"/>
    <w:rsid w:val="004909DD"/>
    <w:rsid w:val="00492459"/>
    <w:rsid w:val="004A05E6"/>
    <w:rsid w:val="004A6C66"/>
    <w:rsid w:val="004A7AA0"/>
    <w:rsid w:val="004C11BC"/>
    <w:rsid w:val="004D4AE6"/>
    <w:rsid w:val="004D747B"/>
    <w:rsid w:val="004D7D38"/>
    <w:rsid w:val="004E34FA"/>
    <w:rsid w:val="004F64D2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E11F2"/>
    <w:rsid w:val="005F05CC"/>
    <w:rsid w:val="005F20D4"/>
    <w:rsid w:val="005F65DE"/>
    <w:rsid w:val="0060213A"/>
    <w:rsid w:val="00613492"/>
    <w:rsid w:val="006315B5"/>
    <w:rsid w:val="00651343"/>
    <w:rsid w:val="0065562F"/>
    <w:rsid w:val="00680A66"/>
    <w:rsid w:val="00681391"/>
    <w:rsid w:val="006930B2"/>
    <w:rsid w:val="006A12AC"/>
    <w:rsid w:val="006A2162"/>
    <w:rsid w:val="006B0D94"/>
    <w:rsid w:val="006B4B90"/>
    <w:rsid w:val="006B658C"/>
    <w:rsid w:val="006D2674"/>
    <w:rsid w:val="006E05CB"/>
    <w:rsid w:val="006E38D0"/>
    <w:rsid w:val="006E465B"/>
    <w:rsid w:val="006F70BF"/>
    <w:rsid w:val="00716B1D"/>
    <w:rsid w:val="00722AEA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2FA6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5423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1C1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3675"/>
    <w:rsid w:val="00B1714C"/>
    <w:rsid w:val="00B20757"/>
    <w:rsid w:val="00B20FD0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86FA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278AF"/>
    <w:rsid w:val="00D419CB"/>
    <w:rsid w:val="00D44350"/>
    <w:rsid w:val="00D44E3F"/>
    <w:rsid w:val="00D47781"/>
    <w:rsid w:val="00D525F5"/>
    <w:rsid w:val="00D535D0"/>
    <w:rsid w:val="00D62C78"/>
    <w:rsid w:val="00D81703"/>
    <w:rsid w:val="00D82929"/>
    <w:rsid w:val="00D84214"/>
    <w:rsid w:val="00D943E5"/>
    <w:rsid w:val="00DA1AE0"/>
    <w:rsid w:val="00DC0719"/>
    <w:rsid w:val="00DC29DD"/>
    <w:rsid w:val="00DC7C0E"/>
    <w:rsid w:val="00DF2A6A"/>
    <w:rsid w:val="00DF3B72"/>
    <w:rsid w:val="00E05E7D"/>
    <w:rsid w:val="00E10821"/>
    <w:rsid w:val="00E165ED"/>
    <w:rsid w:val="00E2489D"/>
    <w:rsid w:val="00E25C06"/>
    <w:rsid w:val="00E261ED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EF4AC6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693F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BFB1B06-93FA-4C12-BF76-4A62D176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R15-WRC15-C-0009!A1-A3!MSW-A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37582-A648-44CC-9DB6-014CF5C29699}">
  <ds:schemaRefs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1B1C89-6DDE-4108-B7C1-D725547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R15-WRC15-C-0009!A1-A3!MSW-A</vt:lpstr>
    </vt:vector>
  </TitlesOfParts>
  <Manager>General Secretariat - Pool</Manager>
  <Company>International Telecommunication Union (ITU)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R15-WRC15-C-0009!A1-A3!MSW-A</dc:title>
  <dc:creator>Documents Proposals Manager (DPM)</dc:creator>
  <cp:keywords>DPM_v5.2015.7.6_prod</cp:keywords>
  <cp:lastModifiedBy>Ajlouni, Nour</cp:lastModifiedBy>
  <cp:revision>9</cp:revision>
  <cp:lastPrinted>2015-07-17T10:16:00Z</cp:lastPrinted>
  <dcterms:created xsi:type="dcterms:W3CDTF">2015-07-17T09:36:00Z</dcterms:created>
  <dcterms:modified xsi:type="dcterms:W3CDTF">2015-07-17T10:18:00Z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