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E7907" w:rsidRDefault="003E1608" w:rsidP="00EE7907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EE7907">
              <w:rPr>
                <w:rtl/>
              </w:rPr>
              <w:t xml:space="preserve">الإضافة </w:t>
            </w:r>
            <w:r w:rsidRPr="00EE7907">
              <w:t>5</w:t>
            </w:r>
            <w:r w:rsidRPr="00EE7907">
              <w:br/>
            </w:r>
            <w:r w:rsidRPr="00EE7907">
              <w:rPr>
                <w:rtl/>
              </w:rPr>
              <w:t xml:space="preserve">للوثيقة </w:t>
            </w:r>
            <w:r w:rsidRPr="00EE7907">
              <w:t>9(Add.1)</w:t>
            </w:r>
            <w:r w:rsidR="00EE7907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E790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EE7907">
              <w:rPr>
                <w:rFonts w:eastAsia="SimSun"/>
              </w:rPr>
              <w:t>24</w:t>
            </w:r>
            <w:r w:rsidRPr="00EE7907">
              <w:rPr>
                <w:rFonts w:eastAsia="SimSun"/>
                <w:rtl/>
              </w:rPr>
              <w:t xml:space="preserve"> يونيو </w:t>
            </w:r>
            <w:r w:rsidRPr="00EE790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E790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EE7907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E7907" w:rsidRDefault="00764079" w:rsidP="00600915">
            <w:pPr>
              <w:pStyle w:val="Source"/>
              <w:rPr>
                <w:rFonts w:ascii="Times New Roman" w:hAnsi="Times New Roman"/>
                <w:rtl/>
              </w:rPr>
            </w:pPr>
            <w:r w:rsidRPr="00EE7907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EE7907" w:rsidRPr="00EE7907">
              <w:rPr>
                <w:rFonts w:ascii="Times New Roman" w:eastAsia="SimSun" w:hAnsi="Times New Roman"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E7907" w:rsidRDefault="00EE7907" w:rsidP="00D44350">
            <w:pPr>
              <w:pStyle w:val="Title1"/>
              <w:spacing w:before="240"/>
              <w:rPr>
                <w:rtl/>
              </w:rPr>
            </w:pPr>
            <w:r w:rsidRPr="00EE7907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E7907" w:rsidRDefault="00764079" w:rsidP="00EE7907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E7907" w:rsidRDefault="00764079" w:rsidP="00EE7907">
            <w:pPr>
              <w:pStyle w:val="Agendaitem"/>
              <w:spacing w:before="240" w:line="192" w:lineRule="auto"/>
            </w:pPr>
            <w:r w:rsidRPr="00EE7907">
              <w:rPr>
                <w:rFonts w:eastAsia="SimSun"/>
                <w:rtl/>
              </w:rPr>
              <w:t xml:space="preserve">البنـد </w:t>
            </w:r>
            <w:r w:rsidR="00EE7907" w:rsidRPr="00EE7907">
              <w:rPr>
                <w:rFonts w:eastAsia="SimSun"/>
              </w:rPr>
              <w:t>1.1</w:t>
            </w:r>
            <w:r w:rsidRPr="00EE7907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AF3C6C" w:rsidP="00D71AD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Pr="00600915" w:rsidRDefault="00600915" w:rsidP="001E0D8B">
      <w:pPr>
        <w:pStyle w:val="Chaptitle"/>
        <w:rPr>
          <w:b/>
          <w:bCs/>
          <w:rtl/>
          <w:lang w:val="en-US"/>
        </w:rPr>
      </w:pPr>
      <w:r>
        <w:rPr>
          <w:rFonts w:hint="cs"/>
          <w:b/>
          <w:bCs/>
          <w:rtl/>
        </w:rPr>
        <w:t xml:space="preserve">مقترحات أوروبية بشأن عدم إدخال تعديلات على توزيعات لخدمات في المادة </w:t>
      </w:r>
      <w:r>
        <w:rPr>
          <w:b/>
          <w:bCs/>
          <w:lang w:val="en-US"/>
        </w:rPr>
        <w:t>5</w:t>
      </w:r>
    </w:p>
    <w:p w:rsidR="00D71AD4" w:rsidRDefault="00D71AD4" w:rsidP="00D71AD4">
      <w:pPr>
        <w:pStyle w:val="Chaptitle"/>
        <w:rPr>
          <w:b/>
          <w:bCs/>
          <w:rtl/>
        </w:rPr>
      </w:pPr>
      <w:r w:rsidRPr="00D71AD4">
        <w:rPr>
          <w:b/>
          <w:bCs/>
        </w:rPr>
        <w:t>MHz 4 200-3 800</w:t>
      </w:r>
    </w:p>
    <w:p w:rsidR="00D71AD4" w:rsidRDefault="00D71AD4" w:rsidP="00D71AD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71AD4" w:rsidRDefault="00600915" w:rsidP="00D71AD4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يُوزع النطاق </w:t>
      </w:r>
      <w:r>
        <w:rPr>
          <w:lang w:bidi="ar-SY"/>
        </w:rPr>
        <w:t>MHz 4 200-3 800</w:t>
      </w:r>
      <w:r>
        <w:rPr>
          <w:rFonts w:hint="cs"/>
          <w:rtl/>
          <w:lang w:bidi="ar-EG"/>
        </w:rPr>
        <w:t xml:space="preserve"> للخدمة الثابتة والخدمة الثابتة الساتلية (فضاء-أرض) على أساس أولي في جميع أقاليم قطاع الاتصالات الراديوية.</w:t>
      </w:r>
    </w:p>
    <w:p w:rsidR="00600915" w:rsidRDefault="00600915" w:rsidP="00AF19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وتستعمل الخدمة الثابتة الساتلية هذا النطاق بشكل مكثف في العديد من البلدان في العالم </w:t>
      </w:r>
      <w:r w:rsidR="00AF7C1D">
        <w:rPr>
          <w:rFonts w:hint="cs"/>
          <w:rtl/>
          <w:lang w:bidi="ar-EG"/>
        </w:rPr>
        <w:t xml:space="preserve">كما أن منظمات من قبيل منظمة الطيران المدني الدولي والمنظمة العالمية للأرصاد الجوية ومنظمة الصحة العالمية تعتمد </w:t>
      </w:r>
      <w:r w:rsidR="001E0D8B">
        <w:rPr>
          <w:rFonts w:hint="cs"/>
          <w:rtl/>
          <w:lang w:bidi="ar-EG"/>
        </w:rPr>
        <w:t xml:space="preserve">على </w:t>
      </w:r>
      <w:r w:rsidR="00AF7C1D">
        <w:rPr>
          <w:rFonts w:hint="cs"/>
          <w:rtl/>
          <w:lang w:bidi="ar-EG"/>
        </w:rPr>
        <w:t>الخدمة الثابتة الساتلية في</w:t>
      </w:r>
      <w:r w:rsidR="00AF198A">
        <w:rPr>
          <w:rFonts w:hint="eastAsia"/>
          <w:rtl/>
          <w:lang w:bidi="ar-EG"/>
        </w:rPr>
        <w:t> </w:t>
      </w:r>
      <w:r w:rsidR="00AF7C1D">
        <w:rPr>
          <w:rFonts w:hint="cs"/>
          <w:rtl/>
          <w:lang w:bidi="ar-EG"/>
        </w:rPr>
        <w:t>هذا</w:t>
      </w:r>
      <w:r w:rsidR="00AF198A">
        <w:rPr>
          <w:rFonts w:hint="eastAsia"/>
          <w:rtl/>
          <w:lang w:bidi="ar-EG"/>
        </w:rPr>
        <w:t> </w:t>
      </w:r>
      <w:r w:rsidR="00AF7C1D">
        <w:rPr>
          <w:rFonts w:hint="cs"/>
          <w:rtl/>
          <w:lang w:bidi="ar-EG"/>
        </w:rPr>
        <w:t>النطاق.</w:t>
      </w:r>
    </w:p>
    <w:p w:rsidR="0078693D" w:rsidRDefault="00AF7C1D" w:rsidP="000474A4">
      <w:pPr>
        <w:rPr>
          <w:rtl/>
        </w:rPr>
      </w:pPr>
      <w:r>
        <w:rPr>
          <w:rFonts w:hint="cs"/>
          <w:rtl/>
          <w:lang w:bidi="ar-SY"/>
        </w:rPr>
        <w:t>وتشير دراسات التقاسم إلى أنه</w:t>
      </w:r>
      <w:r w:rsidR="00D536D8">
        <w:rPr>
          <w:rFonts w:hint="cs"/>
          <w:rtl/>
        </w:rPr>
        <w:t xml:space="preserve"> </w:t>
      </w:r>
      <w:r w:rsidR="0078693D" w:rsidRPr="0078693D">
        <w:rPr>
          <w:rFonts w:hint="cs"/>
          <w:rtl/>
        </w:rPr>
        <w:t xml:space="preserve">عندما تكون محطات أرضية للخدمة الثابتة الساتلية </w:t>
      </w:r>
      <w:r w:rsidR="00F74078">
        <w:rPr>
          <w:color w:val="000000"/>
          <w:rtl/>
        </w:rPr>
        <w:t>منتشرة بصورة شاملة نمطية أو</w:t>
      </w:r>
      <w:r w:rsidR="00AF198A">
        <w:rPr>
          <w:rFonts w:hint="eastAsia"/>
          <w:rtl/>
          <w:lang w:bidi="ar-EG"/>
        </w:rPr>
        <w:t> </w:t>
      </w:r>
      <w:r w:rsidR="00F74078">
        <w:rPr>
          <w:color w:val="000000"/>
          <w:rtl/>
        </w:rPr>
        <w:t xml:space="preserve">دون حيازتها لرخص فردية، لا يمكن </w:t>
      </w:r>
      <w:r w:rsidR="000474A4">
        <w:rPr>
          <w:rFonts w:hint="cs"/>
          <w:color w:val="000000"/>
          <w:rtl/>
        </w:rPr>
        <w:t>ال</w:t>
      </w:r>
      <w:r w:rsidR="00F74078">
        <w:rPr>
          <w:color w:val="000000"/>
          <w:rtl/>
        </w:rPr>
        <w:t>تقاسم بين الاتصالات المتنقلة الدولية-المتقدمة والخدمة الثابتة الساتلية في المنطقة الجغرافية ذاتها لأنّه لا</w:t>
      </w:r>
      <w:r w:rsidR="00AF198A">
        <w:rPr>
          <w:rFonts w:hint="eastAsia"/>
          <w:rtl/>
          <w:lang w:bidi="ar-EG"/>
        </w:rPr>
        <w:t> </w:t>
      </w:r>
      <w:r w:rsidR="00F74078">
        <w:rPr>
          <w:color w:val="000000"/>
          <w:rtl/>
        </w:rPr>
        <w:t>يمكن ضمان مسافة حماية</w:t>
      </w:r>
      <w:r w:rsidR="00AF198A">
        <w:rPr>
          <w:rFonts w:hint="eastAsia"/>
          <w:rtl/>
          <w:lang w:bidi="ar-EG"/>
        </w:rPr>
        <w:t> </w:t>
      </w:r>
      <w:r w:rsidR="00F74078">
        <w:rPr>
          <w:color w:val="000000"/>
          <w:rtl/>
        </w:rPr>
        <w:t>دنيا</w:t>
      </w:r>
      <w:r w:rsidR="00F74078">
        <w:rPr>
          <w:rFonts w:hint="cs"/>
          <w:rtl/>
        </w:rPr>
        <w:t>.</w:t>
      </w:r>
    </w:p>
    <w:p w:rsidR="00F74078" w:rsidRDefault="00F74078" w:rsidP="005F6E52">
      <w:pPr>
        <w:rPr>
          <w:rtl/>
          <w:lang w:bidi="ar-EG"/>
        </w:rPr>
      </w:pPr>
      <w:r>
        <w:rPr>
          <w:rFonts w:hint="cs"/>
          <w:rtl/>
          <w:lang w:bidi="ar-EG"/>
        </w:rPr>
        <w:t>ولذلك، لا</w:t>
      </w:r>
      <w:r w:rsidR="00AF198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تؤيد أوروبا توزيعاً على أساس أولي</w:t>
      </w:r>
      <w:r w:rsidR="001D78D5" w:rsidRPr="001D78D5">
        <w:rPr>
          <w:rFonts w:hint="cs"/>
          <w:rtl/>
          <w:lang w:bidi="ar-EG"/>
        </w:rPr>
        <w:t xml:space="preserve"> </w:t>
      </w:r>
      <w:r w:rsidR="001D78D5">
        <w:rPr>
          <w:rFonts w:hint="cs"/>
          <w:rtl/>
          <w:lang w:bidi="ar-EG"/>
        </w:rPr>
        <w:t>للخدمة المتنقلة في</w:t>
      </w:r>
      <w:r w:rsidR="00CC1511">
        <w:rPr>
          <w:rFonts w:hint="eastAsia"/>
          <w:rtl/>
          <w:lang w:bidi="ar-EG"/>
        </w:rPr>
        <w:t> </w:t>
      </w:r>
      <w:r w:rsidR="00CC1511">
        <w:rPr>
          <w:rFonts w:hint="cs"/>
          <w:rtl/>
          <w:lang w:bidi="ar-EG"/>
        </w:rPr>
        <w:t xml:space="preserve">نطاق التردد </w:t>
      </w:r>
      <w:r w:rsidR="001D78D5">
        <w:rPr>
          <w:rFonts w:hint="cs"/>
          <w:rtl/>
          <w:lang w:bidi="ar-EG"/>
        </w:rPr>
        <w:t>هذا</w:t>
      </w:r>
      <w:r w:rsidR="00CC1511">
        <w:rPr>
          <w:rFonts w:hint="cs"/>
          <w:rtl/>
          <w:lang w:bidi="ar-EG"/>
        </w:rPr>
        <w:t xml:space="preserve"> ولا</w:t>
      </w:r>
      <w:r w:rsidR="00CC151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تحديد هذا النطاق لأنظمة الاتصالات المتنقلة</w:t>
      </w:r>
      <w:r w:rsidR="00AF198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الدولية.</w:t>
      </w:r>
    </w:p>
    <w:p w:rsidR="009F37C9" w:rsidRDefault="00AF3C6C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F3C6C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F3C6C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4F29A4" w:rsidRDefault="00AF3C6C">
      <w:pPr>
        <w:pStyle w:val="Proposal"/>
      </w:pPr>
      <w:r>
        <w:rPr>
          <w:u w:val="single"/>
        </w:rPr>
        <w:t>NOC</w:t>
      </w:r>
      <w:r>
        <w:tab/>
        <w:t>EUR/9A1</w:t>
      </w:r>
      <w:r w:rsidR="00CC1511">
        <w:t>A5</w:t>
      </w:r>
      <w:r>
        <w:t>/1</w:t>
      </w:r>
    </w:p>
    <w:p w:rsidR="009F37C9" w:rsidRPr="002F7F63" w:rsidRDefault="00AF3C6C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098"/>
        <w:gridCol w:w="3139"/>
      </w:tblGrid>
      <w:tr w:rsidR="006339CB" w:rsidRPr="006253DB" w:rsidTr="00DD232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AF3C6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5F6E52">
        <w:trPr>
          <w:cantSplit/>
          <w:jc w:val="right"/>
        </w:trPr>
        <w:tc>
          <w:tcPr>
            <w:tcW w:w="16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AF3C6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AF3C6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AF3C6C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D232B" w:rsidRPr="006253DB" w:rsidTr="0079179D">
        <w:trPr>
          <w:cantSplit/>
          <w:trHeight w:val="1333"/>
          <w:jc w:val="right"/>
        </w:trPr>
        <w:tc>
          <w:tcPr>
            <w:tcW w:w="16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2B" w:rsidRDefault="00DD232B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  <w:rtl/>
              </w:rPr>
            </w:pPr>
            <w:r>
              <w:rPr>
                <w:rStyle w:val="Tablefreq"/>
                <w:rFonts w:hint="cs"/>
                <w:sz w:val="16"/>
                <w:szCs w:val="22"/>
                <w:rtl/>
              </w:rPr>
              <w:t>...</w:t>
            </w:r>
          </w:p>
          <w:p w:rsidR="00DD232B" w:rsidRDefault="00DD232B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  <w:rtl/>
              </w:rPr>
            </w:pPr>
          </w:p>
          <w:p w:rsidR="00DD232B" w:rsidRDefault="00DD232B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  <w:rtl/>
              </w:rPr>
            </w:pPr>
          </w:p>
          <w:p w:rsidR="00DD232B" w:rsidRDefault="00DD232B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  <w:rtl/>
              </w:rPr>
            </w:pPr>
          </w:p>
          <w:p w:rsidR="00DD232B" w:rsidRDefault="00DD232B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  <w:rtl/>
              </w:rPr>
            </w:pPr>
          </w:p>
          <w:p w:rsidR="00DD232B" w:rsidRPr="00EF63E8" w:rsidRDefault="00DD232B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DD232B" w:rsidRPr="00EF63E8" w:rsidRDefault="00DD232B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D232B" w:rsidRPr="00FA3B95" w:rsidRDefault="00DD232B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5F6E52">
              <w:rPr>
                <w:rStyle w:val="Artref"/>
                <w:b w:val="0"/>
                <w:bCs w:val="0"/>
              </w:rPr>
              <w:t>433.5</w:t>
            </w:r>
          </w:p>
          <w:p w:rsidR="00DD232B" w:rsidRPr="00F92CD7" w:rsidRDefault="00DD232B" w:rsidP="0079179D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2B" w:rsidRPr="00FA3B95" w:rsidRDefault="00DD232B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DD232B">
              <w:rPr>
                <w:rStyle w:val="Artref"/>
                <w:b w:val="0"/>
                <w:bCs w:val="0"/>
              </w:rPr>
              <w:t>433A.5</w:t>
            </w:r>
          </w:p>
          <w:p w:rsidR="00DD232B" w:rsidRPr="00930CEF" w:rsidRDefault="00DD232B" w:rsidP="006339C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DD232B">
              <w:rPr>
                <w:rStyle w:val="Artref"/>
                <w:b w:val="0"/>
                <w:bCs w:val="0"/>
              </w:rPr>
              <w:t>433.5</w:t>
            </w:r>
          </w:p>
        </w:tc>
      </w:tr>
      <w:tr w:rsidR="00DD232B" w:rsidRPr="006253DB" w:rsidTr="0079179D">
        <w:trPr>
          <w:cantSplit/>
          <w:trHeight w:val="1550"/>
          <w:jc w:val="right"/>
        </w:trPr>
        <w:tc>
          <w:tcPr>
            <w:tcW w:w="16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2B" w:rsidRPr="006253DB" w:rsidRDefault="00DD232B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5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D232B" w:rsidRPr="006253DB" w:rsidRDefault="00DD232B" w:rsidP="00DD232B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  <w:rtl/>
              </w:rPr>
            </w:pPr>
          </w:p>
        </w:tc>
        <w:tc>
          <w:tcPr>
            <w:tcW w:w="1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32B" w:rsidRPr="00FA3B95" w:rsidRDefault="00DD232B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  <w:p w:rsidR="00DD232B" w:rsidRPr="006253DB" w:rsidRDefault="00DD232B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DD232B" w:rsidRPr="00DD232B" w:rsidRDefault="00DD232B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  <w:bCs w:val="0"/>
              </w:rPr>
            </w:pPr>
            <w:r w:rsidRPr="00DD232B">
              <w:rPr>
                <w:rStyle w:val="Artref"/>
                <w:b w:val="0"/>
                <w:bCs w:val="0"/>
              </w:rPr>
              <w:t>435.5</w:t>
            </w:r>
          </w:p>
        </w:tc>
      </w:tr>
      <w:tr w:rsidR="00DD232B" w:rsidRPr="006253DB" w:rsidTr="005F6E52">
        <w:trPr>
          <w:cantSplit/>
          <w:trHeight w:val="954"/>
          <w:jc w:val="right"/>
        </w:trPr>
        <w:tc>
          <w:tcPr>
            <w:tcW w:w="166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2B" w:rsidRPr="006253DB" w:rsidRDefault="00DD232B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333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D232B" w:rsidRPr="00FA3B95" w:rsidRDefault="00DD232B" w:rsidP="00DD232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DD232B" w:rsidRPr="00930CEF" w:rsidRDefault="00DD232B" w:rsidP="00DD232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DD232B" w:rsidRPr="006253DB" w:rsidRDefault="00DD232B" w:rsidP="00DD232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 ساتلية</w:t>
            </w:r>
            <w:r w:rsidRPr="006253DB">
              <w:rPr>
                <w:rtl/>
              </w:rPr>
              <w:t xml:space="preserve"> (فضاء-أرض)</w:t>
            </w:r>
          </w:p>
          <w:p w:rsidR="00DD232B" w:rsidRPr="006253DB" w:rsidRDefault="00DD232B" w:rsidP="0079179D">
            <w:pPr>
              <w:pStyle w:val="TabletextS5"/>
              <w:spacing w:after="120"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</w:p>
        </w:tc>
      </w:tr>
    </w:tbl>
    <w:p w:rsidR="004F29A4" w:rsidRDefault="00AF3C6C" w:rsidP="0079179D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1D78D5">
        <w:rPr>
          <w:rFonts w:hint="cs"/>
          <w:b w:val="0"/>
          <w:bCs w:val="0"/>
          <w:rtl/>
        </w:rPr>
        <w:t>تستعمل الخدمة الثابتة الساتلية هذا النطاق استعمالاً مكثفاً. والتقاسم بين أنظمة الاتصالات المتنقلة الدولية أو</w:t>
      </w:r>
      <w:r w:rsidR="00DD232B">
        <w:rPr>
          <w:rFonts w:hint="eastAsia"/>
          <w:b w:val="0"/>
          <w:bCs w:val="0"/>
          <w:rtl/>
        </w:rPr>
        <w:t> </w:t>
      </w:r>
      <w:r w:rsidR="00F56983">
        <w:rPr>
          <w:rFonts w:hint="cs"/>
          <w:b w:val="0"/>
          <w:bCs w:val="0"/>
          <w:rtl/>
        </w:rPr>
        <w:t>الاتصالات المتنقلة عريضة النطاق</w:t>
      </w:r>
      <w:r w:rsidR="001D78D5">
        <w:rPr>
          <w:rFonts w:hint="cs"/>
          <w:b w:val="0"/>
          <w:bCs w:val="0"/>
          <w:rtl/>
        </w:rPr>
        <w:t xml:space="preserve"> والخدمة الثابتة الساتلية غير ممكن. ولا</w:t>
      </w:r>
      <w:r w:rsidR="0079179D">
        <w:rPr>
          <w:rFonts w:hint="eastAsia"/>
          <w:b w:val="0"/>
          <w:bCs w:val="0"/>
          <w:rtl/>
        </w:rPr>
        <w:t> </w:t>
      </w:r>
      <w:r w:rsidR="001D78D5">
        <w:rPr>
          <w:rFonts w:hint="cs"/>
          <w:b w:val="0"/>
          <w:bCs w:val="0"/>
          <w:rtl/>
        </w:rPr>
        <w:t xml:space="preserve">يمكن </w:t>
      </w:r>
      <w:r w:rsidR="000474A4">
        <w:rPr>
          <w:rFonts w:hint="cs"/>
          <w:b w:val="0"/>
          <w:bCs w:val="0"/>
          <w:rtl/>
        </w:rPr>
        <w:t>إجراء</w:t>
      </w:r>
      <w:r w:rsidR="001D78D5">
        <w:rPr>
          <w:rFonts w:hint="cs"/>
          <w:b w:val="0"/>
          <w:bCs w:val="0"/>
          <w:rtl/>
        </w:rPr>
        <w:t xml:space="preserve"> تنسيق </w:t>
      </w:r>
      <w:r w:rsidR="00F56983">
        <w:rPr>
          <w:rFonts w:hint="cs"/>
          <w:b w:val="0"/>
          <w:bCs w:val="0"/>
          <w:rtl/>
          <w:lang w:bidi="ar-EG"/>
        </w:rPr>
        <w:t xml:space="preserve">على الصعيد </w:t>
      </w:r>
      <w:r w:rsidR="00DD232B">
        <w:rPr>
          <w:rFonts w:hint="cs"/>
          <w:b w:val="0"/>
          <w:bCs w:val="0"/>
          <w:rtl/>
          <w:lang w:bidi="ar-EG"/>
        </w:rPr>
        <w:t>ال</w:t>
      </w:r>
      <w:r w:rsidR="001D78D5">
        <w:rPr>
          <w:rFonts w:hint="cs"/>
          <w:b w:val="0"/>
          <w:bCs w:val="0"/>
          <w:rtl/>
        </w:rPr>
        <w:t xml:space="preserve">عالمي </w:t>
      </w:r>
      <w:r w:rsidR="00ED3168">
        <w:rPr>
          <w:rFonts w:hint="cs"/>
          <w:b w:val="0"/>
          <w:bCs w:val="0"/>
          <w:rtl/>
        </w:rPr>
        <w:t>لأنظمة الاتصالات</w:t>
      </w:r>
      <w:r w:rsidR="001D78D5">
        <w:rPr>
          <w:rFonts w:hint="cs"/>
          <w:b w:val="0"/>
          <w:bCs w:val="0"/>
          <w:rtl/>
        </w:rPr>
        <w:t xml:space="preserve"> المتنقلة الدولية أو</w:t>
      </w:r>
      <w:r w:rsidR="0079179D">
        <w:rPr>
          <w:rFonts w:hint="eastAsia"/>
          <w:b w:val="0"/>
          <w:bCs w:val="0"/>
          <w:rtl/>
        </w:rPr>
        <w:t> </w:t>
      </w:r>
      <w:r w:rsidR="00DD232B">
        <w:rPr>
          <w:rFonts w:hint="cs"/>
          <w:b w:val="0"/>
          <w:bCs w:val="0"/>
          <w:rtl/>
        </w:rPr>
        <w:t>ا</w:t>
      </w:r>
      <w:r w:rsidR="00F56983">
        <w:rPr>
          <w:rFonts w:hint="cs"/>
          <w:b w:val="0"/>
          <w:bCs w:val="0"/>
          <w:rtl/>
        </w:rPr>
        <w:t>لاتصالات المتنقلة عريضة</w:t>
      </w:r>
      <w:r w:rsidR="0079179D">
        <w:rPr>
          <w:rFonts w:hint="eastAsia"/>
          <w:rtl/>
        </w:rPr>
        <w:t> </w:t>
      </w:r>
      <w:r w:rsidR="00F56983">
        <w:rPr>
          <w:rFonts w:hint="cs"/>
          <w:b w:val="0"/>
          <w:bCs w:val="0"/>
          <w:rtl/>
        </w:rPr>
        <w:t>النطاق</w:t>
      </w:r>
      <w:r w:rsidR="001D78D5">
        <w:rPr>
          <w:rFonts w:hint="cs"/>
          <w:b w:val="0"/>
          <w:bCs w:val="0"/>
          <w:rtl/>
        </w:rPr>
        <w:t>.</w:t>
      </w:r>
    </w:p>
    <w:p w:rsidR="00FE2463" w:rsidRPr="00D31E67" w:rsidRDefault="00D31E67" w:rsidP="0079179D">
      <w:pPr>
        <w:rPr>
          <w:rtl/>
          <w:lang w:bidi="ar-EG"/>
        </w:rPr>
      </w:pPr>
      <w:r>
        <w:rPr>
          <w:rFonts w:hint="cs"/>
          <w:rtl/>
        </w:rPr>
        <w:t>وهناك مقترحات أخرى فيما</w:t>
      </w:r>
      <w:r w:rsidR="0079179D">
        <w:rPr>
          <w:rFonts w:hint="eastAsia"/>
          <w:rtl/>
        </w:rPr>
        <w:t> </w:t>
      </w:r>
      <w:r>
        <w:rPr>
          <w:rFonts w:hint="cs"/>
          <w:rtl/>
        </w:rPr>
        <w:t xml:space="preserve">يتعلق بالنطاق </w:t>
      </w:r>
      <w:r>
        <w:t>MHz 3 800-3 400</w:t>
      </w:r>
      <w:r>
        <w:rPr>
          <w:rFonts w:hint="cs"/>
          <w:rtl/>
          <w:lang w:bidi="ar-EG"/>
        </w:rPr>
        <w:t xml:space="preserve"> (انظر الإضافة</w:t>
      </w:r>
      <w:r w:rsidR="0079179D">
        <w:rPr>
          <w:rFonts w:hint="eastAsia"/>
          <w:b/>
          <w:bCs/>
          <w:rtl/>
        </w:rPr>
        <w:t> </w:t>
      </w:r>
      <w:bookmarkStart w:id="3" w:name="_GoBack"/>
      <w:bookmarkEnd w:id="3"/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إلى الإضافة </w:t>
      </w:r>
      <w:r>
        <w:rPr>
          <w:lang w:bidi="ar-EG"/>
        </w:rPr>
        <w:t>1</w:t>
      </w:r>
      <w:r w:rsidR="0079179D">
        <w:rPr>
          <w:rFonts w:hint="eastAsia"/>
          <w:b/>
          <w:bCs/>
          <w:rtl/>
        </w:rPr>
        <w:t> </w:t>
      </w:r>
      <w:r>
        <w:rPr>
          <w:rFonts w:hint="cs"/>
          <w:rtl/>
          <w:lang w:bidi="ar-EG"/>
        </w:rPr>
        <w:t>للوثيقة</w:t>
      </w:r>
      <w:r w:rsidR="0079179D">
        <w:rPr>
          <w:rFonts w:hint="eastAsia"/>
          <w:b/>
          <w:bCs/>
          <w:rtl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>)</w:t>
      </w:r>
      <w:r w:rsidR="00592D64">
        <w:rPr>
          <w:rFonts w:hint="cs"/>
          <w:rtl/>
          <w:lang w:bidi="ar-EG"/>
        </w:rPr>
        <w:t>.</w:t>
      </w:r>
    </w:p>
    <w:p w:rsidR="00FE2463" w:rsidRPr="00FE2463" w:rsidRDefault="00FE2463" w:rsidP="00FE2463">
      <w:pPr>
        <w:spacing w:before="600"/>
        <w:jc w:val="center"/>
      </w:pPr>
      <w:r>
        <w:rPr>
          <w:rtl/>
        </w:rPr>
        <w:t>___________</w:t>
      </w:r>
    </w:p>
    <w:sectPr w:rsidR="00FE2463" w:rsidRPr="00FE246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6C" w:rsidRPr="00AF3C6C" w:rsidRDefault="00AF3C6C" w:rsidP="00AF3C6C">
    <w:pPr>
      <w:pStyle w:val="Footer"/>
    </w:pPr>
    <w:r>
      <w:fldChar w:fldCharType="begin"/>
    </w:r>
    <w:r w:rsidRPr="00AF3C6C">
      <w:instrText xml:space="preserve"> FILENAME \p \* MERGEFORMAT </w:instrText>
    </w:r>
    <w:r>
      <w:fldChar w:fldCharType="separate"/>
    </w:r>
    <w:r w:rsidR="005F6E52">
      <w:rPr>
        <w:noProof/>
      </w:rPr>
      <w:t>P:\ARA\ITU-R\CONF-R\CMR15\000\009ADD01ADD05A.docx</w:t>
    </w:r>
    <w:r>
      <w:fldChar w:fldCharType="end"/>
    </w:r>
    <w:r w:rsidRPr="00AF3C6C">
      <w:t xml:space="preserve">   (</w:t>
    </w:r>
    <w:r>
      <w:t>383788</w:t>
    </w:r>
    <w:r w:rsidRPr="00AF3C6C">
      <w:t>)</w:t>
    </w:r>
    <w:r w:rsidRPr="00AF3C6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F198A">
      <w:rPr>
        <w:noProof/>
      </w:rPr>
      <w:t>21.07.15</w:t>
    </w:r>
    <w:r w:rsidRPr="00B12661">
      <w:fldChar w:fldCharType="end"/>
    </w:r>
    <w:r w:rsidRPr="00AF3C6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6E52">
      <w:rPr>
        <w:noProof/>
      </w:rPr>
      <w:t>21.07.15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F3C6C" w:rsidRDefault="00281F5F" w:rsidP="00AF3C6C">
    <w:pPr>
      <w:pStyle w:val="Footer"/>
    </w:pPr>
    <w:r>
      <w:fldChar w:fldCharType="begin"/>
    </w:r>
    <w:r w:rsidRPr="00AF3C6C">
      <w:instrText xml:space="preserve"> FILENAME \p \* MERGEFORMAT </w:instrText>
    </w:r>
    <w:r>
      <w:fldChar w:fldCharType="separate"/>
    </w:r>
    <w:r w:rsidR="005F6E52">
      <w:rPr>
        <w:noProof/>
      </w:rPr>
      <w:t>P:\ARA\ITU-R\CONF-R\CMR15\000\009ADD01ADD05A.docx</w:t>
    </w:r>
    <w:r>
      <w:fldChar w:fldCharType="end"/>
    </w:r>
    <w:r w:rsidRPr="00AF3C6C">
      <w:t xml:space="preserve">   (</w:t>
    </w:r>
    <w:r w:rsidR="00AF3C6C">
      <w:t>383788</w:t>
    </w:r>
    <w:r w:rsidRPr="00AF3C6C">
      <w:t>)</w:t>
    </w:r>
    <w:r w:rsidRPr="00AF3C6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F198A">
      <w:rPr>
        <w:noProof/>
      </w:rPr>
      <w:t>21.07.15</w:t>
    </w:r>
    <w:r w:rsidRPr="00B12661">
      <w:fldChar w:fldCharType="end"/>
    </w:r>
    <w:r w:rsidRPr="00AF3C6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6E52">
      <w:rPr>
        <w:noProof/>
      </w:rPr>
      <w:t>21.07.15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79179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474A4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78D5"/>
    <w:rsid w:val="001E0D8B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572A"/>
    <w:rsid w:val="003965FE"/>
    <w:rsid w:val="003A44D1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F29A4"/>
    <w:rsid w:val="00505FCA"/>
    <w:rsid w:val="00510C2D"/>
    <w:rsid w:val="005169F4"/>
    <w:rsid w:val="005210D1"/>
    <w:rsid w:val="00523146"/>
    <w:rsid w:val="00523275"/>
    <w:rsid w:val="00524FFA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2D64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5F6E52"/>
    <w:rsid w:val="00600915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93D"/>
    <w:rsid w:val="00786A7E"/>
    <w:rsid w:val="0079179D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67386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9667C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198A"/>
    <w:rsid w:val="00AF3C6C"/>
    <w:rsid w:val="00AF41D1"/>
    <w:rsid w:val="00AF7C1D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511"/>
    <w:rsid w:val="00CC57D0"/>
    <w:rsid w:val="00CC68C4"/>
    <w:rsid w:val="00CC79A4"/>
    <w:rsid w:val="00CD0FDE"/>
    <w:rsid w:val="00CE0E68"/>
    <w:rsid w:val="00CE5BA4"/>
    <w:rsid w:val="00D25120"/>
    <w:rsid w:val="00D31E67"/>
    <w:rsid w:val="00D40C46"/>
    <w:rsid w:val="00D419CB"/>
    <w:rsid w:val="00D44350"/>
    <w:rsid w:val="00D44E3F"/>
    <w:rsid w:val="00D525F5"/>
    <w:rsid w:val="00D535D0"/>
    <w:rsid w:val="00D536D8"/>
    <w:rsid w:val="00D62C78"/>
    <w:rsid w:val="00D71AD4"/>
    <w:rsid w:val="00D81703"/>
    <w:rsid w:val="00D82929"/>
    <w:rsid w:val="00D84214"/>
    <w:rsid w:val="00D943E5"/>
    <w:rsid w:val="00DA1AE0"/>
    <w:rsid w:val="00DC29DD"/>
    <w:rsid w:val="00DC7C0E"/>
    <w:rsid w:val="00DD232B"/>
    <w:rsid w:val="00DF2A6A"/>
    <w:rsid w:val="00DF3B72"/>
    <w:rsid w:val="00E10821"/>
    <w:rsid w:val="00E165ED"/>
    <w:rsid w:val="00E2489D"/>
    <w:rsid w:val="00E25C06"/>
    <w:rsid w:val="00E26520"/>
    <w:rsid w:val="00E343A3"/>
    <w:rsid w:val="00E36239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3168"/>
    <w:rsid w:val="00ED4B29"/>
    <w:rsid w:val="00EE7907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983"/>
    <w:rsid w:val="00F74078"/>
    <w:rsid w:val="00F8654D"/>
    <w:rsid w:val="00F900C9"/>
    <w:rsid w:val="00F92C96"/>
    <w:rsid w:val="00FA0D4E"/>
    <w:rsid w:val="00FB0753"/>
    <w:rsid w:val="00FB5CC8"/>
    <w:rsid w:val="00FC2CD0"/>
    <w:rsid w:val="00FD0594"/>
    <w:rsid w:val="00FE246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E6A01BF-6467-4480-8E58-1F2361B9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R15-WRC15-C-0009!A1-A5!MSW-A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BEE2-E1B2-451D-A0EC-272B0546F8F4}">
  <ds:schemaRefs>
    <ds:schemaRef ds:uri="http://purl.org/dc/elements/1.1/"/>
    <ds:schemaRef ds:uri="http://purl.org/dc/dcmitype/"/>
    <ds:schemaRef ds:uri="http://www.w3.org/XML/1998/namespace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5C848E-7E96-4408-83C8-407E849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R15-WRC15-C-0009!A1-A5!MSW-A</vt:lpstr>
    </vt:vector>
  </TitlesOfParts>
  <Manager>General Secretariat - Pool</Manager>
  <Company>International Telecommunication Union (ITU)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R15-WRC15-C-0009!A1-A5!MSW-A</dc:title>
  <dc:creator>Documents Proposals Manager (DPM)</dc:creator>
  <cp:keywords>DPM_v5.2015.7.6_prod</cp:keywords>
  <cp:lastModifiedBy>Ajlouni, Nour</cp:lastModifiedBy>
  <cp:revision>8</cp:revision>
  <cp:lastPrinted>2015-07-21T15:06:00Z</cp:lastPrinted>
  <dcterms:created xsi:type="dcterms:W3CDTF">2015-07-21T09:28:00Z</dcterms:created>
  <dcterms:modified xsi:type="dcterms:W3CDTF">2015-07-22T09:20:00Z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