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614B24" w:rsidRDefault="005D46FB" w:rsidP="0002785D">
            <w:pPr>
              <w:spacing w:before="400" w:after="48" w:line="240" w:lineRule="atLeast"/>
              <w:rPr>
                <w:rFonts w:ascii="Verdana" w:hAnsi="Verdana"/>
                <w:position w:val="6"/>
              </w:rPr>
            </w:pPr>
            <w:bookmarkStart w:id="0" w:name="_GoBack"/>
            <w:bookmarkEnd w:id="0"/>
            <w:r w:rsidRPr="00123CC5">
              <w:rPr>
                <w:rFonts w:ascii="Verdana" w:eastAsia="SimSun" w:hAnsi="Verdana" w:cs="Traditional Arabic"/>
                <w:b/>
                <w:position w:val="6"/>
                <w:sz w:val="20"/>
              </w:rPr>
              <w:t>Conferencia Mundial de Radiocomunicaciones (CMR-1</w:t>
            </w:r>
            <w:r>
              <w:rPr>
                <w:rFonts w:ascii="Verdana" w:eastAsia="SimSun" w:hAnsi="Verdana" w:cs="Traditional Arabic"/>
                <w:b/>
                <w:position w:val="6"/>
                <w:sz w:val="20"/>
              </w:rPr>
              <w:t>5</w:t>
            </w:r>
            <w:r w:rsidRPr="00123CC5">
              <w:rPr>
                <w:rFonts w:ascii="Verdana" w:eastAsia="SimSun" w:hAnsi="Verdana" w:cs="Traditional Arabic"/>
                <w:b/>
                <w:position w:val="6"/>
                <w:sz w:val="20"/>
              </w:rPr>
              <w:t>)</w:t>
            </w:r>
            <w:r w:rsidRPr="00C63EB5">
              <w:rPr>
                <w:rFonts w:ascii="Verdana" w:hAnsi="Verdana" w:cs="Times"/>
                <w:b/>
                <w:position w:val="6"/>
                <w:sz w:val="20"/>
              </w:rPr>
              <w:br/>
            </w:r>
            <w:r w:rsidRPr="00C63EB5">
              <w:rPr>
                <w:rFonts w:ascii="Verdana" w:eastAsia="SimSun" w:hAnsi="Verdana" w:cs="Traditional Arabic"/>
                <w:b/>
                <w:bCs/>
                <w:position w:val="6"/>
                <w:sz w:val="18"/>
                <w:szCs w:val="18"/>
              </w:rPr>
              <w:t>G</w:t>
            </w:r>
            <w:r>
              <w:rPr>
                <w:rFonts w:ascii="Verdana" w:eastAsia="SimSun" w:hAnsi="Verdana" w:cs="Traditional Arabic"/>
                <w:b/>
                <w:bCs/>
                <w:position w:val="6"/>
                <w:sz w:val="18"/>
                <w:szCs w:val="18"/>
              </w:rPr>
              <w:t>inebra</w:t>
            </w:r>
            <w:r w:rsidRPr="00C63EB5">
              <w:rPr>
                <w:rFonts w:ascii="Verdana" w:eastAsia="SimSun" w:hAnsi="Verdana" w:cs="Traditional Arabic"/>
                <w:b/>
                <w:bCs/>
                <w:position w:val="6"/>
                <w:sz w:val="18"/>
                <w:szCs w:val="18"/>
              </w:rPr>
              <w:t>, 2-</w:t>
            </w:r>
            <w:r>
              <w:rPr>
                <w:rFonts w:ascii="Verdana" w:eastAsia="SimSun" w:hAnsi="Verdana" w:cs="Traditional Arabic"/>
                <w:b/>
                <w:bCs/>
                <w:position w:val="6"/>
                <w:sz w:val="18"/>
                <w:szCs w:val="18"/>
              </w:rPr>
              <w:t>27</w:t>
            </w:r>
            <w:r w:rsidRPr="00C63EB5">
              <w:rPr>
                <w:rFonts w:ascii="Verdana" w:eastAsia="SimSun" w:hAnsi="Verdana" w:cs="Traditional Arabic"/>
                <w:b/>
                <w:bCs/>
                <w:position w:val="6"/>
                <w:sz w:val="18"/>
                <w:szCs w:val="18"/>
              </w:rPr>
              <w:t xml:space="preserve"> </w:t>
            </w:r>
            <w:r>
              <w:rPr>
                <w:rFonts w:ascii="Verdana" w:eastAsia="SimSun" w:hAnsi="Verdana" w:cs="Traditional Arabic"/>
                <w:b/>
                <w:bCs/>
                <w:position w:val="6"/>
                <w:sz w:val="18"/>
                <w:szCs w:val="18"/>
              </w:rPr>
              <w:t>de noviembre de</w:t>
            </w:r>
            <w:r w:rsidRPr="00C63EB5">
              <w:rPr>
                <w:rFonts w:ascii="Verdana" w:eastAsia="SimSun" w:hAnsi="Verdana" w:cs="Traditional Arabic"/>
                <w:b/>
                <w:bCs/>
                <w:position w:val="6"/>
                <w:sz w:val="18"/>
                <w:szCs w:val="18"/>
              </w:rPr>
              <w:t xml:space="preserve"> 20</w:t>
            </w:r>
            <w:r>
              <w:rPr>
                <w:rFonts w:ascii="Verdana" w:eastAsia="SimSun" w:hAnsi="Verdana" w:cs="Traditional Arabic"/>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1" w:name="ditulogo"/>
            <w:bookmarkEnd w:id="1"/>
            <w:r>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2" w:name="dhead"/>
            <w:r w:rsidRPr="009538D2">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eastAsia="SimSun" w:hAnsi="Verdana" w:cs="Traditional Arabic"/>
                <w:b/>
                <w:sz w:val="20"/>
                <w:lang w:val="en-US"/>
              </w:rPr>
              <w:t>SESIÓN PLENARIA</w:t>
            </w:r>
          </w:p>
        </w:tc>
        <w:tc>
          <w:tcPr>
            <w:tcW w:w="3120" w:type="dxa"/>
            <w:shd w:val="clear" w:color="auto" w:fill="auto"/>
          </w:tcPr>
          <w:p w:rsidR="0090121B" w:rsidRPr="00614B24" w:rsidRDefault="00AE658F" w:rsidP="0045384C">
            <w:pPr>
              <w:spacing w:before="0"/>
              <w:rPr>
                <w:rFonts w:ascii="Verdana" w:hAnsi="Verdana"/>
                <w:sz w:val="20"/>
              </w:rPr>
            </w:pPr>
            <w:r w:rsidRPr="00614B24">
              <w:rPr>
                <w:rFonts w:ascii="Verdana" w:eastAsia="SimSun" w:hAnsi="Verdana" w:cs="Traditional Arabic"/>
                <w:b/>
                <w:sz w:val="20"/>
              </w:rPr>
              <w:t>Addéndum 6 al</w:t>
            </w:r>
            <w:r w:rsidRPr="00614B24">
              <w:rPr>
                <w:rFonts w:ascii="Verdana" w:eastAsia="SimSun" w:hAnsi="Verdana" w:cs="Traditional Arabic"/>
                <w:b/>
                <w:sz w:val="20"/>
              </w:rPr>
              <w:br/>
              <w:t>Documento 9(Add.1)</w:t>
            </w:r>
            <w:r w:rsidR="0090121B" w:rsidRPr="00614B24">
              <w:rPr>
                <w:rFonts w:ascii="Verdana" w:eastAsia="SimSun" w:hAnsi="Verdana" w:cs="Traditional Arabic"/>
                <w:b/>
                <w:sz w:val="20"/>
              </w:rPr>
              <w:t>-</w:t>
            </w:r>
            <w:r w:rsidRPr="00614B24">
              <w:rPr>
                <w:rFonts w:ascii="Verdana" w:eastAsia="SimSun" w:hAnsi="Verdana" w:cs="Traditional Arabic"/>
                <w:b/>
                <w:sz w:val="20"/>
              </w:rPr>
              <w:t>S</w:t>
            </w:r>
          </w:p>
        </w:tc>
      </w:tr>
      <w:bookmarkEnd w:id="2"/>
      <w:tr w:rsidR="000A5B9A" w:rsidRPr="0002785D" w:rsidTr="0090121B">
        <w:trPr>
          <w:cantSplit/>
        </w:trPr>
        <w:tc>
          <w:tcPr>
            <w:tcW w:w="6911" w:type="dxa"/>
            <w:shd w:val="clear" w:color="auto" w:fill="auto"/>
          </w:tcPr>
          <w:p w:rsidR="000A5B9A" w:rsidRPr="00614B24" w:rsidRDefault="000A5B9A" w:rsidP="0045384C">
            <w:pPr>
              <w:spacing w:before="0" w:after="48"/>
              <w:rPr>
                <w:rFonts w:ascii="Verdana" w:hAnsi="Verdana"/>
                <w:b/>
                <w:smallCaps/>
                <w:sz w:val="20"/>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eastAsia="SimSun" w:hAnsi="Verdana" w:cs="Traditional Arabic"/>
                <w:b/>
                <w:sz w:val="20"/>
                <w:lang w:val="en-US"/>
              </w:rPr>
              <w:t>24 de junio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eastAsia="SimSun" w:hAnsi="Verdana" w:cs="Traditional Arabic"/>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43262F" w:rsidRDefault="000A5B9A" w:rsidP="000A5B9A">
            <w:pPr>
              <w:pStyle w:val="Source"/>
              <w:rPr>
                <w:rFonts w:asciiTheme="majorBidi" w:hAnsiTheme="majorBidi" w:cstheme="majorBidi"/>
                <w:lang w:val="en-US"/>
              </w:rPr>
            </w:pPr>
            <w:bookmarkStart w:id="3" w:name="dsource" w:colFirst="0" w:colLast="0"/>
            <w:r w:rsidRPr="0043262F">
              <w:rPr>
                <w:rFonts w:asciiTheme="majorBidi" w:eastAsia="SimSun" w:hAnsiTheme="majorBidi" w:cstheme="majorBidi"/>
                <w:lang w:val="en-US"/>
              </w:rPr>
              <w:t>Propuestas Comunes Europeas</w:t>
            </w:r>
          </w:p>
        </w:tc>
      </w:tr>
      <w:tr w:rsidR="000A5B9A" w:rsidRPr="00614B24" w:rsidTr="0050008E">
        <w:trPr>
          <w:cantSplit/>
        </w:trPr>
        <w:tc>
          <w:tcPr>
            <w:tcW w:w="10031" w:type="dxa"/>
            <w:gridSpan w:val="2"/>
          </w:tcPr>
          <w:p w:rsidR="000A5B9A" w:rsidRPr="00FE23F8" w:rsidRDefault="000543F8" w:rsidP="000A5B9A">
            <w:pPr>
              <w:pStyle w:val="Title1"/>
              <w:rPr>
                <w:rFonts w:asciiTheme="majorBidi" w:hAnsiTheme="majorBidi" w:cstheme="majorBidi"/>
              </w:rPr>
            </w:pPr>
            <w:bookmarkStart w:id="4" w:name="dtitle1" w:colFirst="0" w:colLast="0"/>
            <w:bookmarkEnd w:id="3"/>
            <w:r w:rsidRPr="00FE23F8">
              <w:rPr>
                <w:rFonts w:asciiTheme="majorBidi" w:eastAsia="SimSun" w:hAnsiTheme="majorBidi" w:cstheme="majorBidi"/>
              </w:rPr>
              <w:t>PROPUESTAS PARA LOS TRABAJOS DE LA CONFERENCIA</w:t>
            </w:r>
          </w:p>
        </w:tc>
      </w:tr>
      <w:tr w:rsidR="000A5B9A" w:rsidRPr="00614B24" w:rsidTr="0050008E">
        <w:trPr>
          <w:cantSplit/>
        </w:trPr>
        <w:tc>
          <w:tcPr>
            <w:tcW w:w="10031" w:type="dxa"/>
            <w:gridSpan w:val="2"/>
          </w:tcPr>
          <w:p w:rsidR="000A5B9A" w:rsidRPr="00FE23F8" w:rsidRDefault="000A5B9A" w:rsidP="000A5B9A">
            <w:pPr>
              <w:pStyle w:val="Title2"/>
              <w:rPr>
                <w:rFonts w:asciiTheme="majorBidi" w:hAnsiTheme="majorBidi" w:cstheme="majorBidi"/>
              </w:rPr>
            </w:pPr>
            <w:bookmarkStart w:id="5" w:name="dtitle2" w:colFirst="0" w:colLast="0"/>
            <w:bookmarkEnd w:id="4"/>
          </w:p>
        </w:tc>
      </w:tr>
      <w:tr w:rsidR="000A5B9A" w:rsidTr="0050008E">
        <w:trPr>
          <w:cantSplit/>
        </w:trPr>
        <w:tc>
          <w:tcPr>
            <w:tcW w:w="10031" w:type="dxa"/>
            <w:gridSpan w:val="2"/>
          </w:tcPr>
          <w:p w:rsidR="000A5B9A" w:rsidRPr="0043262F" w:rsidRDefault="000A5B9A" w:rsidP="000A5B9A">
            <w:pPr>
              <w:pStyle w:val="Agendaitem"/>
              <w:rPr>
                <w:rFonts w:asciiTheme="majorBidi" w:hAnsiTheme="majorBidi" w:cstheme="majorBidi"/>
              </w:rPr>
            </w:pPr>
            <w:bookmarkStart w:id="6" w:name="dtitle3" w:colFirst="0" w:colLast="0"/>
            <w:bookmarkEnd w:id="5"/>
            <w:r w:rsidRPr="0043262F">
              <w:rPr>
                <w:rFonts w:asciiTheme="majorBidi" w:eastAsia="SimSun" w:hAnsiTheme="majorBidi" w:cstheme="majorBidi"/>
              </w:rPr>
              <w:t>Punto 1.1 del orden del día</w:t>
            </w:r>
          </w:p>
        </w:tc>
      </w:tr>
    </w:tbl>
    <w:bookmarkEnd w:id="6"/>
    <w:p w:rsidR="001C0E40" w:rsidRPr="00C26A0A" w:rsidRDefault="000543F8" w:rsidP="00C26A0A">
      <w:r w:rsidRPr="00211854">
        <w:t>1.1</w:t>
      </w:r>
      <w:r w:rsidRPr="00211854">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211854">
        <w:rPr>
          <w:b/>
          <w:bCs/>
        </w:rPr>
        <w:t>233 (CMR</w:t>
      </w:r>
      <w:r>
        <w:rPr>
          <w:b/>
          <w:bCs/>
        </w:rPr>
        <w:noBreakHyphen/>
      </w:r>
      <w:r w:rsidRPr="00211854">
        <w:rPr>
          <w:b/>
          <w:bCs/>
        </w:rPr>
        <w:t>12)</w:t>
      </w:r>
      <w:r w:rsidRPr="00211854">
        <w:t>;</w:t>
      </w:r>
    </w:p>
    <w:p w:rsidR="00E84A9A" w:rsidRPr="00FE23F8" w:rsidRDefault="00FE23F8" w:rsidP="00C95532">
      <w:pPr>
        <w:pStyle w:val="Title4"/>
      </w:pPr>
      <w:bookmarkStart w:id="7" w:name="_Toc174444152"/>
      <w:bookmarkStart w:id="8" w:name="_Toc174444206"/>
      <w:r w:rsidRPr="00FE23F8">
        <w:t xml:space="preserve">Propuestas </w:t>
      </w:r>
      <w:r w:rsidR="007E2C7A" w:rsidRPr="00FE23F8">
        <w:t xml:space="preserve">Europeas </w:t>
      </w:r>
      <w:r w:rsidRPr="00FE23F8">
        <w:t xml:space="preserve">sobre la no modificación de las atribuciones </w:t>
      </w:r>
      <w:r w:rsidR="00C95532">
        <w:br/>
      </w:r>
      <w:r w:rsidRPr="00FE23F8">
        <w:t>a los servicios en el Art</w:t>
      </w:r>
      <w:r>
        <w:t>ículo</w:t>
      </w:r>
      <w:bookmarkEnd w:id="7"/>
      <w:bookmarkEnd w:id="8"/>
      <w:r w:rsidR="00E84A9A" w:rsidRPr="00FE23F8">
        <w:t xml:space="preserve"> 5</w:t>
      </w:r>
    </w:p>
    <w:p w:rsidR="00E84A9A" w:rsidRPr="00614B24" w:rsidRDefault="00E84A9A" w:rsidP="00C95532">
      <w:pPr>
        <w:pStyle w:val="Title4"/>
      </w:pPr>
      <w:r w:rsidRPr="00614B24">
        <w:t>4 400-4 500 MHz, 4 800-5 000 MHz, 5 925-6 425 MHz</w:t>
      </w:r>
    </w:p>
    <w:p w:rsidR="00F008F3" w:rsidRPr="00245062" w:rsidRDefault="000543F8" w:rsidP="00C95532">
      <w:pPr>
        <w:pStyle w:val="ArtNo"/>
      </w:pPr>
      <w:r w:rsidRPr="00245062">
        <w:t xml:space="preserve">ARTÍCULO </w:t>
      </w:r>
      <w:r w:rsidRPr="00245062">
        <w:rPr>
          <w:rStyle w:val="href"/>
        </w:rPr>
        <w:t>5</w:t>
      </w:r>
    </w:p>
    <w:p w:rsidR="00F008F3" w:rsidRPr="00F63BD5" w:rsidRDefault="000543F8" w:rsidP="00C95532">
      <w:pPr>
        <w:pStyle w:val="Arttitle"/>
      </w:pPr>
      <w:r w:rsidRPr="00245062">
        <w:t>Atribuciones de frecuencia</w:t>
      </w:r>
    </w:p>
    <w:p w:rsidR="00F008F3" w:rsidRPr="00245062" w:rsidRDefault="000543F8" w:rsidP="00C95532">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E76159" w:rsidRDefault="000543F8" w:rsidP="00C95532">
      <w:pPr>
        <w:pStyle w:val="Proposal"/>
      </w:pPr>
      <w:r>
        <w:rPr>
          <w:u w:val="single"/>
        </w:rPr>
        <w:t>NOC</w:t>
      </w:r>
      <w:r>
        <w:tab/>
        <w:t>EUR/9A1</w:t>
      </w:r>
      <w:r w:rsidR="00614B24">
        <w:t>A6</w:t>
      </w:r>
      <w:r>
        <w:t>/1</w:t>
      </w:r>
    </w:p>
    <w:p w:rsidR="00F008F3" w:rsidRPr="004D72B7" w:rsidRDefault="000543F8" w:rsidP="00C95532">
      <w:pPr>
        <w:pStyle w:val="Tabletitle"/>
      </w:pPr>
      <w:r w:rsidRPr="004D72B7">
        <w:t>2</w:t>
      </w:r>
      <w:r w:rsidRPr="00F63BD5">
        <w:t> </w:t>
      </w:r>
      <w:r w:rsidRPr="004D72B7">
        <w:t>700-4</w:t>
      </w:r>
      <w:r w:rsidRPr="00F63BD5">
        <w:t> </w:t>
      </w:r>
      <w:r w:rsidRPr="004D72B7">
        <w:t>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245062" w:rsidTr="004C7C9D">
        <w:trPr>
          <w:cantSplit/>
          <w:trHeight w:val="20"/>
        </w:trPr>
        <w:tc>
          <w:tcPr>
            <w:tcW w:w="9203" w:type="dxa"/>
            <w:gridSpan w:val="3"/>
          </w:tcPr>
          <w:p w:rsidR="00F008F3" w:rsidRPr="00245062" w:rsidRDefault="000543F8" w:rsidP="00C95532">
            <w:pPr>
              <w:pStyle w:val="Tablehead"/>
            </w:pPr>
            <w:r w:rsidRPr="00245062">
              <w:rPr>
                <w:color w:val="000000"/>
              </w:rPr>
              <w:t>Atribución a los servicios</w:t>
            </w:r>
          </w:p>
        </w:tc>
      </w:tr>
      <w:tr w:rsidR="00F008F3" w:rsidRPr="00245062" w:rsidTr="004C7C9D">
        <w:trPr>
          <w:cantSplit/>
          <w:trHeight w:val="20"/>
        </w:trPr>
        <w:tc>
          <w:tcPr>
            <w:tcW w:w="3068" w:type="dxa"/>
          </w:tcPr>
          <w:p w:rsidR="00F008F3" w:rsidRPr="00245062" w:rsidRDefault="000543F8" w:rsidP="00C95532">
            <w:pPr>
              <w:pStyle w:val="Tablehead"/>
            </w:pPr>
            <w:r w:rsidRPr="00245062">
              <w:rPr>
                <w:color w:val="000000"/>
              </w:rPr>
              <w:t>Región 1</w:t>
            </w:r>
          </w:p>
        </w:tc>
        <w:tc>
          <w:tcPr>
            <w:tcW w:w="3067" w:type="dxa"/>
          </w:tcPr>
          <w:p w:rsidR="00F008F3" w:rsidRPr="00245062" w:rsidRDefault="000543F8" w:rsidP="00C95532">
            <w:pPr>
              <w:pStyle w:val="Tablehead"/>
            </w:pPr>
            <w:r w:rsidRPr="00245062">
              <w:rPr>
                <w:color w:val="000000"/>
              </w:rPr>
              <w:t>Región 2</w:t>
            </w:r>
          </w:p>
        </w:tc>
        <w:tc>
          <w:tcPr>
            <w:tcW w:w="3068" w:type="dxa"/>
          </w:tcPr>
          <w:p w:rsidR="00F008F3" w:rsidRPr="00245062" w:rsidRDefault="000543F8" w:rsidP="00C95532">
            <w:pPr>
              <w:pStyle w:val="Tablehead"/>
            </w:pPr>
            <w:r w:rsidRPr="00245062">
              <w:rPr>
                <w:color w:val="000000"/>
              </w:rPr>
              <w:t>Región 3</w:t>
            </w:r>
          </w:p>
        </w:tc>
      </w:tr>
      <w:tr w:rsidR="00F008F3" w:rsidRPr="00245062" w:rsidTr="004C7C9D">
        <w:trPr>
          <w:cantSplit/>
          <w:trHeight w:val="20"/>
        </w:trPr>
        <w:tc>
          <w:tcPr>
            <w:tcW w:w="9203" w:type="dxa"/>
            <w:gridSpan w:val="3"/>
          </w:tcPr>
          <w:p w:rsidR="00F008F3" w:rsidRPr="00245062" w:rsidRDefault="000543F8" w:rsidP="00C95532">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245062">
              <w:rPr>
                <w:rStyle w:val="Tablefreq"/>
                <w:color w:val="000000"/>
              </w:rPr>
              <w:t>4</w:t>
            </w:r>
            <w:r w:rsidRPr="00245062">
              <w:rPr>
                <w:rStyle w:val="Tablefreq"/>
                <w:rFonts w:ascii="Tms Rmn" w:hAnsi="Tms Rmn" w:cs="Tms Rmn"/>
                <w:color w:val="000000"/>
                <w:sz w:val="12"/>
                <w:szCs w:val="12"/>
              </w:rPr>
              <w:t> </w:t>
            </w:r>
            <w:r w:rsidRPr="00245062">
              <w:rPr>
                <w:rStyle w:val="Tablefreq"/>
                <w:color w:val="000000"/>
              </w:rPr>
              <w:t>400-4</w:t>
            </w:r>
            <w:r w:rsidRPr="00245062">
              <w:rPr>
                <w:rStyle w:val="Tablefreq"/>
                <w:rFonts w:ascii="Tms Rmn" w:hAnsi="Tms Rmn" w:cs="Tms Rmn"/>
                <w:color w:val="000000"/>
                <w:sz w:val="12"/>
                <w:szCs w:val="12"/>
              </w:rPr>
              <w:t> </w:t>
            </w:r>
            <w:r w:rsidRPr="00245062">
              <w:rPr>
                <w:rStyle w:val="Tablefreq"/>
                <w:color w:val="000000"/>
              </w:rPr>
              <w:t>500</w:t>
            </w:r>
            <w:r w:rsidRPr="00245062">
              <w:rPr>
                <w:color w:val="000000"/>
              </w:rPr>
              <w:tab/>
              <w:t>FIJO</w:t>
            </w:r>
          </w:p>
          <w:p w:rsidR="00F008F3" w:rsidRPr="00245062" w:rsidRDefault="000543F8" w:rsidP="00C95532">
            <w:pPr>
              <w:pStyle w:val="TableTextS5"/>
              <w:tabs>
                <w:tab w:val="clear" w:pos="2977"/>
                <w:tab w:val="left" w:pos="3111"/>
              </w:tabs>
              <w:spacing w:before="20" w:after="20"/>
              <w:ind w:left="300" w:hanging="170"/>
              <w:rPr>
                <w:rStyle w:val="Tablefreq"/>
                <w:color w:val="000000"/>
              </w:rPr>
            </w:pPr>
            <w:r w:rsidRPr="00245062">
              <w:rPr>
                <w:color w:val="000000"/>
              </w:rPr>
              <w:tab/>
            </w:r>
            <w:r w:rsidRPr="00245062">
              <w:rPr>
                <w:color w:val="000000"/>
              </w:rPr>
              <w:tab/>
            </w:r>
            <w:r w:rsidRPr="00245062">
              <w:rPr>
                <w:color w:val="000000"/>
              </w:rPr>
              <w:tab/>
            </w:r>
            <w:r w:rsidRPr="00245062">
              <w:rPr>
                <w:color w:val="000000"/>
              </w:rPr>
              <w:tab/>
            </w:r>
            <w:r w:rsidRPr="00245062">
              <w:rPr>
                <w:color w:val="000000"/>
              </w:rPr>
              <w:tab/>
              <w:t>MÓVIL  5.440A</w:t>
            </w:r>
          </w:p>
        </w:tc>
      </w:tr>
    </w:tbl>
    <w:p w:rsidR="00E76159" w:rsidRPr="00FE23F8" w:rsidRDefault="000543F8" w:rsidP="007E2C7A">
      <w:pPr>
        <w:pStyle w:val="Reasons"/>
      </w:pPr>
      <w:r w:rsidRPr="00FE23F8">
        <w:rPr>
          <w:b/>
        </w:rPr>
        <w:t>Motivos:</w:t>
      </w:r>
      <w:r w:rsidRPr="00FE23F8">
        <w:tab/>
      </w:r>
      <w:r w:rsidR="00FE23F8" w:rsidRPr="00FE23F8">
        <w:t>Hay aplicaciones fijas y móviles (incluso aeronáuticas) distintas de las aplicaciones IMT que utilizan intensamente la banda de frecuencias</w:t>
      </w:r>
      <w:r w:rsidR="005C5B32" w:rsidRPr="00FE23F8">
        <w:t xml:space="preserve"> 4 400-4 500 MHz</w:t>
      </w:r>
      <w:r w:rsidR="00FE23F8" w:rsidRPr="00FE23F8">
        <w:t>. adem</w:t>
      </w:r>
      <w:r w:rsidR="00FE23F8">
        <w:t>ás, no se han presentado al UIT</w:t>
      </w:r>
      <w:r w:rsidR="005C5B32" w:rsidRPr="00FE23F8">
        <w:t xml:space="preserve">-R </w:t>
      </w:r>
      <w:r w:rsidR="00FE23F8" w:rsidRPr="00FE23F8">
        <w:t>estudios sobre la protecci</w:t>
      </w:r>
      <w:r w:rsidR="00FE23F8">
        <w:t xml:space="preserve">ón de los radioaltímetros en la banda </w:t>
      </w:r>
      <w:r w:rsidR="00FE23F8">
        <w:lastRenderedPageBreak/>
        <w:t>adyacente</w:t>
      </w:r>
      <w:r w:rsidR="007E2C7A">
        <w:t> </w:t>
      </w:r>
      <w:r w:rsidR="005C5B32" w:rsidRPr="00FE23F8">
        <w:t>(4</w:t>
      </w:r>
      <w:r w:rsidR="007E2C7A">
        <w:t> </w:t>
      </w:r>
      <w:r w:rsidR="005C5B32" w:rsidRPr="00FE23F8">
        <w:t>200-4 400 MHz). A</w:t>
      </w:r>
      <w:r w:rsidR="00FE23F8" w:rsidRPr="00FE23F8">
        <w:t>demás, los estudios de compatibilidad del UIT-R indican que no es viable la compartici</w:t>
      </w:r>
      <w:r w:rsidR="00FE23F8">
        <w:t>ón entre aplicaciones móviles aeronáuticas y los sistemas IMT</w:t>
      </w:r>
      <w:r w:rsidR="005C5B32" w:rsidRPr="00FE23F8">
        <w:t>.</w:t>
      </w:r>
    </w:p>
    <w:p w:rsidR="00E76159" w:rsidRDefault="000543F8" w:rsidP="00C95532">
      <w:pPr>
        <w:pStyle w:val="Proposal"/>
      </w:pPr>
      <w:r>
        <w:rPr>
          <w:u w:val="single"/>
        </w:rPr>
        <w:t>NOC</w:t>
      </w:r>
      <w:r>
        <w:tab/>
        <w:t>EUR/9A1</w:t>
      </w:r>
      <w:r w:rsidR="00614B24">
        <w:t>A6</w:t>
      </w:r>
      <w:r>
        <w:t>/2</w:t>
      </w:r>
    </w:p>
    <w:p w:rsidR="00F008F3" w:rsidRPr="004D72B7" w:rsidRDefault="000543F8" w:rsidP="00C95532">
      <w:pPr>
        <w:pStyle w:val="Tabletitle"/>
      </w:pPr>
      <w:r w:rsidRPr="004D72B7">
        <w:t>4</w:t>
      </w:r>
      <w:r w:rsidRPr="00F63BD5">
        <w:t> </w:t>
      </w:r>
      <w:r w:rsidRPr="004D72B7">
        <w:t>800-5</w:t>
      </w:r>
      <w:r w:rsidRPr="00F63BD5">
        <w:t> </w:t>
      </w:r>
      <w:r w:rsidRPr="004D72B7">
        <w:t>570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245062" w:rsidTr="004C7C9D">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245062" w:rsidRDefault="000543F8" w:rsidP="00C95532">
            <w:pPr>
              <w:pStyle w:val="Tablehead"/>
              <w:rPr>
                <w:color w:val="000000"/>
              </w:rPr>
            </w:pPr>
            <w:r w:rsidRPr="00245062">
              <w:rPr>
                <w:color w:val="000000"/>
              </w:rPr>
              <w:t>Atribución a los servicios</w:t>
            </w:r>
          </w:p>
        </w:tc>
      </w:tr>
      <w:tr w:rsidR="00F008F3" w:rsidRPr="00245062" w:rsidTr="004C7C9D">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0543F8" w:rsidP="00C95532">
            <w:pPr>
              <w:pStyle w:val="Tablehead"/>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0543F8" w:rsidP="00C95532">
            <w:pPr>
              <w:pStyle w:val="Tablehead"/>
              <w:rPr>
                <w:color w:val="000000"/>
              </w:rPr>
            </w:pPr>
            <w:r w:rsidRPr="00245062">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245062" w:rsidRDefault="000543F8" w:rsidP="00C95532">
            <w:pPr>
              <w:pStyle w:val="Tablehead"/>
              <w:rPr>
                <w:color w:val="000000"/>
              </w:rPr>
            </w:pPr>
            <w:r w:rsidRPr="00245062">
              <w:rPr>
                <w:color w:val="000000"/>
              </w:rPr>
              <w:t>Región 3</w:t>
            </w:r>
          </w:p>
        </w:tc>
      </w:tr>
      <w:tr w:rsidR="00F008F3" w:rsidRPr="00245062" w:rsidTr="004C7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F008F3" w:rsidRPr="00245062" w:rsidRDefault="000543F8" w:rsidP="00C95532">
            <w:pPr>
              <w:pStyle w:val="TableTextS5"/>
              <w:tabs>
                <w:tab w:val="clear" w:pos="170"/>
                <w:tab w:val="clear" w:pos="567"/>
                <w:tab w:val="clear" w:pos="737"/>
                <w:tab w:val="clear" w:pos="3266"/>
              </w:tabs>
              <w:spacing w:before="14" w:after="14"/>
              <w:rPr>
                <w:color w:val="000000"/>
              </w:rPr>
            </w:pPr>
            <w:r w:rsidRPr="00245062">
              <w:rPr>
                <w:rStyle w:val="Tablefreq"/>
              </w:rPr>
              <w:t>4 800-4 990</w:t>
            </w:r>
            <w:r w:rsidRPr="00245062">
              <w:rPr>
                <w:color w:val="000000"/>
              </w:rPr>
              <w:tab/>
              <w:t>FIJO</w:t>
            </w:r>
          </w:p>
          <w:p w:rsidR="00F008F3" w:rsidRPr="00245062" w:rsidRDefault="000543F8" w:rsidP="00C95532">
            <w:pPr>
              <w:pStyle w:val="TableTextS5"/>
              <w:tabs>
                <w:tab w:val="clear" w:pos="170"/>
                <w:tab w:val="clear" w:pos="567"/>
                <w:tab w:val="clear" w:pos="737"/>
                <w:tab w:val="clear" w:pos="3266"/>
              </w:tabs>
              <w:spacing w:before="14" w:after="14"/>
              <w:rPr>
                <w:color w:val="000000"/>
              </w:rPr>
            </w:pPr>
            <w:r w:rsidRPr="00245062">
              <w:rPr>
                <w:color w:val="000000"/>
              </w:rPr>
              <w:tab/>
              <w:t xml:space="preserve">MÓVIL  </w:t>
            </w:r>
            <w:r w:rsidRPr="00245062">
              <w:rPr>
                <w:rStyle w:val="Artref"/>
                <w:color w:val="000000"/>
              </w:rPr>
              <w:t xml:space="preserve">5.440A 5.442  </w:t>
            </w:r>
          </w:p>
          <w:p w:rsidR="00F008F3" w:rsidRPr="00245062" w:rsidRDefault="000543F8" w:rsidP="00C95532">
            <w:pPr>
              <w:pStyle w:val="TableTextS5"/>
              <w:tabs>
                <w:tab w:val="clear" w:pos="170"/>
                <w:tab w:val="clear" w:pos="567"/>
                <w:tab w:val="clear" w:pos="737"/>
                <w:tab w:val="clear" w:pos="3266"/>
              </w:tabs>
              <w:spacing w:before="14" w:after="14"/>
              <w:rPr>
                <w:color w:val="000000"/>
              </w:rPr>
            </w:pPr>
            <w:r w:rsidRPr="00245062">
              <w:rPr>
                <w:color w:val="000000"/>
              </w:rPr>
              <w:tab/>
              <w:t>Radioastronomía</w:t>
            </w:r>
          </w:p>
          <w:p w:rsidR="00F008F3" w:rsidRPr="00245062" w:rsidRDefault="000543F8" w:rsidP="00C95532">
            <w:pPr>
              <w:pStyle w:val="TableTextS5"/>
              <w:tabs>
                <w:tab w:val="clear" w:pos="170"/>
                <w:tab w:val="clear" w:pos="567"/>
                <w:tab w:val="clear" w:pos="737"/>
                <w:tab w:val="clear" w:pos="3266"/>
              </w:tabs>
              <w:spacing w:before="14" w:after="14"/>
              <w:rPr>
                <w:color w:val="000000"/>
              </w:rPr>
            </w:pPr>
            <w:r w:rsidRPr="00245062">
              <w:rPr>
                <w:color w:val="000000"/>
              </w:rPr>
              <w:tab/>
            </w:r>
            <w:r w:rsidRPr="00245062">
              <w:rPr>
                <w:rStyle w:val="Artref"/>
                <w:color w:val="000000"/>
              </w:rPr>
              <w:t>5.149</w:t>
            </w:r>
            <w:r w:rsidRPr="00245062">
              <w:rPr>
                <w:color w:val="000000"/>
              </w:rPr>
              <w:t xml:space="preserve">  </w:t>
            </w:r>
            <w:r w:rsidRPr="00245062">
              <w:rPr>
                <w:rStyle w:val="Artref"/>
                <w:color w:val="000000"/>
              </w:rPr>
              <w:t>5.339</w:t>
            </w:r>
            <w:r w:rsidRPr="00245062">
              <w:rPr>
                <w:color w:val="000000"/>
              </w:rPr>
              <w:t xml:space="preserve">  </w:t>
            </w:r>
            <w:r w:rsidRPr="00245062">
              <w:rPr>
                <w:rStyle w:val="Artref"/>
                <w:color w:val="000000"/>
              </w:rPr>
              <w:t>5.443</w:t>
            </w:r>
          </w:p>
        </w:tc>
      </w:tr>
    </w:tbl>
    <w:p w:rsidR="00E76159" w:rsidRPr="00FE23F8" w:rsidRDefault="000543F8" w:rsidP="00C95532">
      <w:pPr>
        <w:pStyle w:val="Reasons"/>
      </w:pPr>
      <w:r w:rsidRPr="00FE23F8">
        <w:rPr>
          <w:b/>
        </w:rPr>
        <w:t>Motivos:</w:t>
      </w:r>
      <w:r w:rsidRPr="00FE23F8">
        <w:tab/>
      </w:r>
      <w:r w:rsidR="00FE23F8" w:rsidRPr="00FE23F8">
        <w:t xml:space="preserve">Esta banda se utiliza exclusivamente para aplicaciones de los servicios fijo y móvil (incluidas aplicaciones móviles aeronáuticas y militares) y en muchos países europeos no estará disponible ni siquiera a largo plazo. Además, los estudios de compatibilidad indican que no es viable la compartición entre aplicaciones móviles aeronáuticas y sistemas IMT, ni entre la </w:t>
      </w:r>
      <w:r w:rsidR="00A22912" w:rsidRPr="00FE23F8">
        <w:t>radioastronomía</w:t>
      </w:r>
      <w:r w:rsidR="00FE23F8" w:rsidRPr="00FE23F8">
        <w:t xml:space="preserve"> y los sistemas IMT</w:t>
      </w:r>
      <w:r w:rsidR="00C36120" w:rsidRPr="00FE23F8">
        <w:t>.</w:t>
      </w:r>
    </w:p>
    <w:p w:rsidR="00E76159" w:rsidRPr="00FE23F8" w:rsidRDefault="000543F8" w:rsidP="00C95532">
      <w:pPr>
        <w:pStyle w:val="Proposal"/>
        <w:rPr>
          <w:lang w:val="en-US"/>
        </w:rPr>
      </w:pPr>
      <w:r w:rsidRPr="00FE23F8">
        <w:rPr>
          <w:u w:val="single"/>
          <w:lang w:val="en-US"/>
        </w:rPr>
        <w:t>NOC</w:t>
      </w:r>
      <w:r w:rsidRPr="00FE23F8">
        <w:rPr>
          <w:lang w:val="en-US"/>
        </w:rPr>
        <w:tab/>
        <w:t>EUR/9A1</w:t>
      </w:r>
      <w:r w:rsidR="00614B24" w:rsidRPr="00FE23F8">
        <w:rPr>
          <w:lang w:val="en-US"/>
        </w:rPr>
        <w:t>A6</w:t>
      </w:r>
      <w:r w:rsidRPr="00FE23F8">
        <w:rPr>
          <w:lang w:val="en-US"/>
        </w:rPr>
        <w:t>/3</w:t>
      </w:r>
    </w:p>
    <w:p w:rsidR="00F008F3" w:rsidRPr="00245062" w:rsidRDefault="000543F8" w:rsidP="00C95532">
      <w:pPr>
        <w:pStyle w:val="Tabletitle"/>
      </w:pPr>
      <w:r w:rsidRPr="00FE23F8">
        <w:rPr>
          <w:lang w:val="en-US"/>
        </w:rPr>
        <w:t>5 570-</w:t>
      </w:r>
      <w:r w:rsidRPr="00245062">
        <w:t>7 250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245062" w:rsidTr="0048257C">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245062" w:rsidRDefault="000543F8" w:rsidP="00C95532">
            <w:pPr>
              <w:pStyle w:val="Tablehead"/>
              <w:spacing w:before="60" w:after="60"/>
              <w:rPr>
                <w:color w:val="000000"/>
              </w:rPr>
            </w:pPr>
            <w:r w:rsidRPr="00245062">
              <w:rPr>
                <w:color w:val="000000"/>
              </w:rPr>
              <w:t>Atribución a los servicios</w:t>
            </w:r>
          </w:p>
        </w:tc>
      </w:tr>
      <w:tr w:rsidR="00F008F3" w:rsidRPr="00245062" w:rsidTr="0048257C">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0543F8" w:rsidP="00C95532">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0543F8" w:rsidP="00C95532">
            <w:pPr>
              <w:pStyle w:val="Tablehead"/>
              <w:spacing w:before="60" w:after="60"/>
              <w:rPr>
                <w:color w:val="000000"/>
              </w:rPr>
            </w:pPr>
            <w:r w:rsidRPr="00245062">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245062" w:rsidRDefault="000543F8" w:rsidP="00C95532">
            <w:pPr>
              <w:pStyle w:val="Tablehead"/>
              <w:spacing w:before="60" w:after="60"/>
              <w:rPr>
                <w:color w:val="000000"/>
              </w:rPr>
            </w:pPr>
            <w:r w:rsidRPr="00245062">
              <w:rPr>
                <w:color w:val="000000"/>
              </w:rPr>
              <w:t>Región 3</w:t>
            </w:r>
          </w:p>
        </w:tc>
      </w:tr>
      <w:tr w:rsidR="00F513D9" w:rsidRPr="00245062" w:rsidTr="0048257C">
        <w:trPr>
          <w:cantSplit/>
        </w:trPr>
        <w:tc>
          <w:tcPr>
            <w:tcW w:w="9304" w:type="dxa"/>
            <w:gridSpan w:val="3"/>
            <w:tcBorders>
              <w:top w:val="single" w:sz="6" w:space="0" w:color="auto"/>
              <w:left w:val="single" w:sz="6" w:space="0" w:color="auto"/>
              <w:bottom w:val="single" w:sz="6" w:space="0" w:color="auto"/>
              <w:right w:val="single" w:sz="6" w:space="0" w:color="auto"/>
            </w:tcBorders>
          </w:tcPr>
          <w:p w:rsidR="00F513D9" w:rsidRPr="00245062" w:rsidRDefault="000543F8" w:rsidP="00C95532">
            <w:pPr>
              <w:pStyle w:val="TableTextS5"/>
              <w:spacing w:before="20" w:after="20"/>
              <w:rPr>
                <w:color w:val="000000"/>
              </w:rPr>
            </w:pPr>
            <w:r w:rsidRPr="00245062">
              <w:rPr>
                <w:rStyle w:val="Tablefreq"/>
                <w:color w:val="000000"/>
              </w:rPr>
              <w:t>5 925-6 700</w:t>
            </w:r>
            <w:r w:rsidRPr="00245062">
              <w:rPr>
                <w:color w:val="000000"/>
              </w:rPr>
              <w:tab/>
              <w:t>FIJO  5.457</w:t>
            </w:r>
          </w:p>
          <w:p w:rsidR="00F513D9" w:rsidRPr="00245062" w:rsidRDefault="000543F8" w:rsidP="00C95532">
            <w:pPr>
              <w:pStyle w:val="TableTextS5"/>
              <w:spacing w:before="20" w:after="20"/>
              <w:rPr>
                <w:color w:val="000000"/>
              </w:rPr>
            </w:pPr>
            <w:r w:rsidRPr="00245062">
              <w:rPr>
                <w:color w:val="000000"/>
              </w:rPr>
              <w:tab/>
            </w:r>
            <w:r w:rsidRPr="00245062">
              <w:rPr>
                <w:color w:val="000000"/>
              </w:rPr>
              <w:tab/>
            </w:r>
            <w:r w:rsidRPr="00245062">
              <w:rPr>
                <w:color w:val="000000"/>
              </w:rPr>
              <w:tab/>
            </w:r>
            <w:r w:rsidRPr="00245062">
              <w:rPr>
                <w:color w:val="000000"/>
              </w:rPr>
              <w:tab/>
              <w:t xml:space="preserve">FIJO POR SATÉLITE (Tierra-espacio)  </w:t>
            </w:r>
            <w:r w:rsidRPr="00245062">
              <w:rPr>
                <w:rStyle w:val="Artref"/>
                <w:color w:val="000000"/>
              </w:rPr>
              <w:t>5.457A</w:t>
            </w:r>
            <w:r w:rsidRPr="00245062">
              <w:rPr>
                <w:color w:val="000000"/>
              </w:rPr>
              <w:t xml:space="preserve">  </w:t>
            </w:r>
            <w:r w:rsidRPr="00245062">
              <w:rPr>
                <w:rStyle w:val="Artref"/>
                <w:color w:val="000000"/>
              </w:rPr>
              <w:t>5.457B</w:t>
            </w:r>
          </w:p>
          <w:p w:rsidR="00F513D9" w:rsidRPr="00245062" w:rsidRDefault="000543F8" w:rsidP="00C95532">
            <w:pPr>
              <w:pStyle w:val="TableTextS5"/>
              <w:spacing w:before="20" w:after="20"/>
              <w:rPr>
                <w:color w:val="000000"/>
              </w:rPr>
            </w:pPr>
            <w:r w:rsidRPr="00245062">
              <w:rPr>
                <w:color w:val="000000"/>
              </w:rPr>
              <w:tab/>
            </w:r>
            <w:r w:rsidRPr="00245062">
              <w:rPr>
                <w:color w:val="000000"/>
              </w:rPr>
              <w:tab/>
            </w:r>
            <w:r w:rsidRPr="00245062">
              <w:rPr>
                <w:color w:val="000000"/>
              </w:rPr>
              <w:tab/>
            </w:r>
            <w:r w:rsidRPr="00245062">
              <w:rPr>
                <w:color w:val="000000"/>
              </w:rPr>
              <w:tab/>
              <w:t>MÓVIL  5.457C</w:t>
            </w:r>
          </w:p>
          <w:p w:rsidR="00F513D9" w:rsidRPr="00245062" w:rsidRDefault="000543F8" w:rsidP="00C95532">
            <w:pPr>
              <w:pStyle w:val="TableTextS5"/>
              <w:spacing w:before="20" w:after="2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5.149</w:t>
            </w:r>
            <w:r w:rsidRPr="00245062">
              <w:rPr>
                <w:color w:val="000000"/>
              </w:rPr>
              <w:t xml:space="preserve">  </w:t>
            </w:r>
            <w:r w:rsidRPr="00245062">
              <w:rPr>
                <w:rStyle w:val="Artref"/>
                <w:color w:val="000000"/>
              </w:rPr>
              <w:t>5.440</w:t>
            </w:r>
            <w:r w:rsidRPr="00245062">
              <w:rPr>
                <w:color w:val="000000"/>
              </w:rPr>
              <w:t xml:space="preserve">  </w:t>
            </w:r>
            <w:r w:rsidRPr="00245062">
              <w:rPr>
                <w:rStyle w:val="Artref"/>
                <w:color w:val="000000"/>
              </w:rPr>
              <w:t>5.458</w:t>
            </w:r>
          </w:p>
        </w:tc>
      </w:tr>
    </w:tbl>
    <w:p w:rsidR="00E76159" w:rsidRPr="00FE23F8" w:rsidRDefault="000543F8" w:rsidP="00C95532">
      <w:pPr>
        <w:pStyle w:val="Reasons"/>
      </w:pPr>
      <w:r w:rsidRPr="00C95532">
        <w:rPr>
          <w:b/>
        </w:rPr>
        <w:t>Motivos:</w:t>
      </w:r>
      <w:r w:rsidRPr="00C95532">
        <w:tab/>
      </w:r>
      <w:r w:rsidR="00FE23F8" w:rsidRPr="00C95532">
        <w:t>La banda</w:t>
      </w:r>
      <w:r w:rsidR="007A2C28" w:rsidRPr="00C95532">
        <w:t xml:space="preserve"> 5 925-6 425 MHz </w:t>
      </w:r>
      <w:r w:rsidR="00FE23F8" w:rsidRPr="00C95532">
        <w:t xml:space="preserve">está siendo muy utilizada por el servicio fijo y el servicio fijo por satélite. </w:t>
      </w:r>
      <w:r w:rsidR="00FE23F8" w:rsidRPr="00FE23F8">
        <w:t>La utilización de esta banda por el servicio fijo no va a reducirse en muchos pa</w:t>
      </w:r>
      <w:r w:rsidR="00FE23F8">
        <w:t>íses, pues el aumento del tráfico en la red de acceso móvil también tendrá que tratarse en la red de retroceso</w:t>
      </w:r>
      <w:r w:rsidR="007A2C28" w:rsidRPr="00FE23F8">
        <w:t>.</w:t>
      </w:r>
    </w:p>
    <w:p w:rsidR="00A8304B" w:rsidRPr="00FE23F8" w:rsidRDefault="00FE23F8" w:rsidP="00C95532">
      <w:pPr>
        <w:pStyle w:val="Reasons"/>
      </w:pPr>
      <w:r w:rsidRPr="00FE23F8">
        <w:t>De acuerdo con los estudios de compartición no hay posibilidad de realizar una armonización mundial ni inter</w:t>
      </w:r>
      <w:r>
        <w:t>és por una utilización de las IMT en interiores con un límite de p.i.r.e.</w:t>
      </w:r>
    </w:p>
    <w:p w:rsidR="00A8304B" w:rsidRPr="006465BD" w:rsidRDefault="006465BD" w:rsidP="00C95532">
      <w:pPr>
        <w:pStyle w:val="Reasons"/>
      </w:pPr>
      <w:r w:rsidRPr="006465BD">
        <w:t>De entre todos los servicios, las consecuencias para las estaciones espaciales del servicio fijo por satélite son las más difíciles desde el punto de vista de los estudios de compartición y compatibilidad porque la interferencia perjudicial procede de la transmisi</w:t>
      </w:r>
      <w:r>
        <w:t xml:space="preserve">ón simultánea de múltiples </w:t>
      </w:r>
      <w:r w:rsidR="00A22912">
        <w:t>estaciones</w:t>
      </w:r>
      <w:r>
        <w:t xml:space="preserve"> IMT implantadas en distintos países, incluso continentes. </w:t>
      </w:r>
      <w:r w:rsidRPr="006465BD">
        <w:t xml:space="preserve">De acuerdo con los estudios disponibles, la implantación de las IMT en esta banda sólo es posible si se limita la p.i.r.e. máxima de las </w:t>
      </w:r>
      <w:r w:rsidR="00A22912" w:rsidRPr="006465BD">
        <w:t>estaciones</w:t>
      </w:r>
      <w:r w:rsidRPr="006465BD">
        <w:t xml:space="preserve"> IMT y sólo se implantan para la utilización en </w:t>
      </w:r>
      <w:r w:rsidR="00A22912" w:rsidRPr="006465BD">
        <w:t>interiores</w:t>
      </w:r>
      <w:r w:rsidRPr="006465BD">
        <w:t xml:space="preserve">. El resultado de los estudios de compartición y el límite de p.i.r.e. que se ha de respetar restringen la utilización de las IMT en </w:t>
      </w:r>
      <w:r w:rsidR="00A22912" w:rsidRPr="006465BD">
        <w:t>interiores</w:t>
      </w:r>
      <w:r w:rsidRPr="006465BD">
        <w:t xml:space="preserve"> en esta banda</w:t>
      </w:r>
      <w:r w:rsidR="00A8304B" w:rsidRPr="006465BD">
        <w:t xml:space="preserve">. </w:t>
      </w:r>
    </w:p>
    <w:p w:rsidR="00A8304B" w:rsidRPr="0028672E" w:rsidRDefault="006465BD" w:rsidP="00C95532">
      <w:pPr>
        <w:pStyle w:val="Reasons"/>
      </w:pPr>
      <w:r w:rsidRPr="006465BD">
        <w:t xml:space="preserve">Además, la utilización de esta banda por el servicio fijo no va a menguar en muchos </w:t>
      </w:r>
      <w:r w:rsidR="00A22912" w:rsidRPr="006465BD">
        <w:t>países,</w:t>
      </w:r>
      <w:r w:rsidRPr="006465BD">
        <w:t xml:space="preserve"> pues el aumento del tráfico en la red de acceso móvil también deberá tratarse en la red de retroceso. Esta banda se utiliza para interconectar nodos de concentración locales (donde se concentra el tráfico de varias estaciones base móviles</w:t>
      </w:r>
      <w:r w:rsidR="00A22912" w:rsidRPr="006465BD">
        <w:t>) con</w:t>
      </w:r>
      <w:r w:rsidRPr="006465BD">
        <w:t xml:space="preserve"> la red principal del operador móvil. </w:t>
      </w:r>
      <w:r w:rsidR="0028672E" w:rsidRPr="0028672E">
        <w:t>Esta banda permite trayectos de entre 20 y 80 km de longitud con un caudal superior a</w:t>
      </w:r>
      <w:r w:rsidR="00A8304B" w:rsidRPr="0028672E">
        <w:t xml:space="preserve"> 1 Gbps. </w:t>
      </w:r>
      <w:r w:rsidR="0028672E" w:rsidRPr="0028672E">
        <w:t xml:space="preserve">Hay muy pocas alternativas a la utilización de esta banda, pues las demás bandas del SF con características comparables también están congestionada y en muchos casos la fibra </w:t>
      </w:r>
      <w:r w:rsidR="0028672E">
        <w:t xml:space="preserve">óptica no es una solución viable. </w:t>
      </w:r>
      <w:r w:rsidR="0028672E" w:rsidRPr="0028672E">
        <w:t>Además, en la actualidad la interferencia causada a los enlaces del servicio fijo en esta banda sería particularmente perjudicial pues un único enlace del servicio fijo suele agregar tr</w:t>
      </w:r>
      <w:r w:rsidR="0028672E">
        <w:t xml:space="preserve">áfico desde y hacia </w:t>
      </w:r>
      <w:r w:rsidR="00A8304B" w:rsidRPr="0028672E">
        <w:t xml:space="preserve">20-40 </w:t>
      </w:r>
      <w:r w:rsidR="0028672E" w:rsidRPr="0028672E">
        <w:t>estaciones base, lo que implica que un gran n</w:t>
      </w:r>
      <w:r w:rsidR="0028672E">
        <w:t>úmero de clientes se ve afectado por un único interferente</w:t>
      </w:r>
      <w:r w:rsidR="00A8304B" w:rsidRPr="0028672E">
        <w:t>.</w:t>
      </w:r>
    </w:p>
    <w:p w:rsidR="00A8304B" w:rsidRPr="00A22912" w:rsidRDefault="0028672E" w:rsidP="00C95532">
      <w:pPr>
        <w:pStyle w:val="Reasons"/>
      </w:pPr>
      <w:r w:rsidRPr="0028672E">
        <w:t xml:space="preserve">En muchos países </w:t>
      </w:r>
      <w:r w:rsidRPr="006465BD">
        <w:t>la utilización de esta banda por el servicio fijo no va a menguar, pues el aumento del tráfico en la red de acceso móvil también deberá tratarse en la red de retroceso</w:t>
      </w:r>
      <w:r>
        <w:t xml:space="preserve">. </w:t>
      </w:r>
      <w:r w:rsidRPr="0028672E">
        <w:t xml:space="preserve">Una administración prevé que con el despliegue de las redes IMT-Avanzadas resulte imposible sostener los enlaces P-P </w:t>
      </w:r>
      <w:r w:rsidR="00A22912" w:rsidRPr="0028672E">
        <w:t>dorsales</w:t>
      </w:r>
      <w:r w:rsidRPr="0028672E">
        <w:t xml:space="preserve"> en gamas de bajas frecuencias, como</w:t>
      </w:r>
      <w:r w:rsidR="00A8304B" w:rsidRPr="0028672E">
        <w:t xml:space="preserve"> 5 925-6 425 MHz</w:t>
      </w:r>
      <w:r w:rsidRPr="0028672E">
        <w:t>, y finalmente tengan que sustituirse por redes de fibra.</w:t>
      </w:r>
      <w:r>
        <w:t xml:space="preserve"> </w:t>
      </w:r>
      <w:r w:rsidRPr="0028672E">
        <w:t xml:space="preserve">Por otra parte, </w:t>
      </w:r>
      <w:r>
        <w:t>al</w:t>
      </w:r>
      <w:r w:rsidRPr="0028672E">
        <w:t xml:space="preserve"> densifica</w:t>
      </w:r>
      <w:r>
        <w:t>rse con</w:t>
      </w:r>
      <w:r w:rsidRPr="0028672E">
        <w:t xml:space="preserve"> enlaces P-P </w:t>
      </w:r>
      <w:r>
        <w:t>las</w:t>
      </w:r>
      <w:r w:rsidRPr="0028672E">
        <w:t xml:space="preserve"> bandas superiores con </w:t>
      </w:r>
      <w:r w:rsidR="00A22912" w:rsidRPr="0028672E">
        <w:t>mayores</w:t>
      </w:r>
      <w:r w:rsidRPr="0028672E">
        <w:t xml:space="preserve"> capacidades</w:t>
      </w:r>
      <w:r>
        <w:t>, éstas se utilizarán para saltos de gama más cortos</w:t>
      </w:r>
      <w:r w:rsidR="00A8304B" w:rsidRPr="00A22912">
        <w:t>.</w:t>
      </w:r>
    </w:p>
    <w:p w:rsidR="00A8304B" w:rsidRPr="00A22912" w:rsidRDefault="00A8304B" w:rsidP="00C95532">
      <w:pPr>
        <w:pStyle w:val="Reasons"/>
      </w:pPr>
    </w:p>
    <w:p w:rsidR="00030001" w:rsidRPr="00A8304B" w:rsidRDefault="00A8304B" w:rsidP="00C95532">
      <w:pPr>
        <w:jc w:val="center"/>
      </w:pPr>
      <w:r>
        <w:t>______________</w:t>
      </w:r>
    </w:p>
    <w:sectPr w:rsidR="00030001" w:rsidRPr="00A8304B">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7E2C7A" w:rsidRDefault="0077084A">
    <w:pPr>
      <w:ind w:right="360"/>
    </w:pPr>
    <w:r>
      <w:fldChar w:fldCharType="begin"/>
    </w:r>
    <w:r w:rsidRPr="007E2C7A">
      <w:instrText xml:space="preserve"> FILENAME \p  \* MERGEFORMAT </w:instrText>
    </w:r>
    <w:r>
      <w:fldChar w:fldCharType="separate"/>
    </w:r>
    <w:r w:rsidR="00F75D5B">
      <w:rPr>
        <w:noProof/>
      </w:rPr>
      <w:t>P:\ESP\ITU-R\CONF-R\CMR15\000\009ADD01ADD06S.docx</w:t>
    </w:r>
    <w:r>
      <w:fldChar w:fldCharType="end"/>
    </w:r>
    <w:r w:rsidRPr="007E2C7A">
      <w:tab/>
    </w:r>
    <w:r>
      <w:fldChar w:fldCharType="begin"/>
    </w:r>
    <w:r>
      <w:instrText xml:space="preserve"> SAVEDATE \@ DD.MM.YY </w:instrText>
    </w:r>
    <w:r>
      <w:fldChar w:fldCharType="separate"/>
    </w:r>
    <w:r w:rsidR="00F75D5B">
      <w:rPr>
        <w:noProof/>
      </w:rPr>
      <w:t>13.07.15</w:t>
    </w:r>
    <w:r>
      <w:fldChar w:fldCharType="end"/>
    </w:r>
    <w:r w:rsidRPr="007E2C7A">
      <w:tab/>
    </w:r>
    <w:r>
      <w:fldChar w:fldCharType="begin"/>
    </w:r>
    <w:r>
      <w:instrText xml:space="preserve"> PRINTDATE \@ DD.MM.YY </w:instrText>
    </w:r>
    <w:r>
      <w:fldChar w:fldCharType="separate"/>
    </w:r>
    <w:r w:rsidR="00F75D5B">
      <w:rPr>
        <w:noProof/>
      </w:rPr>
      <w:t>13.07.15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FAA" w:rsidRDefault="00F76FAA" w:rsidP="00F76FAA">
    <w:pPr>
      <w:pStyle w:val="Footer"/>
    </w:pPr>
    <w:fldSimple w:instr=" FILENAME \p  \* MERGEFORMAT ">
      <w:r w:rsidR="00F75D5B">
        <w:t>P:\ESP\ITU-R\CONF-R\CMR15\000\009ADD01ADD06S.docx</w:t>
      </w:r>
    </w:fldSimple>
    <w:r>
      <w:t xml:space="preserve"> (383789)</w:t>
    </w:r>
    <w:r>
      <w:tab/>
    </w:r>
    <w:r>
      <w:fldChar w:fldCharType="begin"/>
    </w:r>
    <w:r>
      <w:instrText xml:space="preserve"> SAVEDATE \@ DD.MM.YY </w:instrText>
    </w:r>
    <w:r>
      <w:fldChar w:fldCharType="separate"/>
    </w:r>
    <w:r w:rsidR="00F75D5B">
      <w:t>13.07.15</w:t>
    </w:r>
    <w:r>
      <w:fldChar w:fldCharType="end"/>
    </w:r>
    <w:r>
      <w:tab/>
    </w:r>
    <w:r>
      <w:fldChar w:fldCharType="begin"/>
    </w:r>
    <w:r>
      <w:instrText xml:space="preserve"> PRINTDATE \@ DD.MM.YY </w:instrText>
    </w:r>
    <w:r>
      <w:fldChar w:fldCharType="separate"/>
    </w:r>
    <w:r w:rsidR="00F75D5B">
      <w:t>13.07.15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FAA" w:rsidRDefault="00F75D5B">
    <w:pPr>
      <w:pStyle w:val="Footer"/>
    </w:pPr>
    <w:r>
      <w:fldChar w:fldCharType="begin"/>
    </w:r>
    <w:r>
      <w:instrText xml:space="preserve"> FILENAME \p  \* MERGEFORMAT </w:instrText>
    </w:r>
    <w:r>
      <w:fldChar w:fldCharType="separate"/>
    </w:r>
    <w:r>
      <w:t>P:\ESP\ITU-R\CONF-R\CMR15\000\009ADD01ADD06S.docx</w:t>
    </w:r>
    <w:r>
      <w:fldChar w:fldCharType="end"/>
    </w:r>
    <w:r w:rsidR="00F76FAA">
      <w:t xml:space="preserve"> (383789)</w:t>
    </w:r>
    <w:r w:rsidR="00F76FAA">
      <w:tab/>
    </w:r>
    <w:r w:rsidR="00F76FAA">
      <w:fldChar w:fldCharType="begin"/>
    </w:r>
    <w:r w:rsidR="00F76FAA">
      <w:instrText xml:space="preserve"> SAVEDATE \@ DD.MM.YY </w:instrText>
    </w:r>
    <w:r w:rsidR="00F76FAA">
      <w:fldChar w:fldCharType="separate"/>
    </w:r>
    <w:r>
      <w:t>13.07.15</w:t>
    </w:r>
    <w:r w:rsidR="00F76FAA">
      <w:fldChar w:fldCharType="end"/>
    </w:r>
    <w:r w:rsidR="00F76FAA">
      <w:tab/>
    </w:r>
    <w:r w:rsidR="00F76FAA">
      <w:fldChar w:fldCharType="begin"/>
    </w:r>
    <w:r w:rsidR="00F76FAA">
      <w:instrText xml:space="preserve"> PRINTDATE \@ DD.MM.YY </w:instrText>
    </w:r>
    <w:r w:rsidR="00F76FAA">
      <w:fldChar w:fldCharType="separate"/>
    </w:r>
    <w:r>
      <w:t>13.07.15</w:t>
    </w:r>
    <w:r w:rsidR="00F76FA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75D5B">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9(Add.1)(Add.6)-</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30001"/>
    <w:rsid w:val="000543F8"/>
    <w:rsid w:val="00087AE8"/>
    <w:rsid w:val="000A5B9A"/>
    <w:rsid w:val="000B5AF2"/>
    <w:rsid w:val="000E1D92"/>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8672E"/>
    <w:rsid w:val="002A791F"/>
    <w:rsid w:val="002C1B26"/>
    <w:rsid w:val="002C5D6C"/>
    <w:rsid w:val="002E701F"/>
    <w:rsid w:val="003248A9"/>
    <w:rsid w:val="00324FFA"/>
    <w:rsid w:val="0032680B"/>
    <w:rsid w:val="00363A65"/>
    <w:rsid w:val="003B1E8C"/>
    <w:rsid w:val="003C2508"/>
    <w:rsid w:val="003D0AA3"/>
    <w:rsid w:val="0043262F"/>
    <w:rsid w:val="00440B3A"/>
    <w:rsid w:val="0044239E"/>
    <w:rsid w:val="0045384C"/>
    <w:rsid w:val="00454553"/>
    <w:rsid w:val="004B124A"/>
    <w:rsid w:val="005133B5"/>
    <w:rsid w:val="00532097"/>
    <w:rsid w:val="0058350F"/>
    <w:rsid w:val="00583C7E"/>
    <w:rsid w:val="005C5B32"/>
    <w:rsid w:val="005D46FB"/>
    <w:rsid w:val="005F1729"/>
    <w:rsid w:val="005F2605"/>
    <w:rsid w:val="005F3B0E"/>
    <w:rsid w:val="005F559C"/>
    <w:rsid w:val="00614B24"/>
    <w:rsid w:val="006465BD"/>
    <w:rsid w:val="00662BA0"/>
    <w:rsid w:val="00692AAE"/>
    <w:rsid w:val="006D6E67"/>
    <w:rsid w:val="006E1A13"/>
    <w:rsid w:val="00701C20"/>
    <w:rsid w:val="00702F3D"/>
    <w:rsid w:val="0070518E"/>
    <w:rsid w:val="007354E9"/>
    <w:rsid w:val="00765578"/>
    <w:rsid w:val="0077084A"/>
    <w:rsid w:val="007952C7"/>
    <w:rsid w:val="007A2C28"/>
    <w:rsid w:val="007C0B95"/>
    <w:rsid w:val="007C2317"/>
    <w:rsid w:val="007D330A"/>
    <w:rsid w:val="007E2C7A"/>
    <w:rsid w:val="00866AE6"/>
    <w:rsid w:val="008750A8"/>
    <w:rsid w:val="008E5AF2"/>
    <w:rsid w:val="0090121B"/>
    <w:rsid w:val="009144C9"/>
    <w:rsid w:val="0094091F"/>
    <w:rsid w:val="00973754"/>
    <w:rsid w:val="009C0BED"/>
    <w:rsid w:val="009E11EC"/>
    <w:rsid w:val="00A118DB"/>
    <w:rsid w:val="00A22912"/>
    <w:rsid w:val="00A4450C"/>
    <w:rsid w:val="00A8304B"/>
    <w:rsid w:val="00AA5E6C"/>
    <w:rsid w:val="00AE5677"/>
    <w:rsid w:val="00AE658F"/>
    <w:rsid w:val="00AF2F78"/>
    <w:rsid w:val="00B239FA"/>
    <w:rsid w:val="00B52D55"/>
    <w:rsid w:val="00B8288C"/>
    <w:rsid w:val="00BE2E80"/>
    <w:rsid w:val="00BE5EDD"/>
    <w:rsid w:val="00BE6A1F"/>
    <w:rsid w:val="00C118F1"/>
    <w:rsid w:val="00C126C4"/>
    <w:rsid w:val="00C36120"/>
    <w:rsid w:val="00C63EB5"/>
    <w:rsid w:val="00C95532"/>
    <w:rsid w:val="00CC01E0"/>
    <w:rsid w:val="00CD5FEE"/>
    <w:rsid w:val="00CE60D2"/>
    <w:rsid w:val="00CE7431"/>
    <w:rsid w:val="00D0288A"/>
    <w:rsid w:val="00D72A5D"/>
    <w:rsid w:val="00DC629B"/>
    <w:rsid w:val="00E05BFF"/>
    <w:rsid w:val="00E262F1"/>
    <w:rsid w:val="00E3176A"/>
    <w:rsid w:val="00E54754"/>
    <w:rsid w:val="00E56BD3"/>
    <w:rsid w:val="00E71D14"/>
    <w:rsid w:val="00E76159"/>
    <w:rsid w:val="00E84A9A"/>
    <w:rsid w:val="00F66597"/>
    <w:rsid w:val="00F675D0"/>
    <w:rsid w:val="00F75D5B"/>
    <w:rsid w:val="00F76FAA"/>
    <w:rsid w:val="00F8150C"/>
    <w:rsid w:val="00FA1ED2"/>
    <w:rsid w:val="00FE23F8"/>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8C2CB1D-025E-4CEE-AFA1-29EEE3C6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R15-WRC15-C-0009!A1-A6!MSW-S</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73B716-43F7-41F4-9748-E683820E8CFD}">
  <ds:schemaRefs>
    <ds:schemaRef ds:uri="http://schemas.microsoft.com/office/2006/documentManagement/types"/>
    <ds:schemaRef ds:uri="http://www.w3.org/XML/1998/namespace"/>
    <ds:schemaRef ds:uri="http://purl.org/dc/dcmitype/"/>
    <ds:schemaRef ds:uri="32a1a8c5-2265-4ebc-b7a0-2071e2c5c9bb"/>
    <ds:schemaRef ds:uri="996b2e75-67fd-4955-a3b0-5ab9934cb50b"/>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elements/1.1/"/>
  </ds:schemaRefs>
</ds:datastoreItem>
</file>

<file path=customXml/itemProps5.xml><?xml version="1.0" encoding="utf-8"?>
<ds:datastoreItem xmlns:ds="http://schemas.openxmlformats.org/officeDocument/2006/customXml" ds:itemID="{8556AC7D-C0FD-4ECB-A075-85C59038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813</Words>
  <Characters>4248</Characters>
  <Application>Microsoft Office Word</Application>
  <DocSecurity>0</DocSecurity>
  <Lines>102</Lines>
  <Paragraphs>51</Paragraphs>
  <ScaleCrop>false</ScaleCrop>
  <HeadingPairs>
    <vt:vector size="2" baseType="variant">
      <vt:variant>
        <vt:lpstr>Title</vt:lpstr>
      </vt:variant>
      <vt:variant>
        <vt:i4>1</vt:i4>
      </vt:variant>
    </vt:vector>
  </HeadingPairs>
  <TitlesOfParts>
    <vt:vector size="1" baseType="lpstr">
      <vt:lpstr>R15-WRC15-C-0009!A1-A6!MSW-S</vt:lpstr>
    </vt:vector>
  </TitlesOfParts>
  <Manager>Secretaría General - Pool</Manager>
  <Company>Unión Internacional de Telecomunicaciones (UIT)</Company>
  <LinksUpToDate>false</LinksUpToDate>
  <CharactersWithSpaces>5046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R15-WRC15-C-0009!A1-A6!MSW-S</dc:title>
  <dc:subject>Conferencia Mundial de Radiocomunicaciones - 2015</dc:subject>
  <dc:creator>Documents Proposals Manager (DPM)</dc:creator>
  <cp:keywords>DPM_v5.2015.7.6_prod</cp:keywords>
  <dc:description/>
  <cp:lastModifiedBy>Garcia Prieto, M. Esperanza</cp:lastModifiedBy>
  <cp:revision>5</cp:revision>
  <cp:lastPrinted>2015-07-13T07:49:00Z</cp:lastPrinted>
  <dcterms:created xsi:type="dcterms:W3CDTF">2015-07-13T07:33:00Z</dcterms:created>
  <dcterms:modified xsi:type="dcterms:W3CDTF">2015-07-13T07:50:00Z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