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(Add.10)</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rPr>
                <w:rFonts w:ascii="Verdana" w:hAnsi="Verdana" w:cs="Traditional Arabic"/>
              </w:rPr>
              <w:t>欧洲共同提案</w:t>
            </w:r>
            <w:proofErr w:type="spellEnd"/>
          </w:p>
        </w:tc>
      </w:tr>
      <w:tr w:rsidR="008221A4">
        <w:trPr>
          <w:cantSplit/>
        </w:trPr>
        <w:tc>
          <w:tcPr>
            <w:tcW w:w="10031" w:type="dxa"/>
            <w:gridSpan w:val="2"/>
          </w:tcPr>
          <w:p w:rsidR="008221A4" w:rsidRDefault="000D67BF" w:rsidP="008221A4">
            <w:pPr>
              <w:pStyle w:val="Title1"/>
              <w:rPr>
                <w:lang w:eastAsia="zh-CN"/>
              </w:rPr>
            </w:pPr>
            <w:bookmarkStart w:id="5" w:name="dtitle1" w:colFirst="0" w:colLast="0"/>
            <w:bookmarkEnd w:id="4"/>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A54279">
              <w:rPr>
                <w:rFonts w:asciiTheme="majorBidi" w:hAnsiTheme="majorBidi" w:cstheme="majorBidi"/>
              </w:rPr>
              <w:t>1.10</w:t>
            </w:r>
          </w:p>
        </w:tc>
      </w:tr>
    </w:tbl>
    <w:bookmarkEnd w:id="7"/>
    <w:p w:rsidR="008B60D0" w:rsidRPr="00D42E4F" w:rsidRDefault="006F5F2B" w:rsidP="00A54279">
      <w:pPr>
        <w:pStyle w:val="Normalaftertitle0"/>
        <w:rPr>
          <w:lang w:eastAsia="zh-CN"/>
        </w:rPr>
      </w:pPr>
      <w:r w:rsidRPr="009C33AA">
        <w:rPr>
          <w:lang w:eastAsia="zh-CN"/>
        </w:rPr>
        <w:t>1.10</w:t>
      </w:r>
      <w:r w:rsidRPr="009C33AA">
        <w:rPr>
          <w:lang w:eastAsia="zh-CN"/>
        </w:rPr>
        <w:tab/>
      </w:r>
      <w:r w:rsidRPr="009C33AA">
        <w:rPr>
          <w:rFonts w:hint="eastAsia"/>
          <w:lang w:eastAsia="zh-CN"/>
        </w:rPr>
        <w:t>根据第</w:t>
      </w:r>
      <w:r w:rsidRPr="009C33AA">
        <w:rPr>
          <w:b/>
          <w:bCs/>
          <w:lang w:eastAsia="zh-CN"/>
        </w:rPr>
        <w:t>234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22 GHz</w:t>
      </w:r>
      <w:r w:rsidRPr="009C33AA">
        <w:rPr>
          <w:rFonts w:hint="eastAsia"/>
          <w:lang w:eastAsia="zh-CN"/>
        </w:rPr>
        <w:t>至</w:t>
      </w:r>
      <w:r w:rsidRPr="009C33AA">
        <w:rPr>
          <w:lang w:eastAsia="zh-CN"/>
        </w:rPr>
        <w:t>26 GHz</w:t>
      </w:r>
      <w:r w:rsidRPr="009C33AA">
        <w:rPr>
          <w:rFonts w:hint="eastAsia"/>
          <w:lang w:eastAsia="zh-CN"/>
        </w:rPr>
        <w:t>的频率范围内卫星移动业务地对空和空对地方向（包括涵盖国际移动通信（</w:t>
      </w:r>
      <w:r w:rsidRPr="009C33AA">
        <w:rPr>
          <w:lang w:eastAsia="zh-CN"/>
        </w:rPr>
        <w:t>IMT</w:t>
      </w:r>
      <w:r w:rsidRPr="009C33AA">
        <w:rPr>
          <w:rFonts w:hint="eastAsia"/>
          <w:lang w:eastAsia="zh-CN"/>
        </w:rPr>
        <w:t>）的宽带应用的卫星部分）的频谱需求并考虑做出可能的附加频谱划分；</w:t>
      </w:r>
    </w:p>
    <w:p w:rsidR="003059AF" w:rsidRPr="000D67BF" w:rsidRDefault="000D67BF" w:rsidP="003059AF">
      <w:pPr>
        <w:pStyle w:val="headingb0"/>
        <w:rPr>
          <w:rFonts w:eastAsiaTheme="minorEastAsia"/>
          <w:lang w:val="en-US" w:eastAsia="zh-CN"/>
        </w:rPr>
      </w:pPr>
      <w:r>
        <w:rPr>
          <w:rFonts w:eastAsiaTheme="minorEastAsia" w:hint="eastAsia"/>
          <w:lang w:val="en-US" w:eastAsia="zh-CN"/>
        </w:rPr>
        <w:t>引言</w:t>
      </w:r>
    </w:p>
    <w:p w:rsidR="003059AF" w:rsidRPr="000D7304" w:rsidRDefault="000D67BF" w:rsidP="00EB3C4F">
      <w:pPr>
        <w:ind w:firstLineChars="200" w:firstLine="480"/>
        <w:rPr>
          <w:lang w:eastAsia="zh-CN"/>
        </w:rPr>
      </w:pPr>
      <w:r>
        <w:rPr>
          <w:rFonts w:hint="eastAsia"/>
          <w:lang w:eastAsia="zh-CN"/>
        </w:rPr>
        <w:t>第</w:t>
      </w:r>
      <w:r w:rsidR="003059AF" w:rsidRPr="000D7304">
        <w:rPr>
          <w:lang w:eastAsia="zh-CN"/>
        </w:rPr>
        <w:t>234</w:t>
      </w:r>
      <w:r>
        <w:rPr>
          <w:rFonts w:hint="eastAsia"/>
          <w:lang w:eastAsia="zh-CN"/>
        </w:rPr>
        <w:t>号决议</w:t>
      </w:r>
      <w:r w:rsidR="00EB3C4F">
        <w:rPr>
          <w:rFonts w:hint="eastAsia"/>
          <w:lang w:eastAsia="zh-CN"/>
        </w:rPr>
        <w:t>（</w:t>
      </w:r>
      <w:r w:rsidR="003059AF" w:rsidRPr="000D7304">
        <w:rPr>
          <w:lang w:eastAsia="zh-CN"/>
        </w:rPr>
        <w:t>WRC-12</w:t>
      </w:r>
      <w:r w:rsidR="00EB3C4F">
        <w:rPr>
          <w:rFonts w:hint="eastAsia"/>
          <w:lang w:eastAsia="zh-CN"/>
        </w:rPr>
        <w:t>）</w:t>
      </w:r>
      <w:r>
        <w:rPr>
          <w:rFonts w:hint="eastAsia"/>
          <w:lang w:eastAsia="zh-CN"/>
        </w:rPr>
        <w:t>做出决议，请</w:t>
      </w:r>
      <w:r w:rsidR="003059AF" w:rsidRPr="000D7304">
        <w:rPr>
          <w:lang w:eastAsia="zh-CN"/>
        </w:rPr>
        <w:t>ITU-R</w:t>
      </w:r>
      <w:r w:rsidR="00D16828">
        <w:rPr>
          <w:rFonts w:hint="eastAsia"/>
          <w:lang w:eastAsia="zh-CN"/>
        </w:rPr>
        <w:t>在</w:t>
      </w:r>
      <w:r w:rsidR="00D16828" w:rsidRPr="00D32C15">
        <w:rPr>
          <w:lang w:eastAsia="zh-CN"/>
        </w:rPr>
        <w:t>WRC</w:t>
      </w:r>
      <w:r w:rsidR="00D16828">
        <w:rPr>
          <w:lang w:eastAsia="zh-CN"/>
        </w:rPr>
        <w:t>-15</w:t>
      </w:r>
      <w:r w:rsidR="00D16828">
        <w:rPr>
          <w:rFonts w:hint="eastAsia"/>
          <w:lang w:eastAsia="zh-CN"/>
        </w:rPr>
        <w:t>之前完成旨在实现在</w:t>
      </w:r>
      <w:r w:rsidR="00D16828">
        <w:rPr>
          <w:rFonts w:hint="eastAsia"/>
          <w:szCs w:val="24"/>
          <w:lang w:eastAsia="zh-CN"/>
        </w:rPr>
        <w:t>22</w:t>
      </w:r>
      <w:r w:rsidR="00D16828" w:rsidRPr="00474D94">
        <w:rPr>
          <w:szCs w:val="24"/>
          <w:lang w:eastAsia="zh-CN"/>
        </w:rPr>
        <w:t> GHz</w:t>
      </w:r>
      <w:r w:rsidR="00D16828">
        <w:rPr>
          <w:rFonts w:hint="eastAsia"/>
          <w:szCs w:val="24"/>
          <w:lang w:eastAsia="zh-CN"/>
        </w:rPr>
        <w:t>至</w:t>
      </w:r>
      <w:r w:rsidR="00D16828">
        <w:rPr>
          <w:rFonts w:hint="eastAsia"/>
          <w:szCs w:val="24"/>
          <w:lang w:eastAsia="zh-CN"/>
        </w:rPr>
        <w:t>26</w:t>
      </w:r>
      <w:r w:rsidR="00D16828">
        <w:rPr>
          <w:szCs w:val="24"/>
          <w:lang w:eastAsia="zh-CN"/>
        </w:rPr>
        <w:t> </w:t>
      </w:r>
      <w:r w:rsidR="00D16828">
        <w:rPr>
          <w:rFonts w:hint="eastAsia"/>
          <w:szCs w:val="24"/>
          <w:lang w:eastAsia="zh-CN"/>
        </w:rPr>
        <w:t>GHz</w:t>
      </w:r>
      <w:r w:rsidR="00D16828">
        <w:rPr>
          <w:rFonts w:hint="eastAsia"/>
          <w:szCs w:val="24"/>
          <w:lang w:eastAsia="zh-CN"/>
        </w:rPr>
        <w:t>部分</w:t>
      </w:r>
      <w:r w:rsidR="00D16828">
        <w:rPr>
          <w:rFonts w:hint="eastAsia"/>
          <w:lang w:eastAsia="zh-CN"/>
        </w:rPr>
        <w:t>频段内为地对空和空对地方向的卫星移动业务增加划分的共用和兼容性研究，同时确保对这些频段内现有业务的保护，并考虑第</w:t>
      </w:r>
      <w:r w:rsidR="00D16828" w:rsidRPr="00FE66EE">
        <w:rPr>
          <w:rFonts w:hint="eastAsia"/>
          <w:lang w:eastAsia="zh-CN"/>
        </w:rPr>
        <w:t>5.340</w:t>
      </w:r>
      <w:r w:rsidR="00D16828" w:rsidRPr="00FE66EE">
        <w:rPr>
          <w:rFonts w:hint="eastAsia"/>
          <w:lang w:eastAsia="zh-CN"/>
        </w:rPr>
        <w:t>和</w:t>
      </w:r>
      <w:r w:rsidR="00D16828" w:rsidRPr="00FE66EE">
        <w:rPr>
          <w:rFonts w:hint="eastAsia"/>
          <w:lang w:eastAsia="zh-CN"/>
        </w:rPr>
        <w:t>5.149</w:t>
      </w:r>
      <w:r w:rsidR="00D16828">
        <w:rPr>
          <w:rFonts w:hint="eastAsia"/>
          <w:lang w:eastAsia="zh-CN"/>
        </w:rPr>
        <w:t>款，</w:t>
      </w:r>
    </w:p>
    <w:p w:rsidR="003059AF" w:rsidRPr="000D7304" w:rsidRDefault="003059AF" w:rsidP="00EB3C4F">
      <w:pPr>
        <w:ind w:firstLineChars="200" w:firstLine="480"/>
        <w:rPr>
          <w:lang w:eastAsia="zh-CN"/>
        </w:rPr>
      </w:pPr>
      <w:r w:rsidRPr="000D7304">
        <w:rPr>
          <w:lang w:eastAsia="zh-CN"/>
        </w:rPr>
        <w:t>22</w:t>
      </w:r>
      <w:r w:rsidR="000D67BF">
        <w:rPr>
          <w:rFonts w:hint="eastAsia"/>
          <w:lang w:eastAsia="zh-CN"/>
        </w:rPr>
        <w:t>至</w:t>
      </w:r>
      <w:r w:rsidRPr="000D7304">
        <w:rPr>
          <w:lang w:eastAsia="zh-CN"/>
        </w:rPr>
        <w:t>26 GHz</w:t>
      </w:r>
      <w:r w:rsidR="000D67BF">
        <w:rPr>
          <w:rFonts w:hint="eastAsia"/>
          <w:lang w:eastAsia="zh-CN"/>
        </w:rPr>
        <w:t>频率范围已在议项</w:t>
      </w:r>
      <w:r w:rsidR="000D67BF" w:rsidRPr="000D7304">
        <w:rPr>
          <w:lang w:eastAsia="zh-CN"/>
        </w:rPr>
        <w:t>1.10</w:t>
      </w:r>
      <w:r w:rsidR="000D67BF">
        <w:rPr>
          <w:rFonts w:hint="eastAsia"/>
          <w:lang w:eastAsia="zh-CN"/>
        </w:rPr>
        <w:t>下得到全力审查和研究。该频率范围划分给了多项不同无线电通信业务，其中包括作为欧洲关键业务的卫星地球探测业务、卫星间业务、</w:t>
      </w:r>
      <w:r w:rsidR="001F62F9">
        <w:rPr>
          <w:rFonts w:hint="eastAsia"/>
          <w:lang w:eastAsia="zh-CN"/>
        </w:rPr>
        <w:t>固定</w:t>
      </w:r>
      <w:r w:rsidR="000D67BF">
        <w:rPr>
          <w:rFonts w:hint="eastAsia"/>
          <w:lang w:eastAsia="zh-CN"/>
        </w:rPr>
        <w:t>业务和无线电测定业务。</w:t>
      </w:r>
      <w:r w:rsidR="000D67BF">
        <w:rPr>
          <w:rFonts w:hint="eastAsia"/>
          <w:lang w:eastAsia="zh-CN"/>
        </w:rPr>
        <w:t xml:space="preserve"> </w:t>
      </w:r>
    </w:p>
    <w:p w:rsidR="003059AF" w:rsidRPr="000D7304" w:rsidRDefault="000D67BF" w:rsidP="00FE66EE">
      <w:pPr>
        <w:ind w:firstLineChars="200" w:firstLine="480"/>
        <w:rPr>
          <w:lang w:eastAsia="zh-CN"/>
        </w:rPr>
      </w:pPr>
      <w:r>
        <w:rPr>
          <w:rFonts w:hint="eastAsia"/>
          <w:lang w:eastAsia="zh-CN"/>
        </w:rPr>
        <w:t>在</w:t>
      </w:r>
      <w:r>
        <w:rPr>
          <w:lang w:eastAsia="zh-CN"/>
        </w:rPr>
        <w:t>22</w:t>
      </w:r>
      <w:r>
        <w:rPr>
          <w:rFonts w:hint="eastAsia"/>
          <w:lang w:eastAsia="zh-CN"/>
        </w:rPr>
        <w:t>至</w:t>
      </w:r>
      <w:r w:rsidR="003059AF" w:rsidRPr="000D7304">
        <w:rPr>
          <w:lang w:eastAsia="zh-CN"/>
        </w:rPr>
        <w:t>26 GHz</w:t>
      </w:r>
      <w:r>
        <w:rPr>
          <w:rFonts w:hint="eastAsia"/>
          <w:lang w:eastAsia="zh-CN"/>
        </w:rPr>
        <w:t>频率范围内，</w:t>
      </w:r>
      <w:r w:rsidR="003059AF" w:rsidRPr="000D7304">
        <w:rPr>
          <w:lang w:eastAsia="zh-CN"/>
        </w:rPr>
        <w:t>ITU-R</w:t>
      </w:r>
      <w:r>
        <w:rPr>
          <w:rFonts w:hint="eastAsia"/>
          <w:lang w:eastAsia="zh-CN"/>
        </w:rPr>
        <w:t>对</w:t>
      </w:r>
      <w:r w:rsidR="000364EB">
        <w:rPr>
          <w:rFonts w:hint="eastAsia"/>
          <w:lang w:eastAsia="zh-CN"/>
        </w:rPr>
        <w:t>多</w:t>
      </w:r>
      <w:r>
        <w:rPr>
          <w:rFonts w:hint="eastAsia"/>
          <w:lang w:eastAsia="zh-CN"/>
        </w:rPr>
        <w:t>个频段开展了研究。这些研究表明，在某些频段（如</w:t>
      </w:r>
      <w:r w:rsidRPr="000D7304">
        <w:rPr>
          <w:lang w:eastAsia="zh-CN"/>
        </w:rPr>
        <w:t>22.65-22.95 GHz</w:t>
      </w:r>
      <w:r>
        <w:rPr>
          <w:rFonts w:hint="eastAsia"/>
          <w:lang w:eastAsia="zh-CN"/>
        </w:rPr>
        <w:t>、</w:t>
      </w:r>
      <w:r w:rsidRPr="000D7304">
        <w:rPr>
          <w:lang w:eastAsia="zh-CN"/>
        </w:rPr>
        <w:t>23.15-23.4 GHz</w:t>
      </w:r>
      <w:r>
        <w:rPr>
          <w:rFonts w:hint="eastAsia"/>
          <w:lang w:eastAsia="zh-CN"/>
        </w:rPr>
        <w:t>、</w:t>
      </w:r>
      <w:r w:rsidRPr="000D7304">
        <w:rPr>
          <w:lang w:eastAsia="zh-CN"/>
        </w:rPr>
        <w:t>25.25-25.5 GHz</w:t>
      </w:r>
      <w:r>
        <w:rPr>
          <w:rFonts w:hint="eastAsia"/>
          <w:lang w:eastAsia="zh-CN"/>
        </w:rPr>
        <w:t>）内，与一些现有业务存在不兼容性，其他频段（如</w:t>
      </w:r>
      <w:r w:rsidRPr="000D7304">
        <w:rPr>
          <w:lang w:eastAsia="zh-CN"/>
        </w:rPr>
        <w:t>24.25-24.55 GHz</w:t>
      </w:r>
      <w:r>
        <w:rPr>
          <w:rFonts w:hint="eastAsia"/>
          <w:lang w:eastAsia="zh-CN"/>
        </w:rPr>
        <w:t>）的研究尚未完成。</w:t>
      </w:r>
      <w:r w:rsidR="003059AF" w:rsidRPr="000D7304">
        <w:rPr>
          <w:lang w:eastAsia="zh-CN"/>
        </w:rPr>
        <w:t xml:space="preserve"> </w:t>
      </w:r>
      <w:r w:rsidR="0071572E">
        <w:rPr>
          <w:rFonts w:hint="eastAsia"/>
          <w:lang w:eastAsia="zh-CN"/>
        </w:rPr>
        <w:t xml:space="preserve"> </w:t>
      </w:r>
    </w:p>
    <w:p w:rsidR="003059AF" w:rsidRPr="000D7304" w:rsidRDefault="0071572E" w:rsidP="00FE66EE">
      <w:pPr>
        <w:ind w:firstLineChars="200" w:firstLine="480"/>
        <w:rPr>
          <w:lang w:eastAsia="zh-CN"/>
        </w:rPr>
      </w:pPr>
      <w:r>
        <w:rPr>
          <w:rFonts w:hint="eastAsia"/>
          <w:lang w:eastAsia="zh-CN"/>
        </w:rPr>
        <w:t>考虑到许多划分正在普遍使用，</w:t>
      </w:r>
      <w:r>
        <w:rPr>
          <w:rFonts w:hint="eastAsia"/>
          <w:lang w:eastAsia="zh-CN"/>
        </w:rPr>
        <w:t>ITU-R</w:t>
      </w:r>
      <w:r>
        <w:rPr>
          <w:rFonts w:hint="eastAsia"/>
          <w:lang w:eastAsia="zh-CN"/>
        </w:rPr>
        <w:t>研究或显示与目前划分的业务不兼容或尚未完成，欧洲不支持在</w:t>
      </w:r>
      <w:r w:rsidRPr="0071572E">
        <w:rPr>
          <w:lang w:eastAsia="zh-CN"/>
        </w:rPr>
        <w:t>22</w:t>
      </w:r>
      <w:r w:rsidRPr="0071572E">
        <w:rPr>
          <w:rFonts w:hint="eastAsia"/>
          <w:lang w:eastAsia="zh-CN"/>
        </w:rPr>
        <w:t>至</w:t>
      </w:r>
      <w:r w:rsidRPr="0071572E">
        <w:rPr>
          <w:lang w:eastAsia="zh-CN"/>
        </w:rPr>
        <w:t>26 GHz</w:t>
      </w:r>
      <w:r w:rsidRPr="0071572E">
        <w:rPr>
          <w:rFonts w:hint="eastAsia"/>
          <w:lang w:eastAsia="zh-CN"/>
        </w:rPr>
        <w:t>频率范围内</w:t>
      </w:r>
      <w:r>
        <w:rPr>
          <w:rFonts w:hint="eastAsia"/>
          <w:lang w:eastAsia="zh-CN"/>
        </w:rPr>
        <w:t>增加任何</w:t>
      </w:r>
      <w:r>
        <w:rPr>
          <w:rFonts w:hint="eastAsia"/>
          <w:lang w:eastAsia="zh-CN"/>
        </w:rPr>
        <w:t>MSS</w:t>
      </w:r>
      <w:r>
        <w:rPr>
          <w:rFonts w:hint="eastAsia"/>
          <w:lang w:eastAsia="zh-CN"/>
        </w:rPr>
        <w:t>划分。</w:t>
      </w:r>
      <w:r>
        <w:rPr>
          <w:rFonts w:hint="eastAsia"/>
          <w:lang w:eastAsia="zh-CN"/>
        </w:rPr>
        <w:t xml:space="preserve"> </w:t>
      </w:r>
    </w:p>
    <w:p w:rsidR="003059AF" w:rsidRPr="000D7304" w:rsidRDefault="0071572E" w:rsidP="00FE66EE">
      <w:pPr>
        <w:ind w:firstLineChars="200" w:firstLine="480"/>
        <w:rPr>
          <w:lang w:eastAsia="zh-CN"/>
        </w:rPr>
      </w:pPr>
      <w:r>
        <w:rPr>
          <w:rFonts w:hint="eastAsia"/>
          <w:lang w:eastAsia="zh-CN"/>
        </w:rPr>
        <w:t>此外，提交国际电联的研究结果不足以确定在</w:t>
      </w:r>
      <w:r w:rsidRPr="0071572E">
        <w:rPr>
          <w:lang w:eastAsia="zh-CN"/>
        </w:rPr>
        <w:t>22</w:t>
      </w:r>
      <w:r w:rsidRPr="0071572E">
        <w:rPr>
          <w:rFonts w:hint="eastAsia"/>
          <w:lang w:eastAsia="zh-CN"/>
        </w:rPr>
        <w:t>至</w:t>
      </w:r>
      <w:r w:rsidRPr="0071572E">
        <w:rPr>
          <w:lang w:eastAsia="zh-CN"/>
        </w:rPr>
        <w:t>26 GHz</w:t>
      </w:r>
      <w:r w:rsidRPr="0071572E">
        <w:rPr>
          <w:rFonts w:hint="eastAsia"/>
          <w:lang w:eastAsia="zh-CN"/>
        </w:rPr>
        <w:t>频率范围内</w:t>
      </w:r>
      <w:r>
        <w:rPr>
          <w:rFonts w:hint="eastAsia"/>
          <w:lang w:eastAsia="zh-CN"/>
        </w:rPr>
        <w:t>需要增加</w:t>
      </w:r>
      <w:r>
        <w:rPr>
          <w:rFonts w:hint="eastAsia"/>
          <w:lang w:eastAsia="zh-CN"/>
        </w:rPr>
        <w:t>MSS</w:t>
      </w:r>
      <w:r>
        <w:rPr>
          <w:rFonts w:hint="eastAsia"/>
          <w:lang w:eastAsia="zh-CN"/>
        </w:rPr>
        <w:t>划分的频谱数量。考虑到迄今为止开展的研究，目前市场对移动宽带应用需求的增长可在</w:t>
      </w:r>
      <w:r w:rsidRPr="000D7304">
        <w:rPr>
          <w:lang w:eastAsia="zh-CN"/>
        </w:rPr>
        <w:t>WRC-15</w:t>
      </w:r>
      <w:r>
        <w:rPr>
          <w:rFonts w:hint="eastAsia"/>
          <w:lang w:eastAsia="zh-CN"/>
        </w:rPr>
        <w:t>通过</w:t>
      </w:r>
      <w:proofErr w:type="spellStart"/>
      <w:r w:rsidRPr="000D7304">
        <w:rPr>
          <w:lang w:eastAsia="zh-CN"/>
        </w:rPr>
        <w:t>Ka</w:t>
      </w:r>
      <w:proofErr w:type="spellEnd"/>
      <w:r>
        <w:rPr>
          <w:rFonts w:hint="eastAsia"/>
          <w:lang w:eastAsia="zh-CN"/>
        </w:rPr>
        <w:t>频段</w:t>
      </w:r>
      <w:r w:rsidRPr="000D7304">
        <w:rPr>
          <w:lang w:eastAsia="zh-CN"/>
        </w:rPr>
        <w:t>FSS ESOMP</w:t>
      </w:r>
      <w:r>
        <w:rPr>
          <w:rFonts w:hint="eastAsia"/>
          <w:lang w:eastAsia="zh-CN"/>
        </w:rPr>
        <w:t>予以满足，无需在</w:t>
      </w:r>
      <w:r w:rsidRPr="0071572E">
        <w:rPr>
          <w:lang w:eastAsia="zh-CN"/>
        </w:rPr>
        <w:t>22</w:t>
      </w:r>
      <w:r w:rsidRPr="0071572E">
        <w:rPr>
          <w:rFonts w:hint="eastAsia"/>
          <w:lang w:eastAsia="zh-CN"/>
        </w:rPr>
        <w:t>至</w:t>
      </w:r>
      <w:r w:rsidRPr="0071572E">
        <w:rPr>
          <w:lang w:eastAsia="zh-CN"/>
        </w:rPr>
        <w:t>26 GHz</w:t>
      </w:r>
      <w:r w:rsidRPr="0071572E">
        <w:rPr>
          <w:rFonts w:hint="eastAsia"/>
          <w:lang w:eastAsia="zh-CN"/>
        </w:rPr>
        <w:t>频率范围内</w:t>
      </w:r>
      <w:r>
        <w:rPr>
          <w:rFonts w:hint="eastAsia"/>
          <w:lang w:eastAsia="zh-CN"/>
        </w:rPr>
        <w:t>增加任何</w:t>
      </w:r>
      <w:r w:rsidRPr="000D7304">
        <w:rPr>
          <w:lang w:eastAsia="zh-CN"/>
        </w:rPr>
        <w:t>MSS</w:t>
      </w:r>
      <w:r>
        <w:rPr>
          <w:rFonts w:hint="eastAsia"/>
          <w:lang w:eastAsia="zh-CN"/>
        </w:rPr>
        <w:t>划分。</w:t>
      </w:r>
      <w:r w:rsidRPr="000D7304">
        <w:rPr>
          <w:lang w:eastAsia="zh-CN"/>
        </w:rPr>
        <w:t xml:space="preserve"> </w:t>
      </w:r>
      <w:r>
        <w:rPr>
          <w:rFonts w:hint="eastAsia"/>
          <w:lang w:eastAsia="zh-CN"/>
        </w:rPr>
        <w:t xml:space="preserve"> </w:t>
      </w:r>
    </w:p>
    <w:p w:rsidR="003059AF" w:rsidRPr="000D7304" w:rsidRDefault="0071572E" w:rsidP="00FE66EE">
      <w:pPr>
        <w:ind w:firstLineChars="200" w:firstLine="480"/>
        <w:rPr>
          <w:lang w:eastAsia="zh-CN"/>
        </w:rPr>
      </w:pPr>
      <w:r>
        <w:rPr>
          <w:rFonts w:hint="eastAsia"/>
          <w:lang w:eastAsia="zh-CN"/>
        </w:rPr>
        <w:t>这些欧洲提案符合</w:t>
      </w:r>
      <w:r>
        <w:rPr>
          <w:rFonts w:hint="eastAsia"/>
          <w:lang w:eastAsia="zh-CN"/>
        </w:rPr>
        <w:t>CPM</w:t>
      </w:r>
      <w:r>
        <w:rPr>
          <w:rFonts w:hint="eastAsia"/>
          <w:lang w:eastAsia="zh-CN"/>
        </w:rPr>
        <w:t>报告所述方法</w:t>
      </w:r>
      <w:r>
        <w:rPr>
          <w:rFonts w:hint="eastAsia"/>
          <w:lang w:eastAsia="zh-CN"/>
        </w:rPr>
        <w:t>A</w:t>
      </w:r>
      <w:r>
        <w:rPr>
          <w:rFonts w:hint="eastAsia"/>
          <w:lang w:eastAsia="zh-CN"/>
        </w:rPr>
        <w:t>。</w:t>
      </w:r>
      <w:r>
        <w:rPr>
          <w:rFonts w:hint="eastAsia"/>
          <w:lang w:eastAsia="zh-CN"/>
        </w:rPr>
        <w:t xml:space="preserve"> </w:t>
      </w:r>
    </w:p>
    <w:p w:rsidR="00622560" w:rsidRDefault="00622560" w:rsidP="00FE66EE">
      <w:pPr>
        <w:ind w:firstLineChars="200" w:firstLine="480"/>
        <w:rPr>
          <w:lang w:eastAsia="zh-CN"/>
        </w:rPr>
      </w:pPr>
    </w:p>
    <w:p w:rsidR="00DB1CAC" w:rsidRDefault="006F5F2B"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6F5F2B" w:rsidP="00DB1CAC">
      <w:pPr>
        <w:pStyle w:val="Arttitle"/>
        <w:rPr>
          <w:lang w:eastAsia="zh-CN"/>
        </w:rPr>
      </w:pPr>
      <w:bookmarkStart w:id="9" w:name="_Toc329768663"/>
      <w:r>
        <w:rPr>
          <w:rFonts w:hint="eastAsia"/>
          <w:lang w:eastAsia="zh-CN"/>
        </w:rPr>
        <w:t>频率划分</w:t>
      </w:r>
      <w:bookmarkEnd w:id="9"/>
    </w:p>
    <w:p w:rsidR="00384296" w:rsidRDefault="006F5F2B">
      <w:pPr>
        <w:pStyle w:val="Proposal"/>
        <w:rPr>
          <w:lang w:eastAsia="zh-CN"/>
        </w:rPr>
      </w:pPr>
      <w:r>
        <w:rPr>
          <w:u w:val="single"/>
          <w:lang w:eastAsia="zh-CN"/>
        </w:rPr>
        <w:t>NOC</w:t>
      </w:r>
      <w:r>
        <w:rPr>
          <w:lang w:eastAsia="zh-CN"/>
        </w:rPr>
        <w:tab/>
        <w:t>EUR/9A10/1</w:t>
      </w:r>
    </w:p>
    <w:p w:rsidR="00DB1CAC" w:rsidRDefault="006F5F2B"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84296" w:rsidRDefault="006F5F2B" w:rsidP="00FE66EE">
      <w:pPr>
        <w:pStyle w:val="Reasons"/>
        <w:rPr>
          <w:lang w:eastAsia="zh-CN"/>
        </w:rPr>
      </w:pPr>
      <w:r>
        <w:rPr>
          <w:b/>
          <w:lang w:eastAsia="zh-CN"/>
        </w:rPr>
        <w:t>理由：</w:t>
      </w:r>
      <w:r>
        <w:rPr>
          <w:lang w:eastAsia="zh-CN"/>
        </w:rPr>
        <w:tab/>
      </w:r>
      <w:r w:rsidR="001F62F9">
        <w:rPr>
          <w:rFonts w:hint="eastAsia"/>
          <w:lang w:eastAsia="zh-CN"/>
        </w:rPr>
        <w:t>在此议项下对</w:t>
      </w:r>
      <w:r w:rsidR="001F62F9" w:rsidRPr="001F62F9">
        <w:rPr>
          <w:lang w:eastAsia="zh-CN"/>
        </w:rPr>
        <w:t>22</w:t>
      </w:r>
      <w:r w:rsidR="001F62F9" w:rsidRPr="001F62F9">
        <w:rPr>
          <w:rFonts w:hint="eastAsia"/>
          <w:lang w:eastAsia="zh-CN"/>
        </w:rPr>
        <w:t>至</w:t>
      </w:r>
      <w:r w:rsidR="001F62F9" w:rsidRPr="001F62F9">
        <w:rPr>
          <w:lang w:eastAsia="zh-CN"/>
        </w:rPr>
        <w:t>26 GHz</w:t>
      </w:r>
      <w:r w:rsidR="001F62F9">
        <w:rPr>
          <w:rFonts w:hint="eastAsia"/>
          <w:lang w:eastAsia="zh-CN"/>
        </w:rPr>
        <w:t>频率范围开展的研究或表明与现有业务不相兼容或尚未完成。考虑到迄今为止开展的研究，计划使用工作在</w:t>
      </w:r>
      <w:r w:rsidR="001F62F9" w:rsidRPr="001F62F9">
        <w:rPr>
          <w:lang w:eastAsia="zh-CN"/>
        </w:rPr>
        <w:t>22</w:t>
      </w:r>
      <w:r w:rsidR="001F62F9" w:rsidRPr="001F62F9">
        <w:rPr>
          <w:rFonts w:hint="eastAsia"/>
          <w:lang w:eastAsia="zh-CN"/>
        </w:rPr>
        <w:t>至</w:t>
      </w:r>
      <w:r w:rsidR="001F62F9" w:rsidRPr="001F62F9">
        <w:rPr>
          <w:lang w:eastAsia="zh-CN"/>
        </w:rPr>
        <w:t>26 GHz</w:t>
      </w:r>
      <w:r w:rsidR="001F62F9" w:rsidRPr="001F62F9">
        <w:rPr>
          <w:rFonts w:hint="eastAsia"/>
          <w:lang w:eastAsia="zh-CN"/>
        </w:rPr>
        <w:t>频率范围内</w:t>
      </w:r>
      <w:r w:rsidR="001F62F9">
        <w:rPr>
          <w:rFonts w:hint="eastAsia"/>
          <w:lang w:eastAsia="zh-CN"/>
        </w:rPr>
        <w:t>的拟议</w:t>
      </w:r>
      <w:r w:rsidR="001F62F9">
        <w:rPr>
          <w:rFonts w:hint="eastAsia"/>
          <w:lang w:eastAsia="zh-CN"/>
        </w:rPr>
        <w:t>MSS</w:t>
      </w:r>
      <w:r w:rsidR="001F62F9">
        <w:rPr>
          <w:rFonts w:hint="eastAsia"/>
          <w:lang w:eastAsia="zh-CN"/>
        </w:rPr>
        <w:t>系统满足的移动市场可通过移动平台上的</w:t>
      </w:r>
      <w:proofErr w:type="spellStart"/>
      <w:r w:rsidR="001F62F9">
        <w:rPr>
          <w:rFonts w:hint="eastAsia"/>
          <w:lang w:eastAsia="zh-CN"/>
        </w:rPr>
        <w:t>Ka</w:t>
      </w:r>
      <w:proofErr w:type="spellEnd"/>
      <w:r w:rsidR="001F62F9">
        <w:rPr>
          <w:rFonts w:hint="eastAsia"/>
          <w:lang w:eastAsia="zh-CN"/>
        </w:rPr>
        <w:t>频段</w:t>
      </w:r>
      <w:r w:rsidR="001F62F9">
        <w:rPr>
          <w:rFonts w:hint="eastAsia"/>
          <w:lang w:eastAsia="zh-CN"/>
        </w:rPr>
        <w:t>FSS</w:t>
      </w:r>
      <w:r w:rsidR="001F62F9">
        <w:rPr>
          <w:rFonts w:hint="eastAsia"/>
          <w:lang w:eastAsia="zh-CN"/>
        </w:rPr>
        <w:t>地球站得到更好满足。因此，在议项</w:t>
      </w:r>
      <w:r w:rsidR="001F62F9" w:rsidRPr="00040F0D">
        <w:rPr>
          <w:lang w:eastAsia="zh-CN"/>
        </w:rPr>
        <w:t>9</w:t>
      </w:r>
      <w:r w:rsidR="001F62F9">
        <w:rPr>
          <w:lang w:eastAsia="zh-CN"/>
        </w:rPr>
        <w:t>.</w:t>
      </w:r>
      <w:r w:rsidR="001F62F9" w:rsidRPr="00040F0D">
        <w:rPr>
          <w:lang w:eastAsia="zh-CN"/>
        </w:rPr>
        <w:t>2</w:t>
      </w:r>
      <w:r w:rsidR="001F62F9">
        <w:rPr>
          <w:rFonts w:hint="eastAsia"/>
          <w:lang w:eastAsia="zh-CN"/>
        </w:rPr>
        <w:t>下对《无线电规则》做出修改是满足旨在通过议项</w:t>
      </w:r>
      <w:r w:rsidR="001F62F9">
        <w:rPr>
          <w:lang w:eastAsia="zh-CN"/>
        </w:rPr>
        <w:t>1.10</w:t>
      </w:r>
      <w:r w:rsidR="001F62F9">
        <w:rPr>
          <w:rFonts w:hint="eastAsia"/>
          <w:lang w:eastAsia="zh-CN"/>
        </w:rPr>
        <w:t>解决的当前移动相关应用需求的更高效和有效方式。</w:t>
      </w:r>
    </w:p>
    <w:p w:rsidR="00384296" w:rsidRDefault="006F5F2B">
      <w:pPr>
        <w:pStyle w:val="Proposal"/>
        <w:rPr>
          <w:lang w:eastAsia="zh-CN"/>
        </w:rPr>
      </w:pPr>
      <w:r>
        <w:rPr>
          <w:lang w:eastAsia="zh-CN"/>
        </w:rPr>
        <w:t>SUP</w:t>
      </w:r>
      <w:r>
        <w:rPr>
          <w:lang w:eastAsia="zh-CN"/>
        </w:rPr>
        <w:tab/>
        <w:t>EUR/9A10/2</w:t>
      </w:r>
    </w:p>
    <w:p w:rsidR="00F24DDE" w:rsidRPr="00E4139D" w:rsidRDefault="006F5F2B" w:rsidP="00EB3C4F">
      <w:pPr>
        <w:pStyle w:val="ResNo"/>
        <w:rPr>
          <w:lang w:eastAsia="zh-CN"/>
        </w:rPr>
      </w:pPr>
      <w:bookmarkStart w:id="10" w:name="_Toc328053082"/>
      <w:r w:rsidRPr="00510604">
        <w:rPr>
          <w:rFonts w:hint="eastAsia"/>
          <w:lang w:eastAsia="zh-CN"/>
        </w:rPr>
        <w:t>第</w:t>
      </w:r>
      <w:r w:rsidRPr="00501F21">
        <w:rPr>
          <w:rStyle w:val="href"/>
          <w:rFonts w:hint="eastAsia"/>
          <w:lang w:eastAsia="zh-CN"/>
        </w:rPr>
        <w:t>234</w:t>
      </w:r>
      <w:r w:rsidRPr="00510604">
        <w:rPr>
          <w:rFonts w:hint="eastAsia"/>
          <w:lang w:eastAsia="zh-CN"/>
        </w:rPr>
        <w:t>号决议</w:t>
      </w:r>
      <w:r>
        <w:rPr>
          <w:rFonts w:hint="eastAsia"/>
          <w:lang w:eastAsia="zh-CN"/>
        </w:rPr>
        <w:t>（</w:t>
      </w:r>
      <w:r>
        <w:rPr>
          <w:lang w:eastAsia="zh-CN"/>
        </w:rPr>
        <w:t>WRC-12</w:t>
      </w:r>
      <w:r>
        <w:rPr>
          <w:rFonts w:hint="eastAsia"/>
          <w:lang w:eastAsia="zh-CN"/>
        </w:rPr>
        <w:t>）</w:t>
      </w:r>
      <w:bookmarkEnd w:id="10"/>
    </w:p>
    <w:p w:rsidR="00F24DDE" w:rsidRPr="00593CC2" w:rsidRDefault="006F5F2B" w:rsidP="00F24DDE">
      <w:pPr>
        <w:pStyle w:val="Restitle"/>
        <w:rPr>
          <w:rFonts w:ascii="Times New Roman" w:hAnsi="Times New Roman"/>
          <w:lang w:eastAsia="zh-CN"/>
        </w:rPr>
      </w:pPr>
      <w:bookmarkStart w:id="11" w:name="_Toc328053083"/>
      <w:r w:rsidRPr="00593CC2">
        <w:rPr>
          <w:rFonts w:ascii="Times New Roman" w:hint="eastAsia"/>
          <w:lang w:eastAsia="zh-CN"/>
        </w:rPr>
        <w:t>在</w:t>
      </w:r>
      <w:r>
        <w:rPr>
          <w:rFonts w:hint="eastAsia"/>
          <w:lang w:eastAsia="zh-CN"/>
        </w:rPr>
        <w:t>22</w:t>
      </w:r>
      <w:r w:rsidRPr="00274E84">
        <w:rPr>
          <w:lang w:eastAsia="zh-CN"/>
        </w:rPr>
        <w:t xml:space="preserve"> GHz</w:t>
      </w:r>
      <w:r>
        <w:rPr>
          <w:rFonts w:hint="eastAsia"/>
          <w:lang w:eastAsia="zh-CN"/>
        </w:rPr>
        <w:t>至</w:t>
      </w:r>
      <w:r>
        <w:rPr>
          <w:rFonts w:hint="eastAsia"/>
          <w:lang w:eastAsia="zh-CN"/>
        </w:rPr>
        <w:t>26 GHz</w:t>
      </w:r>
      <w:r>
        <w:rPr>
          <w:rFonts w:ascii="Times New Roman" w:hAnsi="Times New Roman" w:hint="eastAsia"/>
          <w:lang w:eastAsia="zh-CN"/>
        </w:rPr>
        <w:t>频段内增加</w:t>
      </w:r>
      <w:r w:rsidRPr="00593CC2">
        <w:rPr>
          <w:rFonts w:ascii="Times New Roman" w:hint="eastAsia"/>
          <w:lang w:eastAsia="zh-CN"/>
        </w:rPr>
        <w:t>卫星移动业务</w:t>
      </w:r>
      <w:r>
        <w:rPr>
          <w:rFonts w:ascii="Times New Roman"/>
          <w:lang w:eastAsia="zh-CN"/>
        </w:rPr>
        <w:br/>
      </w:r>
      <w:r>
        <w:rPr>
          <w:rFonts w:ascii="Times New Roman" w:hAnsi="Times New Roman" w:hint="eastAsia"/>
          <w:lang w:eastAsia="zh-CN"/>
        </w:rPr>
        <w:t>主要业务</w:t>
      </w:r>
      <w:r w:rsidRPr="00593CC2">
        <w:rPr>
          <w:rFonts w:ascii="Times New Roman" w:hint="eastAsia"/>
          <w:lang w:eastAsia="zh-CN"/>
        </w:rPr>
        <w:t>的划分</w:t>
      </w:r>
      <w:bookmarkEnd w:id="11"/>
    </w:p>
    <w:p w:rsidR="00384296" w:rsidRDefault="006F5F2B" w:rsidP="000D3C43">
      <w:pPr>
        <w:pStyle w:val="Reasons"/>
        <w:rPr>
          <w:lang w:eastAsia="zh-CN"/>
        </w:rPr>
      </w:pPr>
      <w:bookmarkStart w:id="12" w:name="_GoBack"/>
      <w:bookmarkEnd w:id="12"/>
      <w:r>
        <w:rPr>
          <w:b/>
          <w:lang w:eastAsia="zh-CN"/>
        </w:rPr>
        <w:t>理由：</w:t>
      </w:r>
      <w:r>
        <w:rPr>
          <w:lang w:eastAsia="zh-CN"/>
        </w:rPr>
        <w:tab/>
      </w:r>
      <w:r w:rsidR="000D3C43">
        <w:rPr>
          <w:rFonts w:hint="eastAsia"/>
          <w:lang w:eastAsia="zh-CN"/>
        </w:rPr>
        <w:t>该决议不再需要。</w:t>
      </w:r>
    </w:p>
    <w:p w:rsidR="006F5F2B" w:rsidRDefault="006F5F2B">
      <w:pPr>
        <w:pStyle w:val="Reasons"/>
        <w:rPr>
          <w:lang w:eastAsia="zh-CN"/>
        </w:rPr>
      </w:pPr>
    </w:p>
    <w:p w:rsidR="006F5F2B" w:rsidRDefault="006F5F2B" w:rsidP="0032202E">
      <w:pPr>
        <w:pStyle w:val="Reasons"/>
        <w:rPr>
          <w:lang w:eastAsia="zh-CN"/>
        </w:rPr>
      </w:pPr>
    </w:p>
    <w:p w:rsidR="006F5F2B" w:rsidRDefault="006F5F2B">
      <w:pPr>
        <w:jc w:val="center"/>
      </w:pPr>
      <w:r>
        <w:t>______________</w:t>
      </w:r>
    </w:p>
    <w:p w:rsidR="006F5F2B" w:rsidRDefault="006F5F2B">
      <w:pPr>
        <w:pStyle w:val="Reasons"/>
      </w:pPr>
    </w:p>
    <w:sectPr w:rsidR="006F5F2B">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FB7" w:rsidRDefault="00903767" w:rsidP="00800FB7">
    <w:pPr>
      <w:pStyle w:val="Footer"/>
    </w:pPr>
    <w:r>
      <w:fldChar w:fldCharType="begin"/>
    </w:r>
    <w:r>
      <w:instrText xml:space="preserve"> FILENAME \p  \* MERGEFORMAT </w:instrText>
    </w:r>
    <w:r>
      <w:fldChar w:fldCharType="separate"/>
    </w:r>
    <w:r>
      <w:t>P:\CHI\ITU-R\CONF-R\CMR15\000\009ADD10C.docx</w:t>
    </w:r>
    <w:r>
      <w:fldChar w:fldCharType="end"/>
    </w:r>
    <w:r w:rsidR="00800FB7">
      <w:t xml:space="preserve"> (383590)</w:t>
    </w:r>
    <w:r w:rsidR="00800FB7">
      <w:tab/>
    </w:r>
    <w:r w:rsidR="00800FB7">
      <w:fldChar w:fldCharType="begin"/>
    </w:r>
    <w:r w:rsidR="00800FB7">
      <w:instrText xml:space="preserve"> SAVEDATE \@ DD.MM.YY </w:instrText>
    </w:r>
    <w:r w:rsidR="00800FB7">
      <w:fldChar w:fldCharType="separate"/>
    </w:r>
    <w:r>
      <w:t>13.07.15</w:t>
    </w:r>
    <w:r w:rsidR="00800FB7">
      <w:fldChar w:fldCharType="end"/>
    </w:r>
    <w:r w:rsidR="00800FB7">
      <w:tab/>
    </w:r>
    <w:r w:rsidR="00800FB7">
      <w:fldChar w:fldCharType="begin"/>
    </w:r>
    <w:r w:rsidR="00800FB7">
      <w:instrText xml:space="preserve"> PRINTDATE \@ DD.MM.YY </w:instrText>
    </w:r>
    <w:r w:rsidR="00800FB7">
      <w:fldChar w:fldCharType="separate"/>
    </w:r>
    <w:r>
      <w:t>13.07.15</w:t>
    </w:r>
    <w:r w:rsidR="00800F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FB7" w:rsidRDefault="00903767" w:rsidP="00800FB7">
    <w:pPr>
      <w:pStyle w:val="Footer"/>
    </w:pPr>
    <w:r>
      <w:fldChar w:fldCharType="begin"/>
    </w:r>
    <w:r>
      <w:instrText xml:space="preserve"> FILENAME \p  \* MERGEFORMAT </w:instrText>
    </w:r>
    <w:r>
      <w:fldChar w:fldCharType="separate"/>
    </w:r>
    <w:r>
      <w:t>P:\CHI\ITU-R\CONF-R\CMR15\000\009ADD10C.docx</w:t>
    </w:r>
    <w:r>
      <w:fldChar w:fldCharType="end"/>
    </w:r>
    <w:r w:rsidR="00800FB7">
      <w:t xml:space="preserve"> (383590)</w:t>
    </w:r>
    <w:r w:rsidR="00800FB7">
      <w:tab/>
    </w:r>
    <w:r w:rsidR="00800FB7">
      <w:fldChar w:fldCharType="begin"/>
    </w:r>
    <w:r w:rsidR="00800FB7">
      <w:instrText xml:space="preserve"> SAVEDATE \@ DD.MM.YY </w:instrText>
    </w:r>
    <w:r w:rsidR="00800FB7">
      <w:fldChar w:fldCharType="separate"/>
    </w:r>
    <w:r>
      <w:t>13.07.15</w:t>
    </w:r>
    <w:r w:rsidR="00800FB7">
      <w:fldChar w:fldCharType="end"/>
    </w:r>
    <w:r w:rsidR="00800FB7">
      <w:tab/>
    </w:r>
    <w:r w:rsidR="00800FB7">
      <w:fldChar w:fldCharType="begin"/>
    </w:r>
    <w:r w:rsidR="00800FB7">
      <w:instrText xml:space="preserve"> PRINTDATE \@ DD.MM.YY </w:instrText>
    </w:r>
    <w:r w:rsidR="00800FB7">
      <w:fldChar w:fldCharType="separate"/>
    </w:r>
    <w:r>
      <w:t>13.07.15</w:t>
    </w:r>
    <w:r w:rsidR="00800FB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0376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9(Add.10)-</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64EB"/>
    <w:rsid w:val="00037C90"/>
    <w:rsid w:val="000C09BA"/>
    <w:rsid w:val="000C1F1E"/>
    <w:rsid w:val="000C6AA7"/>
    <w:rsid w:val="000D3C43"/>
    <w:rsid w:val="000D67BF"/>
    <w:rsid w:val="000E26F6"/>
    <w:rsid w:val="00123C07"/>
    <w:rsid w:val="00166859"/>
    <w:rsid w:val="001765EC"/>
    <w:rsid w:val="001853E8"/>
    <w:rsid w:val="001B6360"/>
    <w:rsid w:val="001F4EA6"/>
    <w:rsid w:val="001F62F9"/>
    <w:rsid w:val="00214959"/>
    <w:rsid w:val="002260A6"/>
    <w:rsid w:val="002742B3"/>
    <w:rsid w:val="002A4C9C"/>
    <w:rsid w:val="002B509B"/>
    <w:rsid w:val="002E2A59"/>
    <w:rsid w:val="002E4507"/>
    <w:rsid w:val="00305254"/>
    <w:rsid w:val="003059AF"/>
    <w:rsid w:val="003169D2"/>
    <w:rsid w:val="00384296"/>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6F5F2B"/>
    <w:rsid w:val="0071572E"/>
    <w:rsid w:val="00736415"/>
    <w:rsid w:val="00770D2A"/>
    <w:rsid w:val="007864F6"/>
    <w:rsid w:val="007B7C4B"/>
    <w:rsid w:val="007F0FC5"/>
    <w:rsid w:val="007F5C36"/>
    <w:rsid w:val="00800FB7"/>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03767"/>
    <w:rsid w:val="00912959"/>
    <w:rsid w:val="009427F8"/>
    <w:rsid w:val="009657F9"/>
    <w:rsid w:val="0099525B"/>
    <w:rsid w:val="009C72B7"/>
    <w:rsid w:val="00A0052C"/>
    <w:rsid w:val="00A31B14"/>
    <w:rsid w:val="00A323DC"/>
    <w:rsid w:val="00A466E6"/>
    <w:rsid w:val="00A54279"/>
    <w:rsid w:val="00A66CB1"/>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16828"/>
    <w:rsid w:val="00D52A14"/>
    <w:rsid w:val="00D6206A"/>
    <w:rsid w:val="00D74599"/>
    <w:rsid w:val="00DA0469"/>
    <w:rsid w:val="00DD13B7"/>
    <w:rsid w:val="00DF3B0C"/>
    <w:rsid w:val="00E14984"/>
    <w:rsid w:val="00E22A25"/>
    <w:rsid w:val="00E560F1"/>
    <w:rsid w:val="00E92319"/>
    <w:rsid w:val="00EB3C4F"/>
    <w:rsid w:val="00F837F4"/>
    <w:rsid w:val="00FC59C4"/>
    <w:rsid w:val="00FE6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18AA8F-26D8-4FB1-BA25-CBCD52E6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800FB7"/>
    <w:rPr>
      <w:rFonts w:ascii="Times New Roman" w:hAnsi="Times New Roman"/>
      <w:caps/>
      <w:noProof/>
      <w:sz w:val="16"/>
      <w:lang w:val="en-GB" w:eastAsia="en-US"/>
    </w:rPr>
  </w:style>
  <w:style w:type="paragraph" w:customStyle="1" w:styleId="headingb0">
    <w:name w:val="heading_b"/>
    <w:basedOn w:val="Heading3"/>
    <w:next w:val="Normal"/>
    <w:rsid w:val="003059AF"/>
    <w:pPr>
      <w:tabs>
        <w:tab w:val="left" w:pos="567"/>
        <w:tab w:val="left" w:pos="1701"/>
        <w:tab w:val="left" w:pos="2835"/>
      </w:tabs>
      <w:spacing w:before="160"/>
      <w:ind w:left="0" w:firstLine="0"/>
      <w:outlineLvl w:val="9"/>
    </w:pPr>
    <w:rPr>
      <w:rFonts w:eastAsia="Times New Roman"/>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R15-WRC15-C-0009!A10!MSW-C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5C99BB27-4A01-40EF-9CBD-B6687F81A4FB}">
  <ds:schemaRefs>
    <ds:schemaRef ds:uri="http://schemas.microsoft.com/office/infopath/2007/PartnerControls"/>
    <ds:schemaRef ds:uri="http://purl.org/dc/elements/1.1/"/>
    <ds:schemaRef ds:uri="http://schemas.microsoft.com/office/2006/metadata/properties"/>
    <ds:schemaRef ds:uri="32a1a8c5-2265-4ebc-b7a0-2071e2c5c9bb"/>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822</Words>
  <Characters>1065</Characters>
  <Application>Microsoft Office Word</Application>
  <DocSecurity>0</DocSecurity>
  <Lines>57</Lines>
  <Paragraphs>27</Paragraphs>
  <ScaleCrop>false</ScaleCrop>
  <HeadingPairs>
    <vt:vector size="2" baseType="variant">
      <vt:variant>
        <vt:lpstr>Title</vt:lpstr>
      </vt:variant>
      <vt:variant>
        <vt:i4>1</vt:i4>
      </vt:variant>
    </vt:vector>
  </HeadingPairs>
  <TitlesOfParts>
    <vt:vector size="1" baseType="lpstr">
      <vt:lpstr>R15-WRC15-C-0009!A10!MSW-C</vt:lpstr>
    </vt:vector>
  </TitlesOfParts>
  <Manager>General Secretariat - Pool</Manager>
  <Company>International Telecommunication Union (ITU)</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R15-WRC15-C-0009!A10!MSW-C</dc:title>
  <dc:subject>World Radiocommunication Conference - 2015</dc:subject>
  <dc:creator>Documents Proposals Manager (DPM)</dc:creator>
  <cp:keywords>DPM_v5.2015.7.6_prod</cp:keywords>
  <dc:description/>
  <cp:lastModifiedBy>Yuan, Tianxiang</cp:lastModifiedBy>
  <cp:revision>4</cp:revision>
  <cp:lastPrinted>2015-07-13T07:36:00Z</cp:lastPrinted>
  <dcterms:created xsi:type="dcterms:W3CDTF">2015-07-13T07:19:00Z</dcterms:created>
  <dcterms:modified xsi:type="dcterms:W3CDTF">2015-07-13T07:36:00Z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