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979AD" w:rsidTr="0050008E">
        <w:trPr>
          <w:cantSplit/>
        </w:trPr>
        <w:tc>
          <w:tcPr>
            <w:tcW w:w="6911" w:type="dxa"/>
          </w:tcPr>
          <w:p w:rsidR="0090121B" w:rsidRPr="004979AD" w:rsidRDefault="005D46FB" w:rsidP="0002785D">
            <w:pPr>
              <w:spacing w:before="400" w:after="48" w:line="240" w:lineRule="atLeast"/>
              <w:rPr>
                <w:rFonts w:ascii="Verdana" w:hAnsi="Verdana"/>
                <w:position w:val="6"/>
              </w:rPr>
            </w:pPr>
            <w:bookmarkStart w:id="0" w:name="_GoBack"/>
            <w:bookmarkEnd w:id="0"/>
            <w:r w:rsidRPr="004979AD">
              <w:rPr>
                <w:rFonts w:ascii="Verdana" w:eastAsia="SimSun" w:hAnsi="Verdana" w:cs="Traditional Arabic"/>
                <w:b/>
                <w:position w:val="6"/>
                <w:sz w:val="20"/>
              </w:rPr>
              <w:t>Conferencia Mundial de Radiocomunicaciones (CMR-15)</w:t>
            </w:r>
            <w:r w:rsidRPr="004979AD">
              <w:rPr>
                <w:rFonts w:ascii="Verdana" w:hAnsi="Verdana" w:cs="Times"/>
                <w:b/>
                <w:position w:val="6"/>
                <w:sz w:val="20"/>
              </w:rPr>
              <w:br/>
            </w:r>
            <w:r w:rsidRPr="004979AD">
              <w:rPr>
                <w:rFonts w:ascii="Verdana" w:eastAsia="SimSun" w:hAnsi="Verdana" w:cs="Traditional Arabic"/>
                <w:b/>
                <w:bCs/>
                <w:position w:val="6"/>
                <w:sz w:val="18"/>
                <w:szCs w:val="18"/>
              </w:rPr>
              <w:t>Ginebra, 2-27 de noviembre de 2015</w:t>
            </w:r>
          </w:p>
        </w:tc>
        <w:tc>
          <w:tcPr>
            <w:tcW w:w="3120" w:type="dxa"/>
          </w:tcPr>
          <w:p w:rsidR="0090121B" w:rsidRPr="004979AD" w:rsidRDefault="00CE7431" w:rsidP="00CE7431">
            <w:pPr>
              <w:spacing w:before="0" w:line="240" w:lineRule="atLeast"/>
              <w:jc w:val="right"/>
            </w:pPr>
            <w:bookmarkStart w:id="1" w:name="ditulogo"/>
            <w:bookmarkEnd w:id="1"/>
            <w:r w:rsidRPr="004979AD">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979AD" w:rsidTr="0050008E">
        <w:trPr>
          <w:cantSplit/>
        </w:trPr>
        <w:tc>
          <w:tcPr>
            <w:tcW w:w="6911" w:type="dxa"/>
            <w:tcBorders>
              <w:bottom w:val="single" w:sz="12" w:space="0" w:color="auto"/>
            </w:tcBorders>
          </w:tcPr>
          <w:p w:rsidR="0090121B" w:rsidRPr="004979AD" w:rsidRDefault="00CE7431" w:rsidP="0090121B">
            <w:pPr>
              <w:spacing w:before="0" w:after="48" w:line="240" w:lineRule="atLeast"/>
              <w:rPr>
                <w:b/>
                <w:smallCaps/>
                <w:szCs w:val="24"/>
              </w:rPr>
            </w:pPr>
            <w:bookmarkStart w:id="2" w:name="dhead"/>
            <w:r w:rsidRPr="004979AD">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4979AD" w:rsidRDefault="0090121B" w:rsidP="0090121B">
            <w:pPr>
              <w:spacing w:before="0" w:line="240" w:lineRule="atLeast"/>
              <w:rPr>
                <w:rFonts w:ascii="Verdana" w:hAnsi="Verdana"/>
                <w:szCs w:val="24"/>
              </w:rPr>
            </w:pPr>
          </w:p>
        </w:tc>
      </w:tr>
      <w:tr w:rsidR="0090121B" w:rsidRPr="004979AD" w:rsidTr="0090121B">
        <w:trPr>
          <w:cantSplit/>
        </w:trPr>
        <w:tc>
          <w:tcPr>
            <w:tcW w:w="6911" w:type="dxa"/>
            <w:tcBorders>
              <w:top w:val="single" w:sz="12" w:space="0" w:color="auto"/>
            </w:tcBorders>
          </w:tcPr>
          <w:p w:rsidR="0090121B" w:rsidRPr="004979AD"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4979AD" w:rsidRDefault="0090121B" w:rsidP="0090121B">
            <w:pPr>
              <w:spacing w:before="0" w:line="240" w:lineRule="atLeast"/>
              <w:rPr>
                <w:rFonts w:ascii="Verdana" w:hAnsi="Verdana"/>
                <w:sz w:val="20"/>
              </w:rPr>
            </w:pPr>
          </w:p>
        </w:tc>
      </w:tr>
      <w:tr w:rsidR="0090121B" w:rsidRPr="004979AD" w:rsidTr="0090121B">
        <w:trPr>
          <w:cantSplit/>
        </w:trPr>
        <w:tc>
          <w:tcPr>
            <w:tcW w:w="6911" w:type="dxa"/>
            <w:shd w:val="clear" w:color="auto" w:fill="auto"/>
          </w:tcPr>
          <w:p w:rsidR="0090121B" w:rsidRPr="004979AD" w:rsidRDefault="00AE658F" w:rsidP="0045384C">
            <w:pPr>
              <w:spacing w:before="0"/>
              <w:rPr>
                <w:rFonts w:ascii="Verdana" w:hAnsi="Verdana"/>
                <w:b/>
                <w:sz w:val="20"/>
              </w:rPr>
            </w:pPr>
            <w:r w:rsidRPr="004979AD">
              <w:rPr>
                <w:rFonts w:ascii="Verdana" w:eastAsia="SimSun" w:hAnsi="Verdana" w:cs="Traditional Arabic"/>
                <w:b/>
                <w:sz w:val="20"/>
              </w:rPr>
              <w:t>SESIÓN PLENARIA</w:t>
            </w:r>
          </w:p>
        </w:tc>
        <w:tc>
          <w:tcPr>
            <w:tcW w:w="3120" w:type="dxa"/>
            <w:shd w:val="clear" w:color="auto" w:fill="auto"/>
          </w:tcPr>
          <w:p w:rsidR="0090121B" w:rsidRPr="004979AD" w:rsidRDefault="00AE658F" w:rsidP="0045384C">
            <w:pPr>
              <w:spacing w:before="0"/>
              <w:rPr>
                <w:rFonts w:ascii="Verdana" w:hAnsi="Verdana"/>
                <w:sz w:val="20"/>
              </w:rPr>
            </w:pPr>
            <w:r w:rsidRPr="004979AD">
              <w:rPr>
                <w:rFonts w:ascii="Verdana" w:eastAsia="SimSun" w:hAnsi="Verdana" w:cs="Traditional Arabic"/>
                <w:b/>
                <w:sz w:val="20"/>
              </w:rPr>
              <w:t>Addéndum 10 al</w:t>
            </w:r>
            <w:r w:rsidRPr="004979AD">
              <w:rPr>
                <w:rFonts w:ascii="Verdana" w:eastAsia="SimSun" w:hAnsi="Verdana" w:cs="Traditional Arabic"/>
                <w:b/>
                <w:sz w:val="20"/>
              </w:rPr>
              <w:br/>
              <w:t>Documento 9</w:t>
            </w:r>
            <w:r w:rsidR="0090121B" w:rsidRPr="004979AD">
              <w:rPr>
                <w:rFonts w:ascii="Verdana" w:eastAsia="SimSun" w:hAnsi="Verdana" w:cs="Traditional Arabic"/>
                <w:b/>
                <w:sz w:val="20"/>
              </w:rPr>
              <w:t>-</w:t>
            </w:r>
            <w:r w:rsidRPr="004979AD">
              <w:rPr>
                <w:rFonts w:ascii="Verdana" w:eastAsia="SimSun" w:hAnsi="Verdana" w:cs="Traditional Arabic"/>
                <w:b/>
                <w:sz w:val="20"/>
              </w:rPr>
              <w:t>S</w:t>
            </w:r>
          </w:p>
        </w:tc>
      </w:tr>
      <w:bookmarkEnd w:id="2"/>
      <w:tr w:rsidR="000A5B9A" w:rsidRPr="004979AD" w:rsidTr="0090121B">
        <w:trPr>
          <w:cantSplit/>
        </w:trPr>
        <w:tc>
          <w:tcPr>
            <w:tcW w:w="6911" w:type="dxa"/>
            <w:shd w:val="clear" w:color="auto" w:fill="auto"/>
          </w:tcPr>
          <w:p w:rsidR="000A5B9A" w:rsidRPr="004979AD" w:rsidRDefault="000A5B9A" w:rsidP="0045384C">
            <w:pPr>
              <w:spacing w:before="0" w:after="48"/>
              <w:rPr>
                <w:rFonts w:ascii="Verdana" w:hAnsi="Verdana"/>
                <w:b/>
                <w:smallCaps/>
                <w:sz w:val="20"/>
              </w:rPr>
            </w:pPr>
          </w:p>
        </w:tc>
        <w:tc>
          <w:tcPr>
            <w:tcW w:w="3120" w:type="dxa"/>
            <w:shd w:val="clear" w:color="auto" w:fill="auto"/>
          </w:tcPr>
          <w:p w:rsidR="000A5B9A" w:rsidRPr="004979AD" w:rsidRDefault="000A5B9A" w:rsidP="0045384C">
            <w:pPr>
              <w:spacing w:before="0"/>
              <w:rPr>
                <w:rFonts w:ascii="Verdana" w:hAnsi="Verdana"/>
                <w:b/>
                <w:sz w:val="20"/>
              </w:rPr>
            </w:pPr>
            <w:r w:rsidRPr="004979AD">
              <w:rPr>
                <w:rFonts w:ascii="Verdana" w:eastAsia="SimSun" w:hAnsi="Verdana" w:cs="Traditional Arabic"/>
                <w:b/>
                <w:sz w:val="20"/>
              </w:rPr>
              <w:t>24 de junio de 2015</w:t>
            </w:r>
          </w:p>
        </w:tc>
      </w:tr>
      <w:tr w:rsidR="000A5B9A" w:rsidRPr="004979AD" w:rsidTr="0090121B">
        <w:trPr>
          <w:cantSplit/>
        </w:trPr>
        <w:tc>
          <w:tcPr>
            <w:tcW w:w="6911" w:type="dxa"/>
          </w:tcPr>
          <w:p w:rsidR="000A5B9A" w:rsidRPr="004979AD" w:rsidRDefault="000A5B9A" w:rsidP="0045384C">
            <w:pPr>
              <w:spacing w:before="0" w:after="48"/>
              <w:rPr>
                <w:rFonts w:ascii="Verdana" w:hAnsi="Verdana"/>
                <w:b/>
                <w:smallCaps/>
                <w:sz w:val="20"/>
              </w:rPr>
            </w:pPr>
          </w:p>
        </w:tc>
        <w:tc>
          <w:tcPr>
            <w:tcW w:w="3120" w:type="dxa"/>
          </w:tcPr>
          <w:p w:rsidR="000A5B9A" w:rsidRPr="004979AD" w:rsidRDefault="000A5B9A" w:rsidP="0045384C">
            <w:pPr>
              <w:spacing w:before="0"/>
              <w:rPr>
                <w:rFonts w:ascii="Verdana" w:hAnsi="Verdana"/>
                <w:b/>
                <w:sz w:val="20"/>
              </w:rPr>
            </w:pPr>
            <w:r w:rsidRPr="004979AD">
              <w:rPr>
                <w:rFonts w:ascii="Verdana" w:eastAsia="SimSun" w:hAnsi="Verdana" w:cs="Traditional Arabic"/>
                <w:b/>
                <w:sz w:val="20"/>
              </w:rPr>
              <w:t>Original: inglés</w:t>
            </w:r>
          </w:p>
        </w:tc>
      </w:tr>
      <w:tr w:rsidR="000A5B9A" w:rsidRPr="004979AD" w:rsidTr="006744FC">
        <w:trPr>
          <w:cantSplit/>
        </w:trPr>
        <w:tc>
          <w:tcPr>
            <w:tcW w:w="10031" w:type="dxa"/>
            <w:gridSpan w:val="2"/>
          </w:tcPr>
          <w:p w:rsidR="000A5B9A" w:rsidRPr="004979AD" w:rsidRDefault="000A5B9A" w:rsidP="0045384C">
            <w:pPr>
              <w:spacing w:before="0"/>
              <w:rPr>
                <w:rFonts w:ascii="Verdana" w:hAnsi="Verdana"/>
                <w:b/>
                <w:sz w:val="20"/>
              </w:rPr>
            </w:pPr>
          </w:p>
        </w:tc>
      </w:tr>
      <w:tr w:rsidR="000A5B9A" w:rsidRPr="004979AD" w:rsidTr="0050008E">
        <w:trPr>
          <w:cantSplit/>
        </w:trPr>
        <w:tc>
          <w:tcPr>
            <w:tcW w:w="10031" w:type="dxa"/>
            <w:gridSpan w:val="2"/>
          </w:tcPr>
          <w:p w:rsidR="000A5B9A" w:rsidRPr="004979AD" w:rsidRDefault="000A5B9A" w:rsidP="001636C5">
            <w:pPr>
              <w:pStyle w:val="Source"/>
              <w:rPr>
                <w:rFonts w:asciiTheme="majorBidi" w:hAnsiTheme="majorBidi" w:cstheme="majorBidi"/>
              </w:rPr>
            </w:pPr>
            <w:bookmarkStart w:id="3" w:name="dsource" w:colFirst="0" w:colLast="0"/>
            <w:r w:rsidRPr="004979AD">
              <w:rPr>
                <w:rFonts w:asciiTheme="majorBidi" w:eastAsia="SimSun" w:hAnsiTheme="majorBidi" w:cstheme="majorBidi"/>
              </w:rPr>
              <w:t>Propuestas Comunes Europeas</w:t>
            </w:r>
          </w:p>
        </w:tc>
      </w:tr>
      <w:tr w:rsidR="000A5B9A" w:rsidRPr="004979AD" w:rsidTr="0050008E">
        <w:trPr>
          <w:cantSplit/>
        </w:trPr>
        <w:tc>
          <w:tcPr>
            <w:tcW w:w="10031" w:type="dxa"/>
            <w:gridSpan w:val="2"/>
          </w:tcPr>
          <w:p w:rsidR="000A5B9A" w:rsidRPr="004979AD" w:rsidRDefault="00E5566F" w:rsidP="000A5B9A">
            <w:pPr>
              <w:pStyle w:val="Title1"/>
              <w:rPr>
                <w:rFonts w:asciiTheme="majorBidi" w:hAnsiTheme="majorBidi" w:cstheme="majorBidi"/>
              </w:rPr>
            </w:pPr>
            <w:bookmarkStart w:id="4" w:name="dtitle1" w:colFirst="0" w:colLast="0"/>
            <w:bookmarkEnd w:id="3"/>
            <w:r w:rsidRPr="004979AD">
              <w:rPr>
                <w:rFonts w:asciiTheme="majorBidi" w:eastAsia="SimSun" w:hAnsiTheme="majorBidi" w:cstheme="majorBidi"/>
              </w:rPr>
              <w:t>PROPUESTAS PARA LOS TRABAJOS DE LA CONFERENCIA</w:t>
            </w:r>
          </w:p>
        </w:tc>
      </w:tr>
      <w:tr w:rsidR="000A5B9A" w:rsidRPr="004979AD" w:rsidTr="0050008E">
        <w:trPr>
          <w:cantSplit/>
        </w:trPr>
        <w:tc>
          <w:tcPr>
            <w:tcW w:w="10031" w:type="dxa"/>
            <w:gridSpan w:val="2"/>
          </w:tcPr>
          <w:p w:rsidR="000A5B9A" w:rsidRPr="004979AD" w:rsidRDefault="000A5B9A" w:rsidP="000A5B9A">
            <w:pPr>
              <w:pStyle w:val="Title2"/>
              <w:rPr>
                <w:rFonts w:asciiTheme="majorBidi" w:hAnsiTheme="majorBidi" w:cstheme="majorBidi"/>
              </w:rPr>
            </w:pPr>
            <w:bookmarkStart w:id="5" w:name="dtitle2" w:colFirst="0" w:colLast="0"/>
            <w:bookmarkEnd w:id="4"/>
          </w:p>
        </w:tc>
      </w:tr>
      <w:tr w:rsidR="000A5B9A" w:rsidRPr="004979AD" w:rsidTr="0050008E">
        <w:trPr>
          <w:cantSplit/>
        </w:trPr>
        <w:tc>
          <w:tcPr>
            <w:tcW w:w="10031" w:type="dxa"/>
            <w:gridSpan w:val="2"/>
          </w:tcPr>
          <w:p w:rsidR="000A5B9A" w:rsidRPr="004979AD" w:rsidRDefault="000A5B9A" w:rsidP="000A5B9A">
            <w:pPr>
              <w:pStyle w:val="Agendaitem"/>
              <w:rPr>
                <w:rFonts w:asciiTheme="majorBidi" w:hAnsiTheme="majorBidi" w:cstheme="majorBidi"/>
              </w:rPr>
            </w:pPr>
            <w:bookmarkStart w:id="6" w:name="dtitle3" w:colFirst="0" w:colLast="0"/>
            <w:bookmarkEnd w:id="5"/>
            <w:r w:rsidRPr="004979AD">
              <w:rPr>
                <w:rFonts w:asciiTheme="majorBidi" w:eastAsia="SimSun" w:hAnsiTheme="majorBidi" w:cstheme="majorBidi"/>
              </w:rPr>
              <w:t>Punto 1.10 del orden del día</w:t>
            </w:r>
          </w:p>
        </w:tc>
      </w:tr>
    </w:tbl>
    <w:bookmarkEnd w:id="6"/>
    <w:p w:rsidR="001C0E40" w:rsidRPr="004979AD" w:rsidRDefault="0053380A" w:rsidP="002A0567">
      <w:r w:rsidRPr="004979AD">
        <w:t>1.10</w:t>
      </w:r>
      <w:r w:rsidRPr="004979AD">
        <w:tab/>
        <w:t xml:space="preserve">considerar los requisitos de espectro y posibles atribuciones de espectro adicionales para el servicio móvil por satélite en los sentidos Tierra-espacio y espacio-Tierra, incluido el componente de satélite para las aplicaciones de banda ancha, incluidas las telecomunicaciones móviles internacionales (IMT), en la gama de frecuencias de 22 GHz a 26 GHz, de conformidad con la Resolución </w:t>
      </w:r>
      <w:r w:rsidRPr="004979AD">
        <w:rPr>
          <w:b/>
          <w:bCs/>
        </w:rPr>
        <w:t>234 (CMR-12)</w:t>
      </w:r>
      <w:r w:rsidRPr="004979AD">
        <w:t>;</w:t>
      </w:r>
    </w:p>
    <w:p w:rsidR="00363A65" w:rsidRPr="004979AD" w:rsidRDefault="00BD3B31" w:rsidP="00BD3B31">
      <w:pPr>
        <w:pStyle w:val="Headingb"/>
      </w:pPr>
      <w:r w:rsidRPr="004979AD">
        <w:t>Introducción</w:t>
      </w:r>
    </w:p>
    <w:p w:rsidR="00C718DE" w:rsidRPr="004979AD" w:rsidRDefault="003C7CC6" w:rsidP="003C7CC6">
      <w:r w:rsidRPr="004979AD">
        <w:t>La Resolución 234 (CMR</w:t>
      </w:r>
      <w:r w:rsidR="00DF3BC1">
        <w:noBreakHyphen/>
      </w:r>
      <w:r w:rsidR="00C718DE" w:rsidRPr="004979AD">
        <w:t xml:space="preserve">12) </w:t>
      </w:r>
      <w:r w:rsidR="00DF3BC1">
        <w:t>resuelve invitar al UIT</w:t>
      </w:r>
      <w:r w:rsidR="00DF3BC1">
        <w:noBreakHyphen/>
      </w:r>
      <w:r w:rsidRPr="004979AD">
        <w:t>R</w:t>
      </w:r>
      <w:r w:rsidR="00C718DE" w:rsidRPr="004979AD">
        <w:t xml:space="preserve">: </w:t>
      </w:r>
      <w:r w:rsidR="00DF3BC1">
        <w:t>a finalizar para la CMR</w:t>
      </w:r>
      <w:r w:rsidR="00DF3BC1">
        <w:noBreakHyphen/>
      </w:r>
      <w:r w:rsidR="00042BC2" w:rsidRPr="004979AD">
        <w:t xml:space="preserve">15 los estudios de compartición y compatibilidad para nuevas atribuciones al servicio móvil por </w:t>
      </w:r>
      <w:r w:rsidR="00692F45">
        <w:t>satélite en los sentidos Tierra</w:t>
      </w:r>
      <w:r w:rsidR="00692F45">
        <w:noBreakHyphen/>
        <w:t>espacio y espacio</w:t>
      </w:r>
      <w:r w:rsidR="00692F45">
        <w:noBreakHyphen/>
      </w:r>
      <w:r w:rsidR="00042BC2" w:rsidRPr="004979AD">
        <w:t xml:space="preserve">Tierra en partes </w:t>
      </w:r>
      <w:r w:rsidR="00DF3BC1">
        <w:t>de las bandas entre 22 GHz y 26 </w:t>
      </w:r>
      <w:r w:rsidR="00042BC2" w:rsidRPr="004979AD">
        <w:t>GHz, garantizando al mismo tiempo la protección de los servicios existentes en esas bandas, así como teniend</w:t>
      </w:r>
      <w:r w:rsidR="00DF3BC1">
        <w:t>o en cuenta los números 5.340 y </w:t>
      </w:r>
      <w:r w:rsidR="00042BC2" w:rsidRPr="004979AD">
        <w:t>5.149 del RR</w:t>
      </w:r>
      <w:r w:rsidR="00C718DE" w:rsidRPr="004979AD">
        <w:t>.</w:t>
      </w:r>
    </w:p>
    <w:p w:rsidR="00C718DE" w:rsidRPr="004979AD" w:rsidRDefault="004979AD" w:rsidP="005B3BA1">
      <w:r>
        <w:t xml:space="preserve">Se ha examinado la gama de frecuencias de </w:t>
      </w:r>
      <w:r w:rsidR="00C718DE" w:rsidRPr="004979AD">
        <w:t xml:space="preserve">22 </w:t>
      </w:r>
      <w:r>
        <w:t>a</w:t>
      </w:r>
      <w:r w:rsidR="00C718DE" w:rsidRPr="004979AD">
        <w:t xml:space="preserve"> 26 GHz </w:t>
      </w:r>
      <w:r>
        <w:t>y se ha estudi</w:t>
      </w:r>
      <w:r w:rsidR="00F204C2">
        <w:t xml:space="preserve">ado en la medida de lo posible </w:t>
      </w:r>
      <w:r>
        <w:t xml:space="preserve">en lo que atañe al punto 1.10 del orden del día. La gama de frecuencias está atribuida a una gran variedad de servicios de radiocomunicaciones diferentes, entre los cuales figuran el servicio de exploración de la Tierra por satélite, el servicio entre satélites, el servicio fijo y el servicio de radioastronomía, que </w:t>
      </w:r>
      <w:r w:rsidR="005B3BA1">
        <w:t>son servicios clave en Europa.</w:t>
      </w:r>
    </w:p>
    <w:p w:rsidR="00C718DE" w:rsidRPr="004979AD" w:rsidRDefault="004979AD" w:rsidP="00DF3BC1">
      <w:r>
        <w:t xml:space="preserve">Dentro de la gama de frecuencias de </w:t>
      </w:r>
      <w:r w:rsidR="00DF3BC1">
        <w:t>22 a 26 </w:t>
      </w:r>
      <w:r w:rsidRPr="004979AD">
        <w:t>GHz</w:t>
      </w:r>
      <w:r w:rsidR="00C718DE" w:rsidRPr="004979AD">
        <w:t xml:space="preserve">, </w:t>
      </w:r>
      <w:r>
        <w:t>se</w:t>
      </w:r>
      <w:r w:rsidR="00DF3BC1">
        <w:t xml:space="preserve"> han efectuado estudios del UIT</w:t>
      </w:r>
      <w:r w:rsidR="00DF3BC1">
        <w:noBreakHyphen/>
      </w:r>
      <w:r>
        <w:t xml:space="preserve">R en varias bandas de frecuencias. Dichos estudios han mostrado la incompatibilidad con algunos servicios existentes en determinadas bandas de frecuencias </w:t>
      </w:r>
      <w:r w:rsidR="00C718DE" w:rsidRPr="004979AD">
        <w:t>(</w:t>
      </w:r>
      <w:r>
        <w:t>por ejemplo en</w:t>
      </w:r>
      <w:r w:rsidR="00C718DE" w:rsidRPr="004979AD">
        <w:t xml:space="preserve"> 22</w:t>
      </w:r>
      <w:r>
        <w:t>,</w:t>
      </w:r>
      <w:r w:rsidR="00C718DE" w:rsidRPr="004979AD">
        <w:t>65-22</w:t>
      </w:r>
      <w:r>
        <w:t>,</w:t>
      </w:r>
      <w:r w:rsidR="00DF3BC1">
        <w:t>95 </w:t>
      </w:r>
      <w:r w:rsidR="00C718DE" w:rsidRPr="004979AD">
        <w:t>GHz, 23</w:t>
      </w:r>
      <w:r>
        <w:t>,</w:t>
      </w:r>
      <w:r w:rsidR="00C718DE" w:rsidRPr="004979AD">
        <w:t>15-23</w:t>
      </w:r>
      <w:r>
        <w:t>,</w:t>
      </w:r>
      <w:r w:rsidR="00DF3BC1">
        <w:t>4 </w:t>
      </w:r>
      <w:r w:rsidR="00C718DE" w:rsidRPr="004979AD">
        <w:t>GHz, 25</w:t>
      </w:r>
      <w:r>
        <w:t>,</w:t>
      </w:r>
      <w:r w:rsidR="00C718DE" w:rsidRPr="004979AD">
        <w:t>25-25</w:t>
      </w:r>
      <w:r>
        <w:t>,</w:t>
      </w:r>
      <w:r w:rsidR="00DF3BC1">
        <w:t>5 </w:t>
      </w:r>
      <w:r w:rsidR="00C718DE" w:rsidRPr="004979AD">
        <w:t>GHz)</w:t>
      </w:r>
      <w:r>
        <w:t xml:space="preserve">, mientras que aún no se han completado para otras bandas de frecuencias (por ejemplo </w:t>
      </w:r>
      <w:r w:rsidR="00C718DE" w:rsidRPr="004979AD">
        <w:t>24</w:t>
      </w:r>
      <w:r>
        <w:t>,</w:t>
      </w:r>
      <w:r w:rsidR="00C718DE" w:rsidRPr="004979AD">
        <w:t>25</w:t>
      </w:r>
      <w:r w:rsidR="00DF3BC1">
        <w:noBreakHyphen/>
      </w:r>
      <w:r w:rsidR="00C718DE" w:rsidRPr="004979AD">
        <w:t>24</w:t>
      </w:r>
      <w:r>
        <w:t>,</w:t>
      </w:r>
      <w:r w:rsidR="00DF3BC1">
        <w:t>55 </w:t>
      </w:r>
      <w:r w:rsidR="00C718DE" w:rsidRPr="004979AD">
        <w:t>GHz).</w:t>
      </w:r>
    </w:p>
    <w:p w:rsidR="00C718DE" w:rsidRPr="004979AD" w:rsidRDefault="004979AD" w:rsidP="00DF3BC1">
      <w:r>
        <w:t>Habida cuenta del amplio uso de muchas de las atribuciones actuales y del he</w:t>
      </w:r>
      <w:r w:rsidR="00DF3BC1">
        <w:t>cho de que los estudios del UIT</w:t>
      </w:r>
      <w:r w:rsidR="00DF3BC1">
        <w:noBreakHyphen/>
      </w:r>
      <w:r>
        <w:t xml:space="preserve">R han mostrado o bien incompatibilidades con servicios actualmente atribuidos o bien no se han completado, Europa no apoya ninguna atribución adicional al servicio móvil por satélite en la gama de </w:t>
      </w:r>
      <w:r w:rsidR="00C718DE" w:rsidRPr="004979AD">
        <w:t xml:space="preserve">22 </w:t>
      </w:r>
      <w:r>
        <w:t>a</w:t>
      </w:r>
      <w:r w:rsidR="00C718DE" w:rsidRPr="004979AD">
        <w:t xml:space="preserve"> 26</w:t>
      </w:r>
      <w:r w:rsidR="00DF3BC1">
        <w:t> </w:t>
      </w:r>
      <w:r w:rsidR="00C718DE" w:rsidRPr="004979AD">
        <w:t>GHz.</w:t>
      </w:r>
    </w:p>
    <w:p w:rsidR="00C718DE" w:rsidRPr="004979AD" w:rsidRDefault="004979AD" w:rsidP="00DF3BC1">
      <w:r>
        <w:t>Además, no se han presentado estudios suficientes a la UIT para cuantificar la cantidad de espectro requerida para atribuciones adicionales al SMS en la gama de frecuencias de</w:t>
      </w:r>
      <w:r w:rsidR="00F71274">
        <w:t xml:space="preserve"> </w:t>
      </w:r>
      <w:r w:rsidR="00C718DE" w:rsidRPr="004979AD">
        <w:t xml:space="preserve">22 </w:t>
      </w:r>
      <w:r w:rsidR="00F71274">
        <w:t>a</w:t>
      </w:r>
      <w:r w:rsidR="00DF3BC1">
        <w:t xml:space="preserve"> 26 </w:t>
      </w:r>
      <w:r w:rsidR="00C718DE" w:rsidRPr="004979AD">
        <w:t>GHz.</w:t>
      </w:r>
      <w:r w:rsidR="006F5723">
        <w:t xml:space="preserve"> </w:t>
      </w:r>
      <w:r w:rsidR="00F71274">
        <w:lastRenderedPageBreak/>
        <w:t xml:space="preserve">Teniendo en cuenta los estudios llevados a cabo hasta la fecha, el actual crecimiento de la demanda del mercado para las aplicaciones móviles de banda </w:t>
      </w:r>
      <w:r w:rsidR="00DF3BC1">
        <w:t>ancha puede abordarse en la CMR</w:t>
      </w:r>
      <w:r w:rsidR="00DF3BC1">
        <w:noBreakHyphen/>
      </w:r>
      <w:r w:rsidR="00F71274">
        <w:t>15 mediante ESOMP del SFS en la banda Ka sin necesidad de atribuciones a</w:t>
      </w:r>
      <w:r w:rsidR="00DF3BC1">
        <w:t>dicionales al SMS entre 22 y 26 GHz.</w:t>
      </w:r>
    </w:p>
    <w:p w:rsidR="00C718DE" w:rsidRPr="004979AD" w:rsidRDefault="00F71274" w:rsidP="00DF3BC1">
      <w:r>
        <w:t xml:space="preserve">Estas Propuestas Europeas se corresponden con el </w:t>
      </w:r>
      <w:r w:rsidR="00DF3BC1">
        <w:t>Método A del Informe de la RPC.</w:t>
      </w:r>
    </w:p>
    <w:p w:rsidR="00F008F3" w:rsidRPr="004979AD" w:rsidRDefault="0053380A" w:rsidP="00D44B91">
      <w:pPr>
        <w:pStyle w:val="ArtNo"/>
      </w:pPr>
      <w:r w:rsidRPr="004979AD">
        <w:t xml:space="preserve">ARTÍCULO </w:t>
      </w:r>
      <w:r w:rsidRPr="004979AD">
        <w:rPr>
          <w:rStyle w:val="href"/>
        </w:rPr>
        <w:t>5</w:t>
      </w:r>
    </w:p>
    <w:p w:rsidR="00F008F3" w:rsidRPr="004979AD" w:rsidRDefault="0053380A" w:rsidP="00D44B91">
      <w:pPr>
        <w:pStyle w:val="Arttitle"/>
      </w:pPr>
      <w:r w:rsidRPr="004979AD">
        <w:t>Atribuciones de frecuencia</w:t>
      </w:r>
    </w:p>
    <w:p w:rsidR="000978E8" w:rsidRPr="004979AD" w:rsidRDefault="0053380A">
      <w:pPr>
        <w:pStyle w:val="Proposal"/>
      </w:pPr>
      <w:r w:rsidRPr="004979AD">
        <w:rPr>
          <w:u w:val="single"/>
        </w:rPr>
        <w:t>NOC</w:t>
      </w:r>
      <w:r w:rsidRPr="004979AD">
        <w:tab/>
        <w:t>EUR/9A10/1</w:t>
      </w:r>
    </w:p>
    <w:p w:rsidR="00F008F3" w:rsidRPr="004979AD" w:rsidRDefault="0053380A" w:rsidP="00417F4D">
      <w:pPr>
        <w:pStyle w:val="Section1"/>
      </w:pPr>
      <w:r w:rsidRPr="004979AD">
        <w:t>Sección IV – Cuadro de atribución de bandas de frecuencias</w:t>
      </w:r>
      <w:r w:rsidRPr="004979AD">
        <w:br/>
      </w:r>
      <w:r w:rsidRPr="004979AD">
        <w:rPr>
          <w:b w:val="0"/>
          <w:bCs/>
        </w:rPr>
        <w:t>(Véase el número</w:t>
      </w:r>
      <w:r w:rsidRPr="004979AD">
        <w:t xml:space="preserve"> </w:t>
      </w:r>
      <w:r w:rsidRPr="004979AD">
        <w:rPr>
          <w:rStyle w:val="Artref"/>
        </w:rPr>
        <w:t>2.1</w:t>
      </w:r>
      <w:r w:rsidRPr="004979AD">
        <w:rPr>
          <w:b w:val="0"/>
          <w:bCs/>
        </w:rPr>
        <w:t>)</w:t>
      </w:r>
      <w:r w:rsidR="00564F54">
        <w:rPr>
          <w:b w:val="0"/>
          <w:bCs/>
        </w:rPr>
        <w:br/>
      </w:r>
      <w:r w:rsidRPr="004979AD">
        <w:br/>
      </w:r>
    </w:p>
    <w:p w:rsidR="000978E8" w:rsidRPr="004979AD" w:rsidRDefault="0053380A" w:rsidP="00E07710">
      <w:pPr>
        <w:pStyle w:val="Reasons"/>
      </w:pPr>
      <w:r w:rsidRPr="004979AD">
        <w:rPr>
          <w:b/>
        </w:rPr>
        <w:t>Motivos:</w:t>
      </w:r>
      <w:r w:rsidRPr="004979AD">
        <w:tab/>
      </w:r>
      <w:r w:rsidR="00EA7000">
        <w:t xml:space="preserve">Los estudios llevados a cabo en las bandas de frecuencias de </w:t>
      </w:r>
      <w:r w:rsidR="00967989" w:rsidRPr="004979AD">
        <w:t>22</w:t>
      </w:r>
      <w:r w:rsidR="00E07710">
        <w:t> </w:t>
      </w:r>
      <w:r w:rsidR="00967989" w:rsidRPr="004979AD">
        <w:t xml:space="preserve">GHz </w:t>
      </w:r>
      <w:r w:rsidR="00EA7000">
        <w:t>a</w:t>
      </w:r>
      <w:r w:rsidR="00E07710">
        <w:t xml:space="preserve"> 26 </w:t>
      </w:r>
      <w:r w:rsidR="00967989" w:rsidRPr="004979AD">
        <w:t xml:space="preserve">GHz </w:t>
      </w:r>
      <w:r w:rsidR="00EA7000">
        <w:t xml:space="preserve">en el marco de este punto del orden del día muestran incompatibilidades con los servicios existentes o no se han completado. Teniendo en cuenta los estudios efectuados hasta la fecha, los mercados relacionados con la movilidad a los que se pretende dar servicio mediante los sistemas del SMS propuestos que funcionan en las bandas entre </w:t>
      </w:r>
      <w:r w:rsidR="00E07710">
        <w:t>22</w:t>
      </w:r>
      <w:r w:rsidR="00E07710">
        <w:noBreakHyphen/>
        <w:t>26 </w:t>
      </w:r>
      <w:r w:rsidR="00967989" w:rsidRPr="004979AD">
        <w:t xml:space="preserve">GHz </w:t>
      </w:r>
      <w:r w:rsidR="00EA7000">
        <w:t>pueden recibir mejor servicio mediante estaciones terrenas del SFS en la banda Ka en plataformas móviles. En consecuencia, las modificaciones del Reglamento de Radiocomunicaciones planteadas para el punto 9.2 del orden del día suponen una manera más eficiente y efectiva de responder a la actual demanda de aplicaciones relacionadas con la movilidad que se trata de resolver en el marco del punto 1.10.</w:t>
      </w:r>
    </w:p>
    <w:p w:rsidR="000978E8" w:rsidRPr="004979AD" w:rsidRDefault="0053380A">
      <w:pPr>
        <w:pStyle w:val="Proposal"/>
      </w:pPr>
      <w:r w:rsidRPr="004979AD">
        <w:t>SUP</w:t>
      </w:r>
      <w:r w:rsidRPr="004979AD">
        <w:tab/>
        <w:t>EUR/9A10/2</w:t>
      </w:r>
    </w:p>
    <w:p w:rsidR="005B24B5" w:rsidRPr="004979AD" w:rsidRDefault="0053380A" w:rsidP="005B24B5">
      <w:pPr>
        <w:pStyle w:val="ResNo"/>
      </w:pPr>
      <w:bookmarkStart w:id="7" w:name="_Toc328141337"/>
      <w:r w:rsidRPr="004979AD">
        <w:t xml:space="preserve">RESOLUCIÓN </w:t>
      </w:r>
      <w:r w:rsidRPr="004979AD">
        <w:rPr>
          <w:rStyle w:val="href"/>
        </w:rPr>
        <w:t>234</w:t>
      </w:r>
      <w:r w:rsidRPr="004979AD">
        <w:t xml:space="preserve"> (CMR-12)</w:t>
      </w:r>
      <w:bookmarkEnd w:id="7"/>
    </w:p>
    <w:p w:rsidR="005B24B5" w:rsidRPr="004979AD" w:rsidRDefault="0053380A" w:rsidP="002C2173">
      <w:pPr>
        <w:pStyle w:val="Restitle"/>
      </w:pPr>
      <w:bookmarkStart w:id="8" w:name="_Toc328141338"/>
      <w:r w:rsidRPr="004979AD">
        <w:t xml:space="preserve">Atribuciones adicionales a título primario al servicio móvil </w:t>
      </w:r>
      <w:r w:rsidRPr="004979AD">
        <w:br/>
        <w:t>por satélite en las bandas de 22 GHz a 26 GHz</w:t>
      </w:r>
      <w:bookmarkEnd w:id="8"/>
    </w:p>
    <w:p w:rsidR="000978E8" w:rsidRPr="004979AD" w:rsidRDefault="0053380A" w:rsidP="00F318F8">
      <w:pPr>
        <w:pStyle w:val="Reasons"/>
      </w:pPr>
      <w:r w:rsidRPr="004979AD">
        <w:rPr>
          <w:b/>
        </w:rPr>
        <w:t>Motivos:</w:t>
      </w:r>
      <w:r w:rsidRPr="004979AD">
        <w:tab/>
      </w:r>
      <w:r w:rsidR="00EA7000">
        <w:t>Esta</w:t>
      </w:r>
      <w:r w:rsidR="00742F6E">
        <w:t xml:space="preserve"> Resolución ya no es necesaria.</w:t>
      </w:r>
    </w:p>
    <w:p w:rsidR="006F3AD3" w:rsidRPr="004979AD" w:rsidRDefault="006F3AD3" w:rsidP="0032202E">
      <w:pPr>
        <w:pStyle w:val="Reasons"/>
      </w:pPr>
    </w:p>
    <w:p w:rsidR="006F3AD3" w:rsidRPr="004979AD" w:rsidRDefault="006F3AD3">
      <w:pPr>
        <w:jc w:val="center"/>
      </w:pPr>
      <w:r w:rsidRPr="004979AD">
        <w:t>______________</w:t>
      </w:r>
    </w:p>
    <w:p w:rsidR="006F3AD3" w:rsidRPr="004979AD" w:rsidRDefault="006F3AD3" w:rsidP="006F3AD3">
      <w:pPr>
        <w:pStyle w:val="Reasons"/>
        <w:spacing w:line="480" w:lineRule="auto"/>
      </w:pPr>
    </w:p>
    <w:sectPr w:rsidR="006F3AD3" w:rsidRPr="004979AD">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92F45" w:rsidRDefault="0077084A">
    <w:pPr>
      <w:ind w:right="360"/>
    </w:pPr>
    <w:r>
      <w:fldChar w:fldCharType="begin"/>
    </w:r>
    <w:r w:rsidRPr="00692F45">
      <w:instrText xml:space="preserve"> FILENAME \p  \* MERGEFORMAT </w:instrText>
    </w:r>
    <w:r>
      <w:fldChar w:fldCharType="separate"/>
    </w:r>
    <w:r w:rsidR="008210E2">
      <w:rPr>
        <w:noProof/>
      </w:rPr>
      <w:t>P:\ESP\ITU-R\CONF-R\CMR15\000\009ADD10S.docx</w:t>
    </w:r>
    <w:r>
      <w:fldChar w:fldCharType="end"/>
    </w:r>
    <w:r w:rsidRPr="00692F45">
      <w:tab/>
    </w:r>
    <w:r>
      <w:fldChar w:fldCharType="begin"/>
    </w:r>
    <w:r>
      <w:instrText xml:space="preserve"> SAVEDATE \@ DD.MM.YY </w:instrText>
    </w:r>
    <w:r>
      <w:fldChar w:fldCharType="separate"/>
    </w:r>
    <w:r w:rsidR="008210E2">
      <w:rPr>
        <w:noProof/>
      </w:rPr>
      <w:t>16.07.15</w:t>
    </w:r>
    <w:r>
      <w:fldChar w:fldCharType="end"/>
    </w:r>
    <w:r w:rsidRPr="00692F45">
      <w:tab/>
    </w:r>
    <w:r>
      <w:fldChar w:fldCharType="begin"/>
    </w:r>
    <w:r>
      <w:instrText xml:space="preserve"> PRINTDATE \@ DD.MM.YY </w:instrText>
    </w:r>
    <w:r>
      <w:fldChar w:fldCharType="separate"/>
    </w:r>
    <w:r w:rsidR="008210E2">
      <w:rPr>
        <w:noProof/>
      </w:rPr>
      <w:t>16.07.15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18" w:rsidRDefault="001B3D18" w:rsidP="001B3D18">
    <w:pPr>
      <w:pStyle w:val="Footer"/>
      <w:rPr>
        <w:lang w:val="en-US"/>
      </w:rPr>
    </w:pPr>
    <w:r>
      <w:fldChar w:fldCharType="begin"/>
    </w:r>
    <w:r>
      <w:rPr>
        <w:lang w:val="en-US"/>
      </w:rPr>
      <w:instrText xml:space="preserve"> FILENAME \p  \* MERGEFORMAT </w:instrText>
    </w:r>
    <w:r>
      <w:fldChar w:fldCharType="separate"/>
    </w:r>
    <w:r w:rsidR="008210E2">
      <w:rPr>
        <w:lang w:val="en-US"/>
      </w:rPr>
      <w:t>P:\ESP\ITU-R\CONF-R\CMR15\000\009ADD10S.docx</w:t>
    </w:r>
    <w:r>
      <w:fldChar w:fldCharType="end"/>
    </w:r>
    <w:r w:rsidRPr="00E5566F">
      <w:rPr>
        <w:lang w:val="en-US"/>
      </w:rPr>
      <w:t xml:space="preserve"> (383590)</w:t>
    </w:r>
    <w:r>
      <w:rPr>
        <w:lang w:val="en-US"/>
      </w:rPr>
      <w:tab/>
    </w:r>
    <w:r>
      <w:fldChar w:fldCharType="begin"/>
    </w:r>
    <w:r>
      <w:instrText xml:space="preserve"> SAVEDATE \@ DD.MM.YY </w:instrText>
    </w:r>
    <w:r>
      <w:fldChar w:fldCharType="separate"/>
    </w:r>
    <w:r w:rsidR="008210E2">
      <w:t>16.07.15</w:t>
    </w:r>
    <w:r>
      <w:fldChar w:fldCharType="end"/>
    </w:r>
    <w:r>
      <w:rPr>
        <w:lang w:val="en-US"/>
      </w:rPr>
      <w:tab/>
    </w:r>
    <w:r>
      <w:fldChar w:fldCharType="begin"/>
    </w:r>
    <w:r>
      <w:instrText xml:space="preserve"> PRINTDATE \@ DD.MM.YY </w:instrText>
    </w:r>
    <w:r>
      <w:fldChar w:fldCharType="separate"/>
    </w:r>
    <w:r w:rsidR="008210E2">
      <w:t>16.07.15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18" w:rsidRDefault="001B3D18" w:rsidP="001B3D18">
    <w:pPr>
      <w:pStyle w:val="Footer"/>
      <w:rPr>
        <w:lang w:val="en-US"/>
      </w:rPr>
    </w:pPr>
    <w:r>
      <w:fldChar w:fldCharType="begin"/>
    </w:r>
    <w:r>
      <w:rPr>
        <w:lang w:val="en-US"/>
      </w:rPr>
      <w:instrText xml:space="preserve"> FILENAME \p  \* MERGEFORMAT </w:instrText>
    </w:r>
    <w:r>
      <w:fldChar w:fldCharType="separate"/>
    </w:r>
    <w:r w:rsidR="008210E2">
      <w:rPr>
        <w:lang w:val="en-US"/>
      </w:rPr>
      <w:t>P:\ESP\ITU-R\CONF-R\CMR15\000\009ADD10S.docx</w:t>
    </w:r>
    <w:r>
      <w:fldChar w:fldCharType="end"/>
    </w:r>
    <w:r w:rsidRPr="00E5566F">
      <w:rPr>
        <w:lang w:val="en-US"/>
      </w:rPr>
      <w:t xml:space="preserve"> (383590)</w:t>
    </w:r>
    <w:r>
      <w:rPr>
        <w:lang w:val="en-US"/>
      </w:rPr>
      <w:tab/>
    </w:r>
    <w:r>
      <w:fldChar w:fldCharType="begin"/>
    </w:r>
    <w:r>
      <w:instrText xml:space="preserve"> SAVEDATE \@ DD.MM.YY </w:instrText>
    </w:r>
    <w:r>
      <w:fldChar w:fldCharType="separate"/>
    </w:r>
    <w:r w:rsidR="008210E2">
      <w:t>16.07.15</w:t>
    </w:r>
    <w:r>
      <w:fldChar w:fldCharType="end"/>
    </w:r>
    <w:r>
      <w:rPr>
        <w:lang w:val="en-US"/>
      </w:rPr>
      <w:tab/>
    </w:r>
    <w:r>
      <w:fldChar w:fldCharType="begin"/>
    </w:r>
    <w:r>
      <w:instrText xml:space="preserve"> PRINTDATE \@ DD.MM.YY </w:instrText>
    </w:r>
    <w:r>
      <w:fldChar w:fldCharType="separate"/>
    </w:r>
    <w:r w:rsidR="008210E2">
      <w:t>16.07.15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210E2">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2BC2"/>
    <w:rsid w:val="00087AE8"/>
    <w:rsid w:val="000978E8"/>
    <w:rsid w:val="000A5B9A"/>
    <w:rsid w:val="000E5BF9"/>
    <w:rsid w:val="000F0E6D"/>
    <w:rsid w:val="00121170"/>
    <w:rsid w:val="00123CC5"/>
    <w:rsid w:val="0015142D"/>
    <w:rsid w:val="001616DC"/>
    <w:rsid w:val="001636C5"/>
    <w:rsid w:val="00163962"/>
    <w:rsid w:val="00191A97"/>
    <w:rsid w:val="001A083F"/>
    <w:rsid w:val="001B3D18"/>
    <w:rsid w:val="001C41FA"/>
    <w:rsid w:val="001C5E17"/>
    <w:rsid w:val="001E2B52"/>
    <w:rsid w:val="001E3F27"/>
    <w:rsid w:val="00236D2A"/>
    <w:rsid w:val="00255F12"/>
    <w:rsid w:val="00262C09"/>
    <w:rsid w:val="002A791F"/>
    <w:rsid w:val="002C1B26"/>
    <w:rsid w:val="002C5D6C"/>
    <w:rsid w:val="002E701F"/>
    <w:rsid w:val="003248A9"/>
    <w:rsid w:val="00324FFA"/>
    <w:rsid w:val="0032680B"/>
    <w:rsid w:val="00363A65"/>
    <w:rsid w:val="003908AC"/>
    <w:rsid w:val="003B1E8C"/>
    <w:rsid w:val="003C2508"/>
    <w:rsid w:val="003C7CC6"/>
    <w:rsid w:val="003D0AA3"/>
    <w:rsid w:val="004265AE"/>
    <w:rsid w:val="00440B3A"/>
    <w:rsid w:val="0045384C"/>
    <w:rsid w:val="00454553"/>
    <w:rsid w:val="004979AD"/>
    <w:rsid w:val="004B124A"/>
    <w:rsid w:val="005133B5"/>
    <w:rsid w:val="00532097"/>
    <w:rsid w:val="0053380A"/>
    <w:rsid w:val="00564F54"/>
    <w:rsid w:val="0058350F"/>
    <w:rsid w:val="00583C7E"/>
    <w:rsid w:val="005B3BA1"/>
    <w:rsid w:val="005D46FB"/>
    <w:rsid w:val="005F2605"/>
    <w:rsid w:val="005F3B0E"/>
    <w:rsid w:val="005F559C"/>
    <w:rsid w:val="00662BA0"/>
    <w:rsid w:val="00692AAE"/>
    <w:rsid w:val="00692F45"/>
    <w:rsid w:val="006D6E67"/>
    <w:rsid w:val="006E1A13"/>
    <w:rsid w:val="006F3AD3"/>
    <w:rsid w:val="006F5723"/>
    <w:rsid w:val="00701C20"/>
    <w:rsid w:val="00702F3D"/>
    <w:rsid w:val="0070518E"/>
    <w:rsid w:val="007354E9"/>
    <w:rsid w:val="00742F6E"/>
    <w:rsid w:val="00754901"/>
    <w:rsid w:val="00765578"/>
    <w:rsid w:val="0077084A"/>
    <w:rsid w:val="007952C7"/>
    <w:rsid w:val="007C0B95"/>
    <w:rsid w:val="007C2317"/>
    <w:rsid w:val="007C7245"/>
    <w:rsid w:val="007D330A"/>
    <w:rsid w:val="008210E2"/>
    <w:rsid w:val="00866AE6"/>
    <w:rsid w:val="008750A8"/>
    <w:rsid w:val="008E5AF2"/>
    <w:rsid w:val="0090121B"/>
    <w:rsid w:val="009144C9"/>
    <w:rsid w:val="0094091F"/>
    <w:rsid w:val="00967989"/>
    <w:rsid w:val="00973754"/>
    <w:rsid w:val="009C0BED"/>
    <w:rsid w:val="009E11EC"/>
    <w:rsid w:val="00A118DB"/>
    <w:rsid w:val="00A4450C"/>
    <w:rsid w:val="00AA5E6C"/>
    <w:rsid w:val="00AE5677"/>
    <w:rsid w:val="00AE658F"/>
    <w:rsid w:val="00AF2F78"/>
    <w:rsid w:val="00B239FA"/>
    <w:rsid w:val="00B52D55"/>
    <w:rsid w:val="00B8288C"/>
    <w:rsid w:val="00B82CC7"/>
    <w:rsid w:val="00BD3B31"/>
    <w:rsid w:val="00BE2E80"/>
    <w:rsid w:val="00BE5EDD"/>
    <w:rsid w:val="00BE6A1F"/>
    <w:rsid w:val="00C126C4"/>
    <w:rsid w:val="00C63EB5"/>
    <w:rsid w:val="00C718DE"/>
    <w:rsid w:val="00CC01E0"/>
    <w:rsid w:val="00CD5FEE"/>
    <w:rsid w:val="00CE60D2"/>
    <w:rsid w:val="00CE7431"/>
    <w:rsid w:val="00D0288A"/>
    <w:rsid w:val="00D46682"/>
    <w:rsid w:val="00D72A5D"/>
    <w:rsid w:val="00DC629B"/>
    <w:rsid w:val="00DF3BC1"/>
    <w:rsid w:val="00E05BFF"/>
    <w:rsid w:val="00E07710"/>
    <w:rsid w:val="00E10031"/>
    <w:rsid w:val="00E262F1"/>
    <w:rsid w:val="00E3176A"/>
    <w:rsid w:val="00E54754"/>
    <w:rsid w:val="00E5566F"/>
    <w:rsid w:val="00E56BD3"/>
    <w:rsid w:val="00E71D14"/>
    <w:rsid w:val="00EA7000"/>
    <w:rsid w:val="00F204C2"/>
    <w:rsid w:val="00F318F8"/>
    <w:rsid w:val="00F66597"/>
    <w:rsid w:val="00F675D0"/>
    <w:rsid w:val="00F7127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43255F3-5306-499A-8051-71B74577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R15-WRC15-C-0009!A10!MSW-S</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C535E-C9DF-47C7-AF26-FE2291551673}">
  <ds:schemaRefs>
    <ds:schemaRef ds:uri="http://schemas.microsoft.com/office/2006/documentManagement/types"/>
    <ds:schemaRef ds:uri="http://purl.org/dc/terms/"/>
    <ds:schemaRef ds:uri="http://schemas.microsoft.com/office/infopath/2007/PartnerControls"/>
    <ds:schemaRef ds:uri="http://purl.org/dc/dcmitype/"/>
    <ds:schemaRef ds:uri="32a1a8c5-2265-4ebc-b7a0-2071e2c5c9bb"/>
    <ds:schemaRef ds:uri="http://purl.org/dc/elements/1.1/"/>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D12908-3F60-41FC-A2E0-78DB14EA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655</Words>
  <Characters>3415</Characters>
  <Application>Microsoft Office Word</Application>
  <DocSecurity>0</DocSecurity>
  <Lines>74</Lines>
  <Paragraphs>27</Paragraphs>
  <ScaleCrop>false</ScaleCrop>
  <HeadingPairs>
    <vt:vector size="2" baseType="variant">
      <vt:variant>
        <vt:lpstr>Title</vt:lpstr>
      </vt:variant>
      <vt:variant>
        <vt:i4>1</vt:i4>
      </vt:variant>
    </vt:vector>
  </HeadingPairs>
  <TitlesOfParts>
    <vt:vector size="1" baseType="lpstr">
      <vt:lpstr>R15-WRC15-C-0009!A10!MSW-S</vt:lpstr>
    </vt:vector>
  </TitlesOfParts>
  <Manager>Secretaría General - Pool</Manager>
  <Company>Unión Internacional de Telecomunicaciones (UIT)</Company>
  <LinksUpToDate>false</LinksUpToDate>
  <CharactersWithSpaces>4047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R15-WRC15-C-0009!A10!MSW-S</dc:title>
  <dc:subject>Conferencia Mundial de Radiocomunicaciones - 2015</dc:subject>
  <dc:creator>Documents Proposals Manager (DPM)</dc:creator>
  <cp:keywords>DPM_v5.2015.7.13_prod</cp:keywords>
  <dc:description/>
  <cp:lastModifiedBy>Garcia Prieto, M. Esperanza</cp:lastModifiedBy>
  <cp:revision>10</cp:revision>
  <cp:lastPrinted>2015-07-16T09:33:00Z</cp:lastPrinted>
  <dcterms:created xsi:type="dcterms:W3CDTF">2015-07-16T08:48:00Z</dcterms:created>
  <dcterms:modified xsi:type="dcterms:W3CDTF">2015-07-16T09:33:00Z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