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E3638E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E3638E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E3638E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E3638E">
            <w:pPr>
              <w:pStyle w:val="Adress"/>
              <w:framePr w:hSpace="0" w:wrap="auto" w:xAlign="left" w:yAlign="inline"/>
              <w:spacing w:before="0" w:line="300" w:lineRule="exact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BE5C7C" w:rsidRDefault="00E165ED" w:rsidP="00E3638E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E5C7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F93542" w:rsidRPr="00BE5C7C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:rsidR="003E1608" w:rsidRPr="00BE5C7C" w:rsidRDefault="003E1608" w:rsidP="00681F9E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  <w:lang w:bidi="ar-SA"/>
              </w:rPr>
            </w:pPr>
            <w:r w:rsidRPr="00BE5C7C">
              <w:rPr>
                <w:rFonts w:eastAsia="SimSun"/>
                <w:rtl/>
              </w:rPr>
              <w:t>الإضافة</w:t>
            </w:r>
            <w:r w:rsidR="00681F9E">
              <w:rPr>
                <w:rFonts w:eastAsia="SimSun" w:hint="eastAsia"/>
                <w:rtl/>
              </w:rPr>
              <w:t> </w:t>
            </w:r>
            <w:r w:rsidRPr="00BE5C7C">
              <w:t>3</w:t>
            </w:r>
            <w:r w:rsidRPr="00BE5C7C">
              <w:br/>
            </w:r>
            <w:r w:rsidRPr="00BE5C7C">
              <w:rPr>
                <w:rFonts w:eastAsia="SimSun"/>
                <w:rtl/>
              </w:rPr>
              <w:t>للوثيقة</w:t>
            </w:r>
            <w:r w:rsidR="00681F9E">
              <w:rPr>
                <w:rFonts w:hint="cs"/>
                <w:rtl/>
              </w:rPr>
              <w:t xml:space="preserve"> </w:t>
            </w:r>
            <w:r w:rsidRPr="00BE5C7C">
              <w:t>9(Add.2)-</w:t>
            </w:r>
            <w:r w:rsidR="00F93542" w:rsidRPr="00BE5C7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E5C7C" w:rsidRDefault="00764079" w:rsidP="00E3638E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E5C7C" w:rsidRDefault="00111082" w:rsidP="00E3638E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 xml:space="preserve"> </w:t>
            </w:r>
            <w:r w:rsidR="00BE5C7C">
              <w:t>6</w:t>
            </w:r>
            <w:r w:rsidR="00764079" w:rsidRPr="00BE5C7C">
              <w:rPr>
                <w:rtl/>
              </w:rPr>
              <w:t xml:space="preserve">نوفمبر </w:t>
            </w:r>
            <w:r w:rsidR="00764079" w:rsidRPr="00BE5C7C"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E5C7C" w:rsidRDefault="00764079" w:rsidP="00E3638E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E5C7C" w:rsidRDefault="00764079" w:rsidP="00E3638E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BE5C7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641D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9616A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9616A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641D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641D6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44333A" w:rsidP="005A35AB">
      <w:pPr>
        <w:pStyle w:val="Normalaftertitle"/>
        <w:rPr>
          <w:rFonts w:eastAsia="SimSun"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7A0986" w:rsidRPr="007A0986" w:rsidRDefault="007A0986" w:rsidP="007A0986">
      <w:pPr>
        <w:rPr>
          <w:rFonts w:eastAsia="SimSun"/>
          <w:rtl/>
          <w:lang w:bidi="ar-SY"/>
        </w:rPr>
      </w:pPr>
    </w:p>
    <w:p w:rsidR="00CE74AC" w:rsidRDefault="00CE74AC" w:rsidP="007A0986">
      <w:pPr>
        <w:rPr>
          <w:rtl/>
          <w:lang w:bidi="ar-EG"/>
        </w:rPr>
      </w:pPr>
      <w:r>
        <w:rPr>
          <w:rFonts w:hint="cs"/>
          <w:rtl/>
        </w:rPr>
        <w:t xml:space="preserve">إن البند </w:t>
      </w:r>
      <w:r w:rsidRPr="00431196">
        <w:rPr>
          <w:rFonts w:eastAsia="SimSun"/>
        </w:rPr>
        <w:t>2.1</w:t>
      </w:r>
      <w:r>
        <w:rPr>
          <w:rFonts w:eastAsia="SimSun" w:hint="cs"/>
          <w:rtl/>
        </w:rPr>
        <w:t xml:space="preserve"> من جدول أعمال المؤتمر العالمي للاتصالات الراديوية لعام</w:t>
      </w:r>
      <w:r>
        <w:rPr>
          <w:rFonts w:eastAsia="SimSun" w:hint="eastAsia"/>
          <w:rtl/>
          <w:lang w:bidi="ar-SY"/>
        </w:rPr>
        <w:t> </w:t>
      </w:r>
      <w:r>
        <w:rPr>
          <w:rFonts w:eastAsia="SimSun"/>
        </w:rPr>
        <w:t>2015</w:t>
      </w:r>
      <w:r>
        <w:rPr>
          <w:rFonts w:eastAsia="SimSun" w:hint="cs"/>
          <w:rtl/>
        </w:rPr>
        <w:t xml:space="preserve"> يتناول الدراسات التي أجريت بموجب القرار</w:t>
      </w:r>
      <w:r>
        <w:rPr>
          <w:rFonts w:eastAsia="SimSun" w:hint="eastAsia"/>
          <w:rtl/>
          <w:lang w:bidi="ar-SY"/>
        </w:rPr>
        <w:t> </w:t>
      </w:r>
      <w:r w:rsidRPr="00F5394E">
        <w:rPr>
          <w:rFonts w:eastAsia="SimSun"/>
        </w:rPr>
        <w:t>232 </w:t>
      </w:r>
      <w:r w:rsidRPr="00F5394E">
        <w:rPr>
          <w:rFonts w:eastAsia="SimSun"/>
          <w:lang w:bidi="ar-SY"/>
        </w:rPr>
        <w:t>(WRC</w:t>
      </w:r>
      <w:r w:rsidRPr="00F5394E">
        <w:rPr>
          <w:rFonts w:eastAsia="SimSun"/>
          <w:lang w:bidi="ar-SY"/>
        </w:rPr>
        <w:noBreakHyphen/>
        <w:t>12)</w:t>
      </w:r>
      <w:r>
        <w:rPr>
          <w:rFonts w:eastAsia="SimSun" w:hint="cs"/>
          <w:rtl/>
          <w:lang w:bidi="ar-EG"/>
        </w:rPr>
        <w:t xml:space="preserve"> بشأن </w:t>
      </w:r>
      <w:r w:rsidRPr="00431196">
        <w:rPr>
          <w:rFonts w:eastAsia="SimSun" w:hint="cs"/>
          <w:rtl/>
        </w:rPr>
        <w:t xml:space="preserve">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1</w:t>
      </w:r>
      <w:r>
        <w:rPr>
          <w:rFonts w:eastAsia="SimSun" w:hint="cs"/>
          <w:rtl/>
          <w:lang w:bidi="ar-SY"/>
        </w:rPr>
        <w:t xml:space="preserve">. وجرى </w:t>
      </w:r>
      <w:r w:rsidRPr="00E52CF1">
        <w:rPr>
          <w:rFonts w:eastAsia="SimSun" w:hint="cs"/>
          <w:spacing w:val="6"/>
          <w:rtl/>
          <w:lang w:bidi="ar-SY"/>
        </w:rPr>
        <w:t>التركيز في العمل الذي اضطلع به قطاع الاتصالات الراديوية استعداداً للمؤتمر المذكور فيما</w:t>
      </w:r>
      <w:r w:rsidRPr="00E52CF1">
        <w:rPr>
          <w:rFonts w:hint="eastAsia"/>
          <w:spacing w:val="6"/>
          <w:rtl/>
          <w:lang w:bidi="ar-EG"/>
        </w:rPr>
        <w:t> </w:t>
      </w:r>
      <w:r w:rsidRPr="00E52CF1">
        <w:rPr>
          <w:rFonts w:eastAsia="SimSun" w:hint="cs"/>
          <w:spacing w:val="6"/>
          <w:rtl/>
          <w:lang w:bidi="ar-SY"/>
        </w:rPr>
        <w:t xml:space="preserve">يتعلق ببند جدول الأعمال هذا </w:t>
      </w:r>
      <w:r>
        <w:rPr>
          <w:rFonts w:eastAsia="SimSun" w:hint="cs"/>
          <w:rtl/>
          <w:lang w:bidi="ar-SY"/>
        </w:rPr>
        <w:t xml:space="preserve">(العمل الذي اضطلع به فريق المهام المشترك </w:t>
      </w:r>
      <w:r w:rsidR="007A0986">
        <w:rPr>
          <w:rFonts w:eastAsia="SimSun"/>
          <w:lang w:bidi="ar-SY"/>
        </w:rPr>
        <w:t xml:space="preserve">JTG </w:t>
      </w:r>
      <w:r>
        <w:rPr>
          <w:rFonts w:eastAsia="SimSun"/>
          <w:lang w:bidi="ar-SY"/>
        </w:rPr>
        <w:t>4-5-6-7</w:t>
      </w:r>
      <w:r>
        <w:rPr>
          <w:rFonts w:eastAsia="SimSun" w:hint="cs"/>
          <w:rtl/>
          <w:lang w:bidi="ar-SY"/>
        </w:rPr>
        <w:t>) على أربع</w:t>
      </w:r>
      <w:r>
        <w:rPr>
          <w:rFonts w:eastAsia="SimSun" w:hint="eastAsia"/>
          <w:rtl/>
          <w:lang w:bidi="ar-SY"/>
        </w:rPr>
        <w:t> </w:t>
      </w:r>
      <w:r>
        <w:rPr>
          <w:rFonts w:eastAsia="SimSun" w:hint="cs"/>
          <w:rtl/>
          <w:lang w:bidi="ar-SY"/>
        </w:rPr>
        <w:t>مسائل:</w:t>
      </w:r>
    </w:p>
    <w:p w:rsidR="00CE74AC" w:rsidRPr="00492D96" w:rsidRDefault="00CE74AC" w:rsidP="00CE74AC">
      <w:pPr>
        <w:pStyle w:val="enumlev1"/>
        <w:rPr>
          <w:lang w:val="en-GB"/>
        </w:rPr>
      </w:pPr>
      <w:r w:rsidRPr="00492D96">
        <w:sym w:font="Symbol" w:char="F0B7"/>
      </w:r>
      <w:r w:rsidRPr="00492D96">
        <w:rPr>
          <w:rtl/>
          <w:lang w:bidi="ar-EG"/>
        </w:rPr>
        <w:tab/>
      </w:r>
      <w:r w:rsidRPr="00492D96">
        <w:rPr>
          <w:rFonts w:hint="cs"/>
          <w:rtl/>
          <w:lang w:bidi="ar-EG"/>
        </w:rPr>
        <w:t xml:space="preserve">المسألة </w:t>
      </w:r>
      <w:r w:rsidRPr="00492D96">
        <w:rPr>
          <w:lang w:val="en-GB"/>
        </w:rPr>
        <w:t>A</w:t>
      </w:r>
      <w:r>
        <w:rPr>
          <w:rFonts w:hint="cs"/>
          <w:rtl/>
          <w:lang w:bidi="ar-EG"/>
        </w:rPr>
        <w:t>: خيار تحسين الحافة السفلية (انظر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الوثيقة</w:t>
      </w:r>
      <w:r>
        <w:rPr>
          <w:rFonts w:eastAsia="SimSun" w:hint="eastAsia"/>
          <w:rtl/>
          <w:lang w:bidi="ar-SY"/>
        </w:rPr>
        <w:t> </w:t>
      </w:r>
      <w:r w:rsidR="00C034CF">
        <w:rPr>
          <w:rFonts w:eastAsia="SimSun"/>
          <w:lang w:bidi="ar-SY"/>
        </w:rPr>
        <w:t>00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).</w:t>
      </w:r>
    </w:p>
    <w:p w:rsidR="00CE74AC" w:rsidRPr="00637C82" w:rsidRDefault="00CE74AC" w:rsidP="00CE74AC">
      <w:pPr>
        <w:pStyle w:val="enumlev1"/>
        <w:rPr>
          <w:rtl/>
        </w:rPr>
      </w:pPr>
      <w:r w:rsidRPr="00492D96">
        <w:sym w:font="Symbol" w:char="F0B7"/>
      </w:r>
      <w:r w:rsidRPr="00492D96">
        <w:rPr>
          <w:rtl/>
          <w:lang w:bidi="ar-EG"/>
        </w:rPr>
        <w:tab/>
      </w:r>
      <w:r w:rsidRPr="00492D96">
        <w:rPr>
          <w:rFonts w:hint="cs"/>
          <w:rtl/>
          <w:lang w:bidi="ar-EG"/>
        </w:rPr>
        <w:t xml:space="preserve">المسألة </w:t>
      </w:r>
      <w:r w:rsidRPr="00492D96">
        <w:rPr>
          <w:lang w:val="en-GB"/>
        </w:rPr>
        <w:t>B</w:t>
      </w:r>
      <w:r w:rsidRPr="00492D96">
        <w:rPr>
          <w:rFonts w:hint="cs"/>
          <w:rtl/>
          <w:lang w:bidi="ar-EG"/>
        </w:rPr>
        <w:t>: الشروط التقنية والتنظيم</w:t>
      </w:r>
      <w:r>
        <w:rPr>
          <w:rFonts w:hint="cs"/>
          <w:rtl/>
          <w:lang w:bidi="ar-EG"/>
        </w:rPr>
        <w:t>ية المنطبقة على الخدمة المتنقلة</w:t>
      </w:r>
      <w:r>
        <w:rPr>
          <w:rFonts w:eastAsia="SimSun" w:hint="cs"/>
          <w:rtl/>
          <w:lang w:bidi="ar-SY"/>
        </w:rPr>
        <w:t xml:space="preserve"> </w:t>
      </w:r>
      <w:r w:rsidRPr="00492D96">
        <w:rPr>
          <w:rFonts w:hint="cs"/>
          <w:rtl/>
          <w:lang w:bidi="ar-EG"/>
        </w:rPr>
        <w:t>فيما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يتعلق بالتوافق بين الخدمة المتنقلة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(MS)</w:t>
      </w:r>
      <w:r>
        <w:rPr>
          <w:rFonts w:hint="cs"/>
          <w:rtl/>
          <w:lang w:bidi="ar-EG"/>
        </w:rPr>
        <w:t xml:space="preserve"> </w:t>
      </w:r>
      <w:r w:rsidRPr="00492D96">
        <w:rPr>
          <w:rFonts w:hint="cs"/>
          <w:rtl/>
          <w:lang w:bidi="ar-EG"/>
        </w:rPr>
        <w:t>والخدمة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الإذاعية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(BS)</w:t>
      </w:r>
      <w:r>
        <w:rPr>
          <w:rFonts w:hint="cs"/>
          <w:rtl/>
          <w:lang w:bidi="ar-EG"/>
        </w:rPr>
        <w:t xml:space="preserve"> (انظر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الوثيقة</w:t>
      </w:r>
      <w:r>
        <w:rPr>
          <w:rFonts w:eastAsia="SimSun" w:hint="eastAsia"/>
          <w:rtl/>
          <w:lang w:bidi="ar-SY"/>
        </w:rPr>
        <w:t> </w:t>
      </w:r>
      <w:r w:rsidR="00C034CF">
        <w:rPr>
          <w:rFonts w:eastAsia="SimSun"/>
          <w:lang w:bidi="ar-SY"/>
        </w:rPr>
        <w:t>00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).</w:t>
      </w:r>
    </w:p>
    <w:p w:rsidR="00CE74AC" w:rsidRPr="00AC0106" w:rsidRDefault="00CE74AC" w:rsidP="00CE74AC">
      <w:pPr>
        <w:pStyle w:val="enumlev1"/>
        <w:rPr>
          <w:spacing w:val="-4"/>
          <w:lang w:val="en-GB"/>
        </w:rPr>
      </w:pPr>
      <w:r w:rsidRPr="00AC0106">
        <w:rPr>
          <w:spacing w:val="-4"/>
        </w:rPr>
        <w:sym w:font="Symbol" w:char="F0B7"/>
      </w:r>
      <w:r w:rsidRPr="00AC0106">
        <w:rPr>
          <w:spacing w:val="-4"/>
          <w:rtl/>
          <w:lang w:bidi="ar-EG"/>
        </w:rPr>
        <w:tab/>
      </w:r>
      <w:r w:rsidRPr="00AC0106">
        <w:rPr>
          <w:rFonts w:hint="cs"/>
          <w:spacing w:val="-4"/>
          <w:rtl/>
          <w:lang w:bidi="ar-EG"/>
        </w:rPr>
        <w:t xml:space="preserve">المسألة </w:t>
      </w:r>
      <w:r w:rsidRPr="00AC0106">
        <w:rPr>
          <w:spacing w:val="-4"/>
          <w:lang w:val="en-GB"/>
        </w:rPr>
        <w:t>C</w:t>
      </w:r>
      <w:r w:rsidRPr="00AC0106">
        <w:rPr>
          <w:rFonts w:hint="cs"/>
          <w:spacing w:val="-4"/>
          <w:rtl/>
          <w:lang w:bidi="ar-EG"/>
        </w:rPr>
        <w:t>: الشروط التقنية والتنظيمية المنطبقة على الخدمة المتنقلة فيما يتعلق بالتوافق بين الخدمة المتنقلة و</w:t>
      </w:r>
      <w:r w:rsidRPr="00AC0106">
        <w:rPr>
          <w:spacing w:val="-4"/>
          <w:rtl/>
          <w:lang w:bidi="ar-EG"/>
        </w:rPr>
        <w:t>خدمة الملاحة الراديوية للطيران</w:t>
      </w:r>
      <w:r w:rsidRPr="00AC0106">
        <w:rPr>
          <w:rFonts w:eastAsia="SimSun" w:hint="eastAsia"/>
          <w:spacing w:val="-4"/>
          <w:rtl/>
          <w:lang w:bidi="ar-SY"/>
        </w:rPr>
        <w:t> </w:t>
      </w:r>
      <w:r w:rsidRPr="00AC0106">
        <w:rPr>
          <w:rFonts w:eastAsia="SimSun"/>
          <w:spacing w:val="-4"/>
          <w:lang w:bidi="ar-EG"/>
        </w:rPr>
        <w:t>(ARNS)</w:t>
      </w:r>
      <w:r w:rsidRPr="00AC0106">
        <w:rPr>
          <w:rFonts w:eastAsia="SimSun" w:hint="cs"/>
          <w:spacing w:val="-4"/>
          <w:rtl/>
          <w:lang w:bidi="ar-EG"/>
        </w:rPr>
        <w:t xml:space="preserve"> </w:t>
      </w:r>
      <w:r w:rsidRPr="00AC0106">
        <w:rPr>
          <w:rFonts w:hint="cs"/>
          <w:spacing w:val="-4"/>
          <w:rtl/>
          <w:lang w:bidi="ar-EG"/>
        </w:rPr>
        <w:t xml:space="preserve">في البلدان المذكورة في الرقم </w:t>
      </w:r>
      <w:r w:rsidRPr="00AC0106">
        <w:rPr>
          <w:spacing w:val="-4"/>
        </w:rPr>
        <w:t>312.5</w:t>
      </w:r>
      <w:r w:rsidRPr="00AC0106">
        <w:rPr>
          <w:rFonts w:hint="cs"/>
          <w:spacing w:val="-4"/>
          <w:rtl/>
          <w:lang w:bidi="ar-EG"/>
        </w:rPr>
        <w:t xml:space="preserve"> (انظر الإضافة</w:t>
      </w:r>
      <w:r w:rsidRPr="00AC0106">
        <w:rPr>
          <w:rFonts w:eastAsia="SimSun" w:hint="eastAsia"/>
          <w:spacing w:val="-4"/>
          <w:rtl/>
          <w:lang w:bidi="ar-SY"/>
        </w:rPr>
        <w:t> </w:t>
      </w:r>
      <w:r w:rsidRPr="00AC0106">
        <w:rPr>
          <w:spacing w:val="-4"/>
          <w:lang w:bidi="ar-EG"/>
        </w:rPr>
        <w:t>3</w:t>
      </w:r>
      <w:r w:rsidRPr="00AC0106">
        <w:rPr>
          <w:rFonts w:hint="cs"/>
          <w:spacing w:val="-4"/>
          <w:rtl/>
          <w:lang w:bidi="ar-EG"/>
        </w:rPr>
        <w:t xml:space="preserve"> إلى الإضافة</w:t>
      </w:r>
      <w:r w:rsidRPr="00AC0106">
        <w:rPr>
          <w:rFonts w:eastAsia="SimSun" w:hint="eastAsia"/>
          <w:spacing w:val="-4"/>
          <w:rtl/>
          <w:lang w:bidi="ar-SY"/>
        </w:rPr>
        <w:t> </w:t>
      </w:r>
      <w:r w:rsidRPr="00AC0106">
        <w:rPr>
          <w:spacing w:val="-4"/>
          <w:lang w:bidi="ar-EG"/>
        </w:rPr>
        <w:t>2</w:t>
      </w:r>
      <w:r w:rsidRPr="00AC0106">
        <w:rPr>
          <w:rFonts w:hint="cs"/>
          <w:spacing w:val="-4"/>
          <w:rtl/>
          <w:lang w:bidi="ar-EG"/>
        </w:rPr>
        <w:t xml:space="preserve"> إلى الوثيقة</w:t>
      </w:r>
      <w:r w:rsidRPr="00AC0106">
        <w:rPr>
          <w:rFonts w:hint="eastAsia"/>
          <w:spacing w:val="-4"/>
          <w:rtl/>
          <w:lang w:bidi="ar-EG"/>
        </w:rPr>
        <w:t> </w:t>
      </w:r>
      <w:r w:rsidR="00C034CF">
        <w:rPr>
          <w:spacing w:val="-4"/>
          <w:lang w:bidi="ar-EG"/>
        </w:rPr>
        <w:t>00</w:t>
      </w:r>
      <w:r w:rsidRPr="00AC0106">
        <w:rPr>
          <w:spacing w:val="-4"/>
          <w:lang w:bidi="ar-EG"/>
        </w:rPr>
        <w:t>9</w:t>
      </w:r>
      <w:r w:rsidRPr="00AC0106">
        <w:rPr>
          <w:rFonts w:hint="cs"/>
          <w:spacing w:val="-4"/>
          <w:rtl/>
          <w:lang w:bidi="ar-EG"/>
        </w:rPr>
        <w:t>).</w:t>
      </w:r>
    </w:p>
    <w:p w:rsidR="00CE74AC" w:rsidRPr="00AC0106" w:rsidRDefault="00CE74AC" w:rsidP="00E3638E">
      <w:pPr>
        <w:pStyle w:val="enumlev1"/>
        <w:rPr>
          <w:spacing w:val="-4"/>
          <w:rtl/>
          <w:lang w:bidi="ar-EG"/>
        </w:rPr>
      </w:pPr>
      <w:r w:rsidRPr="00AC0106">
        <w:rPr>
          <w:spacing w:val="-4"/>
        </w:rPr>
        <w:sym w:font="Symbol" w:char="F0B7"/>
      </w:r>
      <w:r w:rsidRPr="00AC0106">
        <w:rPr>
          <w:spacing w:val="-4"/>
          <w:rtl/>
          <w:lang w:bidi="ar-EG"/>
        </w:rPr>
        <w:tab/>
      </w:r>
      <w:r w:rsidRPr="00AC0106">
        <w:rPr>
          <w:rFonts w:hint="cs"/>
          <w:spacing w:val="-4"/>
          <w:rtl/>
          <w:lang w:bidi="ar-EG"/>
        </w:rPr>
        <w:t xml:space="preserve">المسألة </w:t>
      </w:r>
      <w:r w:rsidRPr="00AC0106">
        <w:rPr>
          <w:spacing w:val="-4"/>
          <w:lang w:val="en-GB"/>
        </w:rPr>
        <w:t>D</w:t>
      </w:r>
      <w:r w:rsidRPr="00AC0106">
        <w:rPr>
          <w:rFonts w:hint="cs"/>
          <w:spacing w:val="-4"/>
          <w:rtl/>
          <w:lang w:bidi="ar-EG"/>
        </w:rPr>
        <w:t xml:space="preserve">: </w:t>
      </w:r>
      <w:r w:rsidRPr="00AC0106">
        <w:rPr>
          <w:spacing w:val="-4"/>
          <w:rtl/>
          <w:lang w:bidi="ar-EG"/>
        </w:rPr>
        <w:t xml:space="preserve">حلول لتلبية احتياجات التطبيقات المساعدة </w:t>
      </w:r>
      <w:r w:rsidR="00E05F9B">
        <w:rPr>
          <w:rFonts w:hint="cs"/>
          <w:spacing w:val="-4"/>
          <w:rtl/>
          <w:lang w:bidi="ar-EG"/>
        </w:rPr>
        <w:t xml:space="preserve">للإذاعة </w:t>
      </w:r>
      <w:r w:rsidRPr="00AC0106">
        <w:rPr>
          <w:rFonts w:hint="cs"/>
          <w:spacing w:val="-4"/>
          <w:rtl/>
          <w:lang w:bidi="ar-EG"/>
        </w:rPr>
        <w:t>(انظر الإضافة</w:t>
      </w:r>
      <w:r w:rsidRPr="00AC0106">
        <w:rPr>
          <w:rFonts w:hint="eastAsia"/>
          <w:spacing w:val="-4"/>
          <w:rtl/>
          <w:lang w:bidi="ar-EG"/>
        </w:rPr>
        <w:t> </w:t>
      </w:r>
      <w:r w:rsidRPr="00AC0106">
        <w:rPr>
          <w:spacing w:val="-4"/>
          <w:lang w:bidi="ar-EG"/>
        </w:rPr>
        <w:t>1</w:t>
      </w:r>
      <w:r w:rsidRPr="00AC0106">
        <w:rPr>
          <w:rFonts w:hint="cs"/>
          <w:spacing w:val="-4"/>
          <w:rtl/>
          <w:lang w:bidi="ar-EG"/>
        </w:rPr>
        <w:t xml:space="preserve"> إلى الإضافة</w:t>
      </w:r>
      <w:r w:rsidRPr="00AC0106">
        <w:rPr>
          <w:rFonts w:hint="eastAsia"/>
          <w:spacing w:val="-4"/>
          <w:rtl/>
          <w:lang w:bidi="ar-EG"/>
        </w:rPr>
        <w:t> </w:t>
      </w:r>
      <w:r w:rsidRPr="00AC0106">
        <w:rPr>
          <w:spacing w:val="-4"/>
          <w:lang w:bidi="ar-EG"/>
        </w:rPr>
        <w:t>2</w:t>
      </w:r>
      <w:r w:rsidRPr="00AC0106">
        <w:rPr>
          <w:rFonts w:hint="cs"/>
          <w:spacing w:val="-4"/>
          <w:rtl/>
          <w:lang w:bidi="ar-EG"/>
        </w:rPr>
        <w:t xml:space="preserve"> إلى الوثيقة</w:t>
      </w:r>
      <w:r w:rsidRPr="00AC0106">
        <w:rPr>
          <w:rFonts w:hint="eastAsia"/>
          <w:spacing w:val="-4"/>
          <w:rtl/>
          <w:lang w:bidi="ar-EG"/>
        </w:rPr>
        <w:t> </w:t>
      </w:r>
      <w:r w:rsidR="00C034CF">
        <w:rPr>
          <w:spacing w:val="-4"/>
          <w:lang w:bidi="ar-EG"/>
        </w:rPr>
        <w:t>00</w:t>
      </w:r>
      <w:r w:rsidRPr="00AC0106">
        <w:rPr>
          <w:spacing w:val="-4"/>
          <w:lang w:bidi="ar-EG"/>
        </w:rPr>
        <w:t>9</w:t>
      </w:r>
      <w:r w:rsidRPr="00AC0106">
        <w:rPr>
          <w:rFonts w:hint="cs"/>
          <w:spacing w:val="-4"/>
          <w:rtl/>
          <w:lang w:bidi="ar-EG"/>
        </w:rPr>
        <w:t>)</w:t>
      </w:r>
      <w:r w:rsidRPr="00AC0106">
        <w:rPr>
          <w:rFonts w:hint="cs"/>
          <w:spacing w:val="-4"/>
          <w:rtl/>
          <w:lang w:bidi="ar-SY"/>
        </w:rPr>
        <w:t>.</w:t>
      </w:r>
    </w:p>
    <w:p w:rsidR="00CE74AC" w:rsidRDefault="00CE74AC" w:rsidP="00CE74AC">
      <w:pPr>
        <w:rPr>
          <w:rtl/>
          <w:lang w:bidi="ar-EG"/>
        </w:rPr>
      </w:pPr>
      <w:r>
        <w:rPr>
          <w:rFonts w:hint="cs"/>
          <w:rtl/>
          <w:lang w:bidi="ar-EG"/>
        </w:rPr>
        <w:t>وتدرك أوروبا أن 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قرر أن يخضع التوزيع للخدمة المتنقلة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>
        <w:rPr>
          <w:rFonts w:eastAsia="SimSun" w:hint="cs"/>
          <w:rtl/>
        </w:rPr>
        <w:t xml:space="preserve"> للحصول على الموافقة بموجب الرقم</w:t>
      </w:r>
      <w:r>
        <w:rPr>
          <w:rFonts w:hint="eastAsia"/>
          <w:rtl/>
          <w:lang w:bidi="ar-EG"/>
        </w:rPr>
        <w:t> </w:t>
      </w:r>
      <w:r>
        <w:rPr>
          <w:rFonts w:eastAsia="SimSun"/>
        </w:rPr>
        <w:t>21.9</w:t>
      </w:r>
      <w:r>
        <w:rPr>
          <w:rFonts w:eastAsia="SimSun" w:hint="cs"/>
          <w:rtl/>
          <w:lang w:bidi="ar-EG"/>
        </w:rPr>
        <w:t xml:space="preserve"> فيما يتعلق بخدمة الملاحة الراديوية للطيران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(ARNS)</w:t>
      </w:r>
      <w:r>
        <w:rPr>
          <w:rFonts w:eastAsia="SimSun"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البلدان المذكورة في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الرقم</w:t>
      </w:r>
      <w:r>
        <w:rPr>
          <w:rFonts w:hint="eastAsia"/>
          <w:rtl/>
          <w:lang w:bidi="ar-EG"/>
        </w:rPr>
        <w:t> </w:t>
      </w:r>
      <w:r w:rsidRPr="00492D96">
        <w:t>312.5</w:t>
      </w:r>
      <w:r>
        <w:rPr>
          <w:rFonts w:hint="cs"/>
          <w:rtl/>
        </w:rPr>
        <w:t>.</w:t>
      </w:r>
    </w:p>
    <w:p w:rsidR="001D265C" w:rsidRPr="00297742" w:rsidRDefault="00297742" w:rsidP="00285890">
      <w:pPr>
        <w:pStyle w:val="Heading1"/>
        <w:rPr>
          <w:rtl/>
        </w:rPr>
      </w:pPr>
      <w:r w:rsidRPr="00297742">
        <w:lastRenderedPageBreak/>
        <w:t>1</w:t>
      </w:r>
      <w:r w:rsidRPr="00297742">
        <w:rPr>
          <w:rtl/>
        </w:rPr>
        <w:tab/>
        <w:t>الأساليب التي تؤيدها أوروبا</w:t>
      </w:r>
    </w:p>
    <w:p w:rsidR="001D265C" w:rsidRPr="00EC55B9" w:rsidRDefault="001D265C" w:rsidP="00D46FB4">
      <w:pPr>
        <w:pStyle w:val="Headingi0"/>
        <w:rPr>
          <w:b/>
          <w:bCs w:val="0"/>
          <w:i w:val="0"/>
          <w:iCs/>
          <w:rtl/>
        </w:rPr>
      </w:pPr>
      <w:r w:rsidRPr="00EC55B9">
        <w:rPr>
          <w:b/>
          <w:bCs w:val="0"/>
          <w:i w:val="0"/>
          <w:iCs/>
          <w:rtl/>
        </w:rPr>
        <w:t>المسألة</w:t>
      </w:r>
      <w:r w:rsidRPr="00EC55B9">
        <w:rPr>
          <w:b/>
          <w:bCs w:val="0"/>
          <w:i w:val="0"/>
          <w:iCs/>
        </w:rPr>
        <w:t>:</w:t>
      </w:r>
      <w:r w:rsidR="00EC55B9" w:rsidRPr="00EC55B9">
        <w:rPr>
          <w:b/>
          <w:bCs w:val="0"/>
          <w:i w:val="0"/>
          <w:iCs/>
        </w:rPr>
        <w:t>C</w:t>
      </w:r>
      <w:r w:rsidRPr="00EC55B9">
        <w:rPr>
          <w:b/>
          <w:bCs w:val="0"/>
          <w:i w:val="0"/>
          <w:iCs/>
        </w:rPr>
        <w:t xml:space="preserve"> </w:t>
      </w:r>
      <w:r w:rsidR="00EC55B9">
        <w:rPr>
          <w:b/>
          <w:bCs w:val="0"/>
          <w:i w:val="0"/>
          <w:iCs/>
        </w:rPr>
        <w:tab/>
      </w:r>
      <w:r w:rsidRPr="00EC55B9">
        <w:rPr>
          <w:b/>
          <w:bCs w:val="0"/>
          <w:i w:val="0"/>
          <w:iCs/>
          <w:rtl/>
        </w:rPr>
        <w:t xml:space="preserve">الشروط التقنية والتنظيمية المنطبقة على الخدمة المتنقلة فيما يتعلق بالتوافق بين الخدمة المتنقلة وخدمة الملاحة الراديوية للطيران في البلدان المدرجة في الرقم </w:t>
      </w:r>
      <w:r w:rsidRPr="00EC55B9">
        <w:rPr>
          <w:b/>
          <w:bCs w:val="0"/>
          <w:i w:val="0"/>
          <w:iCs/>
        </w:rPr>
        <w:t>312.5</w:t>
      </w:r>
      <w:r w:rsidRPr="00EC55B9">
        <w:rPr>
          <w:b/>
          <w:bCs w:val="0"/>
          <w:i w:val="0"/>
          <w:iCs/>
          <w:rtl/>
        </w:rPr>
        <w:t xml:space="preserve"> من لوائح الراديو</w:t>
      </w:r>
      <w:r w:rsidRPr="00EC55B9">
        <w:rPr>
          <w:rFonts w:hint="cs"/>
          <w:b/>
          <w:bCs w:val="0"/>
          <w:i w:val="0"/>
          <w:iCs/>
          <w:rtl/>
        </w:rPr>
        <w:t>.</w:t>
      </w:r>
    </w:p>
    <w:p w:rsidR="001B193F" w:rsidRPr="00BE5E5F" w:rsidRDefault="00BE5E5F" w:rsidP="00E3638E">
      <w:pPr>
        <w:rPr>
          <w:lang w:bidi="ar-EG"/>
        </w:rPr>
      </w:pPr>
      <w:r w:rsidRPr="00BE5E5F">
        <w:rPr>
          <w:rFonts w:hint="cs"/>
          <w:rtl/>
        </w:rPr>
        <w:t xml:space="preserve">ينطبق الرقم </w:t>
      </w:r>
      <w:r w:rsidRPr="00E3638E">
        <w:rPr>
          <w:b/>
          <w:bCs/>
        </w:rPr>
        <w:t>21.9</w:t>
      </w:r>
      <w:r w:rsidRPr="00BE5E5F">
        <w:rPr>
          <w:rFonts w:hint="cs"/>
          <w:rtl/>
          <w:lang w:bidi="ar-EG"/>
        </w:rPr>
        <w:t xml:space="preserve"> على الخدمة المتنقلة فيما يتعلق بخدمة الملاحة الراديوية للطيران في نطاق التردد </w:t>
      </w:r>
      <w:r w:rsidRPr="00BE5E5F">
        <w:rPr>
          <w:lang w:bidi="ar-EG"/>
        </w:rPr>
        <w:t>MHz</w:t>
      </w:r>
      <w:r w:rsidR="00E3638E">
        <w:rPr>
          <w:lang w:bidi="ar-EG"/>
        </w:rPr>
        <w:t> </w:t>
      </w:r>
      <w:r w:rsidRPr="00BE5E5F">
        <w:rPr>
          <w:lang w:bidi="ar-EG"/>
        </w:rPr>
        <w:t>790-694</w:t>
      </w:r>
    </w:p>
    <w:p w:rsidR="001B193F" w:rsidRPr="00BE5E5F" w:rsidRDefault="00BE5E5F" w:rsidP="00E3638E">
      <w:pPr>
        <w:rPr>
          <w:lang w:bidi="ar-EG"/>
        </w:rPr>
      </w:pPr>
      <w:r>
        <w:rPr>
          <w:rFonts w:hint="cs"/>
          <w:rtl/>
          <w:lang w:bidi="ar-EG"/>
        </w:rPr>
        <w:t>وتقترح أور</w:t>
      </w:r>
      <w:r w:rsidR="00431B9B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با أن يضاف في قرار للمؤتمر العالمي للاتصالات الراديوية معايير تحديد الإدارات التي يح</w:t>
      </w:r>
      <w:r w:rsidR="00E3638E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مل تأثرها والتي تستعمل خدمة الملاحة الراديوية للطيران في البلدان المدرجة في الرقم </w:t>
      </w:r>
      <w:r w:rsidR="00854560" w:rsidRPr="00E3638E">
        <w:rPr>
          <w:b/>
          <w:bCs/>
          <w:lang w:bidi="ar-EG"/>
        </w:rPr>
        <w:t>312.5</w:t>
      </w:r>
      <w:r w:rsidR="00E45BAD">
        <w:rPr>
          <w:rFonts w:hint="cs"/>
          <w:rtl/>
          <w:lang w:bidi="ar-EG"/>
        </w:rPr>
        <w:t>.</w:t>
      </w:r>
    </w:p>
    <w:p w:rsidR="001B193F" w:rsidRDefault="001B193F" w:rsidP="00EC55B9">
      <w:pPr>
        <w:pStyle w:val="Heading1"/>
        <w:rPr>
          <w:rtl/>
          <w:lang w:bidi="ar-SA"/>
        </w:rPr>
      </w:pPr>
      <w:r>
        <w:t>2</w:t>
      </w:r>
      <w:r w:rsidRPr="00297742">
        <w:rPr>
          <w:rtl/>
        </w:rPr>
        <w:tab/>
      </w:r>
      <w:r w:rsidR="00E45BAD">
        <w:rPr>
          <w:rFonts w:hint="cs"/>
          <w:rtl/>
        </w:rPr>
        <w:t>الأحكام التنظيمية التي تؤيدها أوروبا</w:t>
      </w:r>
    </w:p>
    <w:p w:rsidR="00887017" w:rsidRDefault="0044333A">
      <w:pPr>
        <w:pStyle w:val="Proposal"/>
      </w:pPr>
      <w:r>
        <w:t>ADD</w:t>
      </w:r>
      <w:r>
        <w:tab/>
        <w:t>EUR/9A2A3/1</w:t>
      </w:r>
    </w:p>
    <w:p w:rsidR="0060668B" w:rsidRPr="001679EB" w:rsidRDefault="0060668B" w:rsidP="00E3638E">
      <w:pPr>
        <w:pStyle w:val="ResNo"/>
        <w:rPr>
          <w:rtl/>
        </w:rPr>
      </w:pPr>
      <w:r w:rsidRPr="005A0417">
        <w:rPr>
          <w:rFonts w:hint="eastAsia"/>
          <w:rtl/>
        </w:rPr>
        <w:t>مشـروع</w:t>
      </w:r>
      <w:r>
        <w:rPr>
          <w:rFonts w:hint="cs"/>
          <w:rtl/>
        </w:rPr>
        <w:t xml:space="preserve"> </w:t>
      </w:r>
      <w:r w:rsidR="00E3638E">
        <w:rPr>
          <w:rFonts w:hint="cs"/>
          <w:rtl/>
          <w:lang w:bidi="ar-SA"/>
        </w:rPr>
        <w:t>ال</w:t>
      </w:r>
      <w:r w:rsidRPr="005A0417">
        <w:rPr>
          <w:rFonts w:hint="eastAsia"/>
          <w:rtl/>
        </w:rPr>
        <w:t>قـرار</w:t>
      </w:r>
      <w:r>
        <w:rPr>
          <w:rFonts w:hint="cs"/>
          <w:rtl/>
        </w:rPr>
        <w:t xml:space="preserve"> </w:t>
      </w:r>
      <w:r w:rsidR="00E3638E">
        <w:rPr>
          <w:rFonts w:hint="cs"/>
          <w:rtl/>
        </w:rPr>
        <w:t>ال</w:t>
      </w:r>
      <w:r w:rsidRPr="001679EB">
        <w:rPr>
          <w:rFonts w:hint="eastAsia"/>
          <w:rtl/>
        </w:rPr>
        <w:t>جديـد</w:t>
      </w:r>
      <w:r w:rsidRPr="001679EB">
        <w:rPr>
          <w:rFonts w:hint="cs"/>
          <w:rtl/>
        </w:rPr>
        <w:t xml:space="preserve"> </w:t>
      </w:r>
      <w:r w:rsidR="00E3638E" w:rsidRPr="001679EB">
        <w:t>[EUR</w:t>
      </w:r>
      <w:r w:rsidR="00E3638E" w:rsidRPr="001679EB">
        <w:noBreakHyphen/>
        <w:t xml:space="preserve">A12] </w:t>
      </w:r>
      <w:r w:rsidRPr="001679EB">
        <w:t>(WRC</w:t>
      </w:r>
      <w:r w:rsidRPr="001679EB">
        <w:noBreakHyphen/>
        <w:t>15)</w:t>
      </w:r>
    </w:p>
    <w:p w:rsidR="0060668B" w:rsidRDefault="0060668B" w:rsidP="0060668B">
      <w:pPr>
        <w:pStyle w:val="Restitle"/>
        <w:rPr>
          <w:rtl/>
        </w:rPr>
      </w:pPr>
      <w:r>
        <w:rPr>
          <w:rtl/>
        </w:rPr>
        <w:t>أحكام</w:t>
      </w:r>
      <w:r>
        <w:rPr>
          <w:rFonts w:hint="cs"/>
          <w:rtl/>
        </w:rPr>
        <w:t xml:space="preserve"> تتعلق</w:t>
      </w:r>
      <w:r w:rsidRPr="00BE11FC">
        <w:rPr>
          <w:rtl/>
        </w:rPr>
        <w:t xml:space="preserve"> </w:t>
      </w:r>
      <w:r>
        <w:rPr>
          <w:rFonts w:hint="cs"/>
          <w:rtl/>
        </w:rPr>
        <w:t>ب</w:t>
      </w:r>
      <w:r w:rsidRPr="00BE11FC">
        <w:rPr>
          <w:rtl/>
        </w:rPr>
        <w:t>استعمال الخدمة المتنقلة، باستثناء المتنقلة للطيران،</w:t>
      </w:r>
      <w:r w:rsidRPr="00BE11FC">
        <w:rPr>
          <w:rtl/>
        </w:rPr>
        <w:br/>
        <w:t xml:space="preserve">والخدمات الأخرى للنطاق </w:t>
      </w:r>
      <w:r w:rsidRPr="00BE11FC">
        <w:t>MHz 790-694</w:t>
      </w:r>
      <w:r w:rsidRPr="00BE11FC">
        <w:rPr>
          <w:rtl/>
        </w:rPr>
        <w:t xml:space="preserve"> في الإقليم </w:t>
      </w:r>
      <w:r w:rsidRPr="00BE11FC">
        <w:t>1</w:t>
      </w:r>
    </w:p>
    <w:p w:rsidR="0060668B" w:rsidRDefault="0060668B" w:rsidP="0060668B">
      <w:pPr>
        <w:pStyle w:val="Normalaftertitle"/>
        <w:rPr>
          <w:rtl/>
        </w:rPr>
      </w:pPr>
      <w:r w:rsidRPr="000A044C">
        <w:rPr>
          <w:rtl/>
        </w:rPr>
        <w:t xml:space="preserve">إن المؤتمر العالمي للاتصالات الراديوية (جنيف، </w:t>
      </w:r>
      <w:r>
        <w:t>2015</w:t>
      </w:r>
      <w:r w:rsidRPr="000A044C">
        <w:rPr>
          <w:rtl/>
        </w:rPr>
        <w:t>)،</w:t>
      </w:r>
    </w:p>
    <w:p w:rsidR="007400EE" w:rsidRPr="007400EE" w:rsidRDefault="007400EE" w:rsidP="007400EE">
      <w:pPr>
        <w:rPr>
          <w:rtl/>
        </w:rPr>
      </w:pPr>
      <w:r>
        <w:rPr>
          <w:rFonts w:hint="cs"/>
          <w:rtl/>
        </w:rPr>
        <w:t>...</w:t>
      </w:r>
    </w:p>
    <w:p w:rsidR="0060668B" w:rsidRDefault="0060668B" w:rsidP="0060668B">
      <w:pPr>
        <w:pStyle w:val="Call"/>
        <w:rPr>
          <w:rtl/>
        </w:rPr>
      </w:pPr>
      <w:r w:rsidRPr="000A044C">
        <w:rPr>
          <w:rFonts w:hint="cs"/>
          <w:rtl/>
        </w:rPr>
        <w:t>وإذ</w:t>
      </w:r>
      <w:r w:rsidRPr="000A044C">
        <w:rPr>
          <w:rFonts w:hint="eastAsia"/>
          <w:rtl/>
        </w:rPr>
        <w:t xml:space="preserve"> </w:t>
      </w:r>
      <w:r w:rsidRPr="000A044C">
        <w:rPr>
          <w:rFonts w:hint="cs"/>
          <w:rtl/>
        </w:rPr>
        <w:t>يلاحظ</w:t>
      </w:r>
    </w:p>
    <w:p w:rsidR="007400EE" w:rsidRPr="007400EE" w:rsidRDefault="007400EE" w:rsidP="007400EE">
      <w:pPr>
        <w:rPr>
          <w:rtl/>
        </w:rPr>
      </w:pPr>
      <w:r>
        <w:rPr>
          <w:rFonts w:hint="cs"/>
          <w:rtl/>
        </w:rPr>
        <w:t>...</w:t>
      </w:r>
    </w:p>
    <w:p w:rsidR="0060668B" w:rsidRDefault="007400EE" w:rsidP="00681F9E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و</w:t>
      </w:r>
      <w:r w:rsidR="0060668B" w:rsidRPr="000A044C">
        <w:rPr>
          <w:i/>
          <w:iCs/>
          <w:rtl/>
          <w:lang w:bidi="ar-EG"/>
        </w:rPr>
        <w:t xml:space="preserve"> )</w:t>
      </w:r>
      <w:r w:rsidR="0060668B" w:rsidRPr="000A044C">
        <w:rPr>
          <w:rtl/>
          <w:lang w:bidi="ar-EG"/>
        </w:rPr>
        <w:tab/>
      </w:r>
      <w:r w:rsidR="00B47DD6">
        <w:rPr>
          <w:rFonts w:hint="cs"/>
          <w:rtl/>
          <w:lang w:bidi="ar-EG"/>
        </w:rPr>
        <w:t xml:space="preserve">أنه قد أُبرمت بالفعل </w:t>
      </w:r>
      <w:r w:rsidR="00E3638E">
        <w:rPr>
          <w:rFonts w:hint="cs"/>
          <w:rtl/>
          <w:lang w:bidi="ar-EG"/>
        </w:rPr>
        <w:t>اتفاقات</w:t>
      </w:r>
      <w:r w:rsidR="00B47DD6">
        <w:rPr>
          <w:rFonts w:hint="cs"/>
          <w:rtl/>
          <w:lang w:bidi="ar-EG"/>
        </w:rPr>
        <w:t xml:space="preserve"> تنسيق ثنائية وستستخدمها الإدارات بوصفها موافقة متحصل عليها بموجب الرقم</w:t>
      </w:r>
      <w:r w:rsidR="00681F9E">
        <w:rPr>
          <w:rFonts w:hint="eastAsia"/>
          <w:rtl/>
          <w:lang w:bidi="ar-EG"/>
        </w:rPr>
        <w:t> </w:t>
      </w:r>
      <w:r w:rsidR="00B47DD6" w:rsidRPr="00F37925">
        <w:rPr>
          <w:b/>
          <w:bCs/>
          <w:lang w:bidi="ar-EG"/>
        </w:rPr>
        <w:t>21.9</w:t>
      </w:r>
      <w:r w:rsidR="00B47DD6">
        <w:rPr>
          <w:rFonts w:hint="cs"/>
          <w:rtl/>
          <w:lang w:bidi="ar-EG"/>
        </w:rPr>
        <w:t xml:space="preserve"> فيما</w:t>
      </w:r>
      <w:r w:rsidR="00681F9E">
        <w:rPr>
          <w:rFonts w:hint="eastAsia"/>
          <w:rtl/>
          <w:lang w:bidi="ar-EG"/>
        </w:rPr>
        <w:t> </w:t>
      </w:r>
      <w:r w:rsidR="00B47DD6">
        <w:rPr>
          <w:rFonts w:hint="cs"/>
          <w:rtl/>
          <w:lang w:bidi="ar-EG"/>
        </w:rPr>
        <w:t>يتعلق بخدمة الملاحة الراديوية للطيران.</w:t>
      </w:r>
    </w:p>
    <w:p w:rsidR="00E3638E" w:rsidRDefault="00E3638E" w:rsidP="00B47DD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60668B" w:rsidRDefault="0060668B" w:rsidP="0060668B">
      <w:pPr>
        <w:pStyle w:val="Call"/>
        <w:rPr>
          <w:rtl/>
        </w:rPr>
      </w:pPr>
      <w:r>
        <w:rPr>
          <w:rFonts w:hint="cs"/>
          <w:rtl/>
        </w:rPr>
        <w:t>يقرر</w:t>
      </w:r>
    </w:p>
    <w:p w:rsidR="007400EE" w:rsidRDefault="007400EE" w:rsidP="007400EE">
      <w:pPr>
        <w:rPr>
          <w:rtl/>
        </w:rPr>
      </w:pPr>
      <w:r>
        <w:rPr>
          <w:rFonts w:hint="cs"/>
          <w:rtl/>
        </w:rPr>
        <w:t>...</w:t>
      </w:r>
    </w:p>
    <w:p w:rsidR="007400EE" w:rsidRPr="007400EE" w:rsidRDefault="007400EE" w:rsidP="00414CB9">
      <w:pPr>
        <w:rPr>
          <w:rtl/>
        </w:rPr>
      </w:pPr>
      <w:r>
        <w:rPr>
          <w:color w:val="000000"/>
        </w:rPr>
        <w:t>2</w:t>
      </w:r>
      <w:r>
        <w:rPr>
          <w:color w:val="000000"/>
          <w:rtl/>
        </w:rPr>
        <w:tab/>
        <w:t xml:space="preserve">أن يخضع استعمال </w:t>
      </w:r>
      <w:r w:rsidR="004D60A5">
        <w:rPr>
          <w:rFonts w:hint="cs"/>
          <w:color w:val="000000"/>
          <w:rtl/>
        </w:rPr>
        <w:t xml:space="preserve">الخدمة المتنقلة للنطاق </w:t>
      </w:r>
      <w:r w:rsidR="004D60A5">
        <w:rPr>
          <w:color w:val="000000"/>
        </w:rPr>
        <w:t>MHz 790-694</w:t>
      </w:r>
      <w:r w:rsidR="004D60A5">
        <w:rPr>
          <w:rFonts w:hint="cs"/>
          <w:color w:val="000000"/>
          <w:rtl/>
          <w:lang w:bidi="ar-EG"/>
        </w:rPr>
        <w:t xml:space="preserve"> </w:t>
      </w:r>
      <w:r w:rsidR="0075470E">
        <w:rPr>
          <w:rFonts w:hint="cs"/>
          <w:color w:val="000000"/>
          <w:rtl/>
          <w:lang w:bidi="ar-EG"/>
        </w:rPr>
        <w:t xml:space="preserve">لموافقة يتم الحصول عليها </w:t>
      </w:r>
      <w:r>
        <w:rPr>
          <w:color w:val="000000"/>
          <w:rtl/>
        </w:rPr>
        <w:t xml:space="preserve">بموجب الرقم </w:t>
      </w:r>
      <w:r w:rsidR="00365E92" w:rsidRPr="00365E92">
        <w:rPr>
          <w:b/>
          <w:bCs/>
          <w:color w:val="000000"/>
        </w:rPr>
        <w:t>21.9</w:t>
      </w:r>
      <w:r>
        <w:rPr>
          <w:color w:val="000000"/>
          <w:rtl/>
        </w:rPr>
        <w:t xml:space="preserve"> فيما</w:t>
      </w:r>
      <w:r w:rsidR="00414CB9">
        <w:rPr>
          <w:rFonts w:hint="cs"/>
          <w:color w:val="000000"/>
          <w:rtl/>
        </w:rPr>
        <w:t> </w:t>
      </w:r>
      <w:bookmarkStart w:id="1" w:name="_GoBack"/>
      <w:bookmarkEnd w:id="1"/>
      <w:r>
        <w:rPr>
          <w:color w:val="000000"/>
          <w:rtl/>
        </w:rPr>
        <w:t xml:space="preserve">يتعلق بخدمة الملاحة الراديوية للطيران </w:t>
      </w:r>
      <w:r w:rsidR="00F030EC">
        <w:rPr>
          <w:rFonts w:hint="cs"/>
          <w:color w:val="000000"/>
          <w:rtl/>
        </w:rPr>
        <w:t xml:space="preserve">العاملة في النطاق </w:t>
      </w:r>
      <w:r w:rsidR="00F030EC">
        <w:rPr>
          <w:color w:val="000000"/>
        </w:rPr>
        <w:t>MHz 790-694</w:t>
      </w:r>
      <w:r w:rsidR="00F030EC"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 xml:space="preserve">في البلدان المدرجة في الرقم </w:t>
      </w:r>
      <w:r w:rsidR="007457F4" w:rsidRPr="007457F4">
        <w:rPr>
          <w:b/>
          <w:bCs/>
          <w:color w:val="000000"/>
        </w:rPr>
        <w:t>312.5</w:t>
      </w:r>
      <w:r w:rsidR="0075470E"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وترد معايير تحديد الإدارات المتأثرة </w:t>
      </w:r>
      <w:r w:rsidR="00A5472A">
        <w:rPr>
          <w:rFonts w:hint="cs"/>
          <w:color w:val="000000"/>
          <w:rtl/>
        </w:rPr>
        <w:t xml:space="preserve">في </w:t>
      </w:r>
      <w:r>
        <w:rPr>
          <w:color w:val="000000"/>
          <w:rtl/>
        </w:rPr>
        <w:t xml:space="preserve">الملحق </w:t>
      </w:r>
      <w:r w:rsidR="000375C5">
        <w:rPr>
          <w:color w:val="000000"/>
        </w:rPr>
        <w:t>1</w:t>
      </w:r>
      <w:r>
        <w:rPr>
          <w:color w:val="000000"/>
          <w:rtl/>
        </w:rPr>
        <w:t xml:space="preserve"> بهذا القرار؛</w:t>
      </w:r>
    </w:p>
    <w:p w:rsidR="0060668B" w:rsidRPr="005E79DF" w:rsidRDefault="0060668B" w:rsidP="00F93968">
      <w:pPr>
        <w:pStyle w:val="Note"/>
        <w:rPr>
          <w:b w:val="0"/>
          <w:bCs w:val="0"/>
          <w:rtl/>
        </w:rPr>
      </w:pPr>
      <w:r w:rsidRPr="005E79DF">
        <w:rPr>
          <w:rFonts w:hint="cs"/>
          <w:b w:val="0"/>
          <w:bCs w:val="0"/>
          <w:highlight w:val="yellow"/>
          <w:rtl/>
        </w:rPr>
        <w:t xml:space="preserve">الملاحظة </w:t>
      </w:r>
      <w:r w:rsidRPr="005E79DF">
        <w:rPr>
          <w:b w:val="0"/>
          <w:bCs w:val="0"/>
          <w:highlight w:val="yellow"/>
        </w:rPr>
        <w:t>1</w:t>
      </w:r>
      <w:r w:rsidRPr="005E79DF">
        <w:rPr>
          <w:rFonts w:hint="cs"/>
          <w:b w:val="0"/>
          <w:bCs w:val="0"/>
          <w:highlight w:val="yellow"/>
          <w:rtl/>
        </w:rPr>
        <w:t xml:space="preserve"> من المحرر: تخضع إضافة أجزاء أخرى بشأن </w:t>
      </w:r>
      <w:r w:rsidR="001474D4" w:rsidRPr="005E79DF">
        <w:rPr>
          <w:rFonts w:hint="cs"/>
          <w:b w:val="0"/>
          <w:bCs w:val="0"/>
          <w:highlight w:val="yellow"/>
          <w:rtl/>
        </w:rPr>
        <w:t xml:space="preserve">المسألتين </w:t>
      </w:r>
      <w:r w:rsidR="001474D4" w:rsidRPr="005E79DF">
        <w:rPr>
          <w:b w:val="0"/>
          <w:bCs w:val="0"/>
          <w:highlight w:val="yellow"/>
        </w:rPr>
        <w:t>A</w:t>
      </w:r>
      <w:r w:rsidR="001474D4" w:rsidRPr="005E79DF">
        <w:rPr>
          <w:rFonts w:hint="cs"/>
          <w:b w:val="0"/>
          <w:bCs w:val="0"/>
          <w:highlight w:val="yellow"/>
          <w:rtl/>
        </w:rPr>
        <w:t xml:space="preserve"> </w:t>
      </w:r>
      <w:r w:rsidR="00F93968">
        <w:rPr>
          <w:rFonts w:hint="cs"/>
          <w:b w:val="0"/>
          <w:bCs w:val="0"/>
          <w:highlight w:val="yellow"/>
          <w:rtl/>
        </w:rPr>
        <w:t>و</w:t>
      </w:r>
      <w:r w:rsidR="00F93968">
        <w:rPr>
          <w:b w:val="0"/>
          <w:bCs w:val="0"/>
          <w:highlight w:val="yellow"/>
        </w:rPr>
        <w:t>D</w:t>
      </w:r>
      <w:r w:rsidR="00F93968">
        <w:rPr>
          <w:rFonts w:hint="cs"/>
          <w:b w:val="0"/>
          <w:bCs w:val="0"/>
          <w:highlight w:val="yellow"/>
          <w:rtl/>
          <w:lang w:bidi="ar-SA"/>
        </w:rPr>
        <w:t xml:space="preserve"> </w:t>
      </w:r>
      <w:r w:rsidR="001474D4" w:rsidRPr="005E79DF">
        <w:rPr>
          <w:rFonts w:hint="cs"/>
          <w:b w:val="0"/>
          <w:bCs w:val="0"/>
          <w:highlight w:val="yellow"/>
          <w:rtl/>
        </w:rPr>
        <w:t xml:space="preserve">إلى فقرات وإذ يلاحظ ويقرر للإضافة </w:t>
      </w:r>
      <w:r w:rsidR="007869A5" w:rsidRPr="005E79DF">
        <w:rPr>
          <w:b w:val="0"/>
          <w:bCs w:val="0"/>
          <w:highlight w:val="yellow"/>
        </w:rPr>
        <w:t>1</w:t>
      </w:r>
      <w:r w:rsidRPr="005E79DF">
        <w:rPr>
          <w:rFonts w:hint="cs"/>
          <w:b w:val="0"/>
          <w:bCs w:val="0"/>
          <w:highlight w:val="yellow"/>
          <w:rtl/>
        </w:rPr>
        <w:t xml:space="preserve"> إلى الإضافة</w:t>
      </w:r>
      <w:r w:rsidR="00F93968">
        <w:rPr>
          <w:rFonts w:hint="eastAsia"/>
          <w:b w:val="0"/>
          <w:bCs w:val="0"/>
          <w:highlight w:val="yellow"/>
          <w:rtl/>
        </w:rPr>
        <w:t> </w:t>
      </w:r>
      <w:r w:rsidRPr="005E79DF">
        <w:rPr>
          <w:b w:val="0"/>
          <w:bCs w:val="0"/>
          <w:highlight w:val="yellow"/>
        </w:rPr>
        <w:t>2</w:t>
      </w:r>
      <w:r w:rsidRPr="005E79DF">
        <w:rPr>
          <w:rFonts w:hint="cs"/>
          <w:b w:val="0"/>
          <w:bCs w:val="0"/>
          <w:highlight w:val="yellow"/>
          <w:rtl/>
        </w:rPr>
        <w:t xml:space="preserve"> إلى الوثيقة </w:t>
      </w:r>
      <w:r w:rsidRPr="005E79DF">
        <w:rPr>
          <w:b w:val="0"/>
          <w:bCs w:val="0"/>
          <w:highlight w:val="yellow"/>
        </w:rPr>
        <w:t>9</w:t>
      </w:r>
      <w:r w:rsidRPr="005E79DF">
        <w:rPr>
          <w:rFonts w:hint="cs"/>
          <w:b w:val="0"/>
          <w:bCs w:val="0"/>
          <w:highlight w:val="yellow"/>
          <w:rtl/>
        </w:rPr>
        <w:t>.</w:t>
      </w:r>
    </w:p>
    <w:p w:rsidR="00BA5CE6" w:rsidRDefault="00BA5CE6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</w:rPr>
      </w:pPr>
      <w:r>
        <w:rPr>
          <w:rtl/>
        </w:rPr>
        <w:br w:type="page"/>
      </w:r>
    </w:p>
    <w:p w:rsidR="007E268B" w:rsidRPr="001679EB" w:rsidRDefault="007E268B" w:rsidP="00F93968">
      <w:pPr>
        <w:pStyle w:val="AnnexNo"/>
        <w:rPr>
          <w:rtl/>
        </w:rPr>
      </w:pPr>
      <w:r w:rsidRPr="000A044C">
        <w:rPr>
          <w:rtl/>
        </w:rPr>
        <w:lastRenderedPageBreak/>
        <w:t xml:space="preserve">الملحـق </w:t>
      </w:r>
      <w:r w:rsidRPr="000A044C">
        <w:rPr>
          <w:lang w:bidi="ar-SY"/>
        </w:rPr>
        <w:t>1</w:t>
      </w:r>
      <w:r w:rsidRPr="000A044C">
        <w:rPr>
          <w:rtl/>
        </w:rPr>
        <w:t xml:space="preserve"> بالقـرار</w:t>
      </w:r>
      <w:r w:rsidRPr="000A044C">
        <w:rPr>
          <w:rFonts w:hint="cs"/>
          <w:rtl/>
        </w:rPr>
        <w:t xml:space="preserve"> </w:t>
      </w:r>
      <w:r w:rsidR="00F93968" w:rsidRPr="001679EB">
        <w:t>[EUR</w:t>
      </w:r>
      <w:r w:rsidR="00F93968" w:rsidRPr="001679EB">
        <w:noBreakHyphen/>
        <w:t xml:space="preserve">A12] </w:t>
      </w:r>
      <w:r w:rsidRPr="001679EB">
        <w:t>(WRC</w:t>
      </w:r>
      <w:r w:rsidRPr="001679EB">
        <w:noBreakHyphen/>
        <w:t>15)</w:t>
      </w:r>
    </w:p>
    <w:p w:rsidR="007E268B" w:rsidRPr="000A044C" w:rsidRDefault="007E268B" w:rsidP="00F93968">
      <w:pPr>
        <w:pStyle w:val="Annextitle"/>
        <w:rPr>
          <w:rtl/>
        </w:rPr>
      </w:pPr>
      <w:r w:rsidRPr="000A044C">
        <w:rPr>
          <w:rtl/>
        </w:rPr>
        <w:t>معايير تحديد الإدارات التي يحتمل تأثرها</w:t>
      </w:r>
      <w:r w:rsidRPr="000A044C">
        <w:rPr>
          <w:rFonts w:hint="cs"/>
          <w:rtl/>
        </w:rPr>
        <w:t xml:space="preserve"> في </w:t>
      </w:r>
      <w:r w:rsidRPr="000A044C">
        <w:rPr>
          <w:rtl/>
        </w:rPr>
        <w:t xml:space="preserve">نطاق التردد </w:t>
      </w:r>
      <w:r w:rsidRPr="000A044C">
        <w:rPr>
          <w:lang w:bidi="ar-SY"/>
        </w:rPr>
        <w:t>MHz 790</w:t>
      </w:r>
      <w:r w:rsidRPr="000A044C">
        <w:rPr>
          <w:lang w:bidi="ar-SY"/>
        </w:rPr>
        <w:noBreakHyphen/>
        <w:t>694</w:t>
      </w:r>
      <w:r w:rsidRPr="000A044C">
        <w:rPr>
          <w:rtl/>
        </w:rPr>
        <w:br/>
        <w:t>فيما يتعلق بخدمة الملاحة الراديوية للطيران</w:t>
      </w:r>
      <w:r w:rsidR="00F93968">
        <w:br/>
      </w:r>
      <w:r w:rsidRPr="000A044C">
        <w:rPr>
          <w:rFonts w:hint="cs"/>
          <w:rtl/>
        </w:rPr>
        <w:t>في </w:t>
      </w:r>
      <w:r w:rsidRPr="000A044C">
        <w:rPr>
          <w:rtl/>
        </w:rPr>
        <w:t>البلدان المدرجة في</w:t>
      </w:r>
      <w:r w:rsidR="00051628">
        <w:rPr>
          <w:rFonts w:hint="cs"/>
          <w:rtl/>
        </w:rPr>
        <w:t xml:space="preserve"> </w:t>
      </w:r>
      <w:r w:rsidRPr="000A044C">
        <w:rPr>
          <w:rtl/>
        </w:rPr>
        <w:t>الرقم</w:t>
      </w:r>
      <w:r w:rsidR="00051628">
        <w:rPr>
          <w:rFonts w:hint="cs"/>
          <w:rtl/>
        </w:rPr>
        <w:t> </w:t>
      </w:r>
      <w:r w:rsidRPr="000A044C">
        <w:rPr>
          <w:lang w:bidi="ar-SY"/>
        </w:rPr>
        <w:t>312.5</w:t>
      </w:r>
    </w:p>
    <w:p w:rsidR="007E268B" w:rsidRPr="000A044C" w:rsidRDefault="007E268B" w:rsidP="008C0D4B">
      <w:pPr>
        <w:pStyle w:val="Normalaftertitle"/>
        <w:rPr>
          <w:rtl/>
        </w:rPr>
      </w:pPr>
      <w:r w:rsidRPr="000A044C">
        <w:rPr>
          <w:rFonts w:hint="cs"/>
          <w:rtl/>
        </w:rPr>
        <w:t xml:space="preserve">لتحديد الإدارات التي يحتمل تأثرها عند تطبيق إجراء التماس الموافقة بموجب الرقم </w:t>
      </w:r>
      <w:r w:rsidRPr="000A044C">
        <w:rPr>
          <w:b/>
          <w:bCs/>
          <w:lang w:bidi="ar-SY"/>
        </w:rPr>
        <w:t>21.9</w:t>
      </w:r>
      <w:r w:rsidRPr="000A044C">
        <w:rPr>
          <w:rFonts w:hint="cs"/>
          <w:rtl/>
        </w:rPr>
        <w:t xml:space="preserve"> من جانب الخدمة المتنقلة </w:t>
      </w:r>
      <w:r w:rsidRPr="000A044C">
        <w:t>(MS)</w:t>
      </w:r>
      <w:r w:rsidRPr="000A044C">
        <w:rPr>
          <w:rFonts w:hint="cs"/>
          <w:rtl/>
        </w:rPr>
        <w:t xml:space="preserve"> فيما</w:t>
      </w:r>
      <w:r w:rsidRPr="000A044C">
        <w:rPr>
          <w:rFonts w:hint="eastAsia"/>
          <w:rtl/>
        </w:rPr>
        <w:t> </w:t>
      </w:r>
      <w:r w:rsidRPr="000A044C">
        <w:rPr>
          <w:rFonts w:hint="cs"/>
          <w:rtl/>
        </w:rPr>
        <w:t xml:space="preserve">يتعلق بخدمة الملاحة الراديوية للطيران </w:t>
      </w:r>
      <w:r w:rsidRPr="000A044C">
        <w:t>(ARNS)</w:t>
      </w:r>
      <w:r w:rsidRPr="000A044C">
        <w:rPr>
          <w:rFonts w:hint="cs"/>
          <w:rtl/>
        </w:rPr>
        <w:t xml:space="preserve"> العاملة في البلدان المذكورة في الرقم </w:t>
      </w:r>
      <w:r w:rsidRPr="000A044C">
        <w:rPr>
          <w:b/>
          <w:bCs/>
          <w:lang w:bidi="ar-SY"/>
        </w:rPr>
        <w:t>312.5</w:t>
      </w:r>
      <w:r w:rsidRPr="000A044C">
        <w:rPr>
          <w:rFonts w:hint="cs"/>
          <w:rtl/>
        </w:rPr>
        <w:t>، ينبغي استعمال مسافات التنسيق المبينة أدناه (بين المحطة القاعدة في الخدمة المتنقلة ومحطة خدمة الملاحة الراديوية للطيران التي يحتمل تأثرها).</w:t>
      </w:r>
    </w:p>
    <w:p w:rsidR="007E268B" w:rsidRPr="000A044C" w:rsidRDefault="007E268B" w:rsidP="002E61F5">
      <w:pPr>
        <w:rPr>
          <w:rtl/>
        </w:rPr>
      </w:pPr>
      <w:r w:rsidRPr="000A044C">
        <w:rPr>
          <w:rFonts w:hint="cs"/>
          <w:rtl/>
        </w:rPr>
        <w:t>وعند التبليغ يمكن للإدارات أن تبين في</w:t>
      </w:r>
      <w:r w:rsidR="002E61F5">
        <w:rPr>
          <w:rFonts w:hint="cs"/>
          <w:rtl/>
        </w:rPr>
        <w:t xml:space="preserve"> </w:t>
      </w:r>
      <w:r w:rsidRPr="000A044C">
        <w:rPr>
          <w:rFonts w:hint="cs"/>
          <w:rtl/>
        </w:rPr>
        <w:t xml:space="preserve">بطاقة التبليغ المرسلة إلى مكتب الاتصالات الراديوية قائمة الإدارات التي توصلت معها إلى اتفاقات ثنائية. ويأخذ المكتب ذلك بعين الاعتبار عند تحديد الإدارات التي يتعين التنسيق معها طبقاً للرقم </w:t>
      </w:r>
      <w:r w:rsidRPr="000A044C">
        <w:rPr>
          <w:b/>
          <w:bCs/>
          <w:lang w:bidi="ar-SY"/>
        </w:rPr>
        <w:t>21.9</w:t>
      </w:r>
      <w:r w:rsidRPr="000A044C">
        <w:rPr>
          <w:rFonts w:hint="cs"/>
          <w:rtl/>
        </w:rPr>
        <w:t>.</w:t>
      </w:r>
    </w:p>
    <w:p w:rsidR="007E268B" w:rsidRPr="000A044C" w:rsidRDefault="00B12CEC" w:rsidP="001E7C00">
      <w:pPr>
        <w:pStyle w:val="Heading1"/>
        <w:rPr>
          <w:rtl/>
        </w:rPr>
      </w:pPr>
      <w:r>
        <w:t>1</w:t>
      </w:r>
      <w:r>
        <w:tab/>
      </w:r>
      <w:r w:rsidR="007E268B" w:rsidRPr="000A044C">
        <w:rPr>
          <w:rFonts w:hint="cs"/>
          <w:rtl/>
        </w:rPr>
        <w:t>الحالة التي تعمل فيها الخدمة المتنقلة طبقاً ل</w:t>
      </w:r>
      <w:r w:rsidR="0091667C">
        <w:rPr>
          <w:rFonts w:hint="cs"/>
          <w:rtl/>
        </w:rPr>
        <w:t>خطط توزيع</w:t>
      </w:r>
      <w:r w:rsidR="007E268B" w:rsidRPr="000A044C">
        <w:rPr>
          <w:rFonts w:hint="cs"/>
          <w:rtl/>
        </w:rPr>
        <w:t xml:space="preserve"> الترددات التي لا ترسل فيها المحطات القاعدة إلا في نطاق التردد</w:t>
      </w:r>
      <w:r w:rsidR="007E268B" w:rsidRPr="000A044C">
        <w:rPr>
          <w:rFonts w:hint="eastAsia"/>
          <w:rtl/>
        </w:rPr>
        <w:t> </w:t>
      </w:r>
      <w:r w:rsidR="007E268B" w:rsidRPr="000A044C">
        <w:t>MHz 788</w:t>
      </w:r>
      <w:r w:rsidR="007E268B" w:rsidRPr="000A044C">
        <w:noBreakHyphen/>
        <w:t>758</w:t>
      </w:r>
      <w:r w:rsidR="007E268B" w:rsidRPr="000A044C">
        <w:rPr>
          <w:rFonts w:hint="cs"/>
          <w:rtl/>
          <w:lang w:bidi="ar-SY"/>
        </w:rPr>
        <w:t xml:space="preserve"> </w:t>
      </w:r>
      <w:r w:rsidR="007E268B" w:rsidRPr="000A044C">
        <w:rPr>
          <w:rFonts w:hint="cs"/>
          <w:rtl/>
        </w:rPr>
        <w:t xml:space="preserve">ولا تستقبل إلا في النطاق </w:t>
      </w:r>
      <w:r w:rsidR="007E268B" w:rsidRPr="000A044C">
        <w:t>MHz 733</w:t>
      </w:r>
      <w:r w:rsidR="007E268B" w:rsidRPr="000A044C">
        <w:noBreakHyphen/>
        <w:t>703</w:t>
      </w:r>
      <w:r w:rsidR="007E268B" w:rsidRPr="000A044C">
        <w:rPr>
          <w:rFonts w:hint="cs"/>
          <w:rtl/>
        </w:rPr>
        <w:t>.</w:t>
      </w:r>
    </w:p>
    <w:p w:rsidR="006A74DE" w:rsidRPr="000A044C" w:rsidRDefault="006A74DE" w:rsidP="006A74DE">
      <w:pPr>
        <w:pStyle w:val="TableNo"/>
        <w:spacing w:after="120"/>
        <w:rPr>
          <w:rtl/>
        </w:rPr>
      </w:pPr>
      <w:r w:rsidRPr="000A044C">
        <w:rPr>
          <w:rFonts w:hint="cs"/>
          <w:rtl/>
        </w:rPr>
        <w:t xml:space="preserve">الجدول </w:t>
      </w:r>
      <w:r>
        <w:rPr>
          <w:lang w:bidi="ar-SY"/>
        </w:rPr>
        <w:t>X</w:t>
      </w:r>
    </w:p>
    <w:tbl>
      <w:tblPr>
        <w:bidiVisual/>
        <w:tblW w:w="9639" w:type="dxa"/>
        <w:jc w:val="center"/>
        <w:tblBorders>
          <w:top w:val="single" w:sz="2" w:space="0" w:color="2A004E"/>
          <w:left w:val="single" w:sz="2" w:space="0" w:color="2A004E"/>
          <w:bottom w:val="single" w:sz="2" w:space="0" w:color="2A004E"/>
          <w:right w:val="single" w:sz="2" w:space="0" w:color="2A004E"/>
          <w:insideH w:val="single" w:sz="2" w:space="0" w:color="2A004E"/>
          <w:insideV w:val="single" w:sz="2" w:space="0" w:color="2A004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4"/>
        <w:gridCol w:w="995"/>
        <w:gridCol w:w="2126"/>
        <w:gridCol w:w="2124"/>
      </w:tblGrid>
      <w:tr w:rsidR="006A74DE" w:rsidRPr="004F0B70" w:rsidTr="00D34E31">
        <w:trPr>
          <w:cantSplit/>
          <w:jc w:val="center"/>
        </w:trPr>
        <w:tc>
          <w:tcPr>
            <w:tcW w:w="22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4F0B70" w:rsidRDefault="006A74DE" w:rsidP="000C56D0">
            <w:pPr>
              <w:pStyle w:val="TableHead0"/>
              <w:keepNext w:val="0"/>
              <w:spacing w:line="240" w:lineRule="exact"/>
              <w:rPr>
                <w:rFonts w:ascii="Times New Roman" w:hAnsi="Times New Roman"/>
                <w:lang w:val="en-US" w:bidi="ar-SY"/>
              </w:rPr>
            </w:pPr>
            <w:r w:rsidRPr="004F0B70">
              <w:rPr>
                <w:rFonts w:ascii="Times New Roman" w:hAnsi="Times New Roman" w:hint="eastAsia"/>
                <w:rtl/>
                <w:lang w:val="en-US"/>
              </w:rPr>
              <w:t>محطة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4F0B70">
              <w:rPr>
                <w:rFonts w:ascii="Times New Roman" w:hAnsi="Times New Roman" w:hint="eastAsia"/>
                <w:rtl/>
                <w:lang w:val="en-US"/>
              </w:rPr>
              <w:t>خدمة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4F0B70">
              <w:rPr>
                <w:rFonts w:ascii="Times New Roman" w:hAnsi="Times New Roman" w:hint="eastAsia"/>
                <w:rtl/>
                <w:lang w:val="en-US"/>
              </w:rPr>
              <w:t>الملاحة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4F0B70">
              <w:rPr>
                <w:rFonts w:ascii="Times New Roman" w:hAnsi="Times New Roman" w:hint="eastAsia"/>
                <w:rtl/>
                <w:lang w:val="en-US"/>
              </w:rPr>
              <w:t>الراديوية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4F0B70">
              <w:rPr>
                <w:rFonts w:ascii="Times New Roman" w:hAnsi="Times New Roman" w:hint="eastAsia"/>
                <w:rtl/>
                <w:lang w:val="en-US"/>
              </w:rPr>
              <w:t>للطيران</w:t>
            </w:r>
          </w:p>
        </w:tc>
        <w:tc>
          <w:tcPr>
            <w:tcW w:w="5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4F0B70" w:rsidRDefault="006A74DE" w:rsidP="000C56D0">
            <w:pPr>
              <w:pStyle w:val="TableHead0"/>
              <w:keepNext w:val="0"/>
              <w:spacing w:line="240" w:lineRule="exact"/>
              <w:rPr>
                <w:rFonts w:ascii="Times New Roman" w:hAnsi="Times New Roman"/>
                <w:lang w:val="en-US" w:bidi="ar-SY"/>
              </w:rPr>
            </w:pPr>
            <w:r w:rsidRPr="004F0B70">
              <w:rPr>
                <w:rFonts w:ascii="Times New Roman" w:hAnsi="Times New Roman" w:hint="eastAsia"/>
                <w:rtl/>
                <w:lang w:val="en-US"/>
              </w:rPr>
              <w:t>رمز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4F0B70">
              <w:rPr>
                <w:rFonts w:ascii="Times New Roman" w:hAnsi="Times New Roman" w:hint="eastAsia"/>
                <w:rtl/>
                <w:lang w:val="en-US"/>
              </w:rPr>
              <w:t>نمط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4F0B70">
              <w:rPr>
                <w:rFonts w:ascii="Times New Roman" w:hAnsi="Times New Roman" w:hint="eastAsia"/>
                <w:rtl/>
                <w:lang w:val="en-US"/>
              </w:rPr>
              <w:t>النظام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4F0B70" w:rsidRDefault="006A74DE" w:rsidP="000C56D0">
            <w:pPr>
              <w:pStyle w:val="TableHead0"/>
              <w:keepNext w:val="0"/>
              <w:spacing w:line="240" w:lineRule="exact"/>
              <w:rPr>
                <w:rFonts w:ascii="Times New Roman" w:hAnsi="Times New Roman"/>
                <w:vertAlign w:val="superscript"/>
                <w:lang w:val="en-US" w:bidi="ar-SY"/>
              </w:rPr>
            </w:pPr>
            <w:r w:rsidRPr="004F0B70">
              <w:rPr>
                <w:rFonts w:ascii="Times New Roman" w:hAnsi="Times New Roman" w:hint="eastAsia"/>
                <w:rtl/>
                <w:lang w:val="en-US"/>
              </w:rPr>
              <w:t>مسافات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التنسيق لمحطات الاستقبال القاعدة للخدمة المتنقلة </w:t>
            </w:r>
            <w:r w:rsidRPr="004F0B70">
              <w:rPr>
                <w:rFonts w:ascii="Times New Roman" w:hAnsi="Times New Roman"/>
                <w:lang w:val="en-US"/>
              </w:rPr>
              <w:t>(km)</w:t>
            </w:r>
          </w:p>
        </w:tc>
        <w:tc>
          <w:tcPr>
            <w:tcW w:w="11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4F0B70" w:rsidRDefault="006A74DE" w:rsidP="000C56D0">
            <w:pPr>
              <w:pStyle w:val="TableHead0"/>
              <w:keepNext w:val="0"/>
              <w:spacing w:line="240" w:lineRule="exact"/>
              <w:rPr>
                <w:rFonts w:ascii="Times New Roman" w:hAnsi="Times New Roman"/>
                <w:lang w:val="en-US" w:bidi="ar-SY"/>
              </w:rPr>
            </w:pPr>
            <w:r w:rsidRPr="004F0B70">
              <w:rPr>
                <w:rFonts w:ascii="Times New Roman" w:hAnsi="Times New Roman" w:hint="eastAsia"/>
                <w:rtl/>
                <w:lang w:val="en-US"/>
              </w:rPr>
              <w:t>مسافات</w:t>
            </w:r>
            <w:r w:rsidRPr="004F0B70">
              <w:rPr>
                <w:rFonts w:ascii="Times New Roman" w:hAnsi="Times New Roman"/>
                <w:rtl/>
                <w:lang w:val="en-US"/>
              </w:rPr>
              <w:t xml:space="preserve"> التنسيق لمحطات الإرسال القاعدة للخدمة المتنقلة </w:t>
            </w:r>
            <w:r w:rsidRPr="004F0B70">
              <w:rPr>
                <w:rFonts w:ascii="Times New Roman" w:hAnsi="Times New Roman"/>
                <w:lang w:val="en-US"/>
              </w:rPr>
              <w:t>(km)</w:t>
            </w:r>
          </w:p>
        </w:tc>
      </w:tr>
      <w:tr w:rsidR="006A74DE" w:rsidRPr="000A044C" w:rsidTr="00D34E31">
        <w:trPr>
          <w:cantSplit/>
          <w:jc w:val="center"/>
        </w:trPr>
        <w:tc>
          <w:tcPr>
            <w:tcW w:w="22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D34E31">
            <w:pPr>
              <w:pStyle w:val="TableText"/>
              <w:spacing w:line="240" w:lineRule="exact"/>
              <w:jc w:val="left"/>
              <w:rPr>
                <w:lang w:val="en-US" w:bidi="ar-SY"/>
              </w:rPr>
            </w:pPr>
            <w:r w:rsidRPr="00E021CF">
              <w:rPr>
                <w:rFonts w:hint="eastAsia"/>
                <w:rtl/>
                <w:lang w:val="en-US" w:bidi="ar-SY"/>
              </w:rPr>
              <w:t>نظام</w:t>
            </w:r>
            <w:r w:rsidRPr="00E021CF">
              <w:rPr>
                <w:rtl/>
                <w:lang w:val="en-US" w:bidi="ar-SY"/>
              </w:rPr>
              <w:t xml:space="preserve"> ملاحة راديوية قصيرة المدى </w:t>
            </w:r>
            <w:r w:rsidRPr="00E021CF">
              <w:rPr>
                <w:lang w:val="en-US" w:bidi="ar-SY"/>
              </w:rPr>
              <w:t>(RSBN)</w:t>
            </w:r>
            <w:r w:rsidR="00D34E31">
              <w:rPr>
                <w:rFonts w:hint="cs"/>
                <w:rtl/>
                <w:lang w:val="en-US" w:bidi="ar-SA"/>
              </w:rPr>
              <w:t xml:space="preserve"> </w:t>
            </w:r>
            <w:r w:rsidRPr="00E021CF">
              <w:rPr>
                <w:rtl/>
                <w:lang w:val="en-US" w:bidi="ar-SA"/>
              </w:rPr>
              <w:t xml:space="preserve">(مستقبل </w:t>
            </w:r>
            <w:r w:rsidRPr="00E021CF">
              <w:rPr>
                <w:rFonts w:hint="eastAsia"/>
                <w:rtl/>
                <w:lang w:val="en-US" w:bidi="ar-SA"/>
              </w:rPr>
              <w:t>أرضي</w:t>
            </w:r>
            <w:r w:rsidRPr="00E021CF">
              <w:rPr>
                <w:rtl/>
                <w:lang w:val="en-US" w:bidi="ar-SA"/>
              </w:rPr>
              <w:t>)</w:t>
            </w:r>
          </w:p>
        </w:tc>
        <w:tc>
          <w:tcPr>
            <w:tcW w:w="51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AA8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D34E31" w:rsidRDefault="00D34E31" w:rsidP="000C56D0">
            <w:pPr>
              <w:pStyle w:val="TableText"/>
              <w:spacing w:line="240" w:lineRule="exact"/>
              <w:jc w:val="center"/>
              <w:rPr>
                <w:rtl/>
                <w:lang w:bidi="ar-SA"/>
              </w:rPr>
            </w:pPr>
            <w:r>
              <w:t>–</w:t>
            </w:r>
          </w:p>
        </w:tc>
        <w:tc>
          <w:tcPr>
            <w:tcW w:w="11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F93968" w:rsidRDefault="006A74DE" w:rsidP="000C56D0">
            <w:pPr>
              <w:pStyle w:val="TableText"/>
              <w:spacing w:line="240" w:lineRule="exact"/>
              <w:jc w:val="center"/>
              <w:rPr>
                <w:lang w:val="en-US" w:bidi="ar-SY"/>
              </w:rPr>
            </w:pPr>
            <w:r w:rsidRPr="00F93968">
              <w:rPr>
                <w:lang w:val="en-US" w:bidi="ar-SY"/>
              </w:rPr>
              <w:t>*70/125/175</w:t>
            </w:r>
          </w:p>
        </w:tc>
      </w:tr>
    </w:tbl>
    <w:p w:rsidR="006A74DE" w:rsidRDefault="006A74DE" w:rsidP="00F93968">
      <w:pPr>
        <w:pStyle w:val="TableText"/>
        <w:tabs>
          <w:tab w:val="clear" w:pos="567"/>
          <w:tab w:val="left" w:pos="283"/>
        </w:tabs>
        <w:rPr>
          <w:rtl/>
          <w:lang w:val="en-US" w:bidi="ar-SA"/>
        </w:rPr>
      </w:pPr>
      <w:r w:rsidRPr="00E021CF">
        <w:rPr>
          <w:lang w:val="en-US" w:bidi="ar-SY"/>
        </w:rPr>
        <w:t>*</w:t>
      </w:r>
      <w:r w:rsidR="001E7C00">
        <w:rPr>
          <w:rtl/>
          <w:lang w:val="en-US" w:bidi="ar-SY"/>
        </w:rPr>
        <w:tab/>
      </w:r>
      <w:r w:rsidRPr="00E021CF">
        <w:rPr>
          <w:lang w:val="en-US" w:bidi="ar-SY"/>
        </w:rPr>
        <w:t>%</w:t>
      </w:r>
      <w:r>
        <w:rPr>
          <w:lang w:val="en-US" w:bidi="ar-SY"/>
        </w:rPr>
        <w:t>9</w:t>
      </w:r>
      <w:r w:rsidRPr="00E021CF">
        <w:rPr>
          <w:lang w:val="en-US" w:bidi="ar-SY"/>
        </w:rPr>
        <w:t>0</w:t>
      </w:r>
      <w:r w:rsidRPr="00E021CF">
        <w:rPr>
          <w:rtl/>
          <w:lang w:val="en-US" w:bidi="ar-SY"/>
        </w:rPr>
        <w:t xml:space="preserve"> </w:t>
      </w:r>
      <w:r w:rsidRPr="00E021CF">
        <w:rPr>
          <w:rFonts w:cs="Times New Roman"/>
          <w:sz w:val="14"/>
          <w:szCs w:val="20"/>
          <w:rtl/>
          <w:lang w:val="en-US"/>
        </w:rPr>
        <w:t>≤</w:t>
      </w:r>
      <w:r w:rsidRPr="00E021CF">
        <w:rPr>
          <w:rtl/>
          <w:lang w:val="en-US"/>
        </w:rPr>
        <w:t xml:space="preserve"> مسير بري </w:t>
      </w:r>
      <w:r w:rsidRPr="00E021CF">
        <w:rPr>
          <w:rFonts w:cs="Times New Roman"/>
          <w:sz w:val="14"/>
          <w:szCs w:val="20"/>
          <w:rtl/>
          <w:lang w:val="en-US"/>
        </w:rPr>
        <w:t>≤</w:t>
      </w:r>
      <w:r w:rsidRPr="00E021CF">
        <w:rPr>
          <w:rtl/>
          <w:lang w:val="en-US"/>
        </w:rPr>
        <w:t xml:space="preserve"> </w:t>
      </w:r>
      <w:r w:rsidRPr="00E021CF">
        <w:rPr>
          <w:lang w:val="en-US"/>
        </w:rPr>
        <w:t>%</w:t>
      </w:r>
      <w:r w:rsidRPr="00E021CF">
        <w:rPr>
          <w:lang w:val="en-US" w:bidi="ar-SY"/>
        </w:rPr>
        <w:t>100</w:t>
      </w:r>
      <w:r>
        <w:rPr>
          <w:rFonts w:hint="cs"/>
          <w:rtl/>
          <w:lang w:val="en-US" w:bidi="ar-SY"/>
        </w:rPr>
        <w:t xml:space="preserve"> </w:t>
      </w:r>
      <w:r w:rsidRPr="00E021CF">
        <w:rPr>
          <w:rtl/>
          <w:lang w:val="en-US" w:bidi="ar-SY"/>
        </w:rPr>
        <w:t>/</w:t>
      </w:r>
      <w:r w:rsidRPr="00E021CF">
        <w:rPr>
          <w:rtl/>
          <w:lang w:val="en-US"/>
        </w:rPr>
        <w:t xml:space="preserve"> </w:t>
      </w:r>
      <w:r w:rsidRPr="00E021CF">
        <w:rPr>
          <w:lang w:val="en-US" w:bidi="ar-SY"/>
        </w:rPr>
        <w:t>%50</w:t>
      </w:r>
      <w:r>
        <w:rPr>
          <w:rFonts w:hint="cs"/>
          <w:rtl/>
          <w:lang w:val="en-US" w:bidi="ar-SY"/>
        </w:rPr>
        <w:t xml:space="preserve"> </w:t>
      </w:r>
      <w:r w:rsidRPr="00E021CF">
        <w:rPr>
          <w:rFonts w:cs="Times New Roman"/>
          <w:sz w:val="14"/>
          <w:szCs w:val="20"/>
          <w:rtl/>
          <w:lang w:val="en-US"/>
        </w:rPr>
        <w:t>≤</w:t>
      </w:r>
      <w:r w:rsidRPr="00E021CF">
        <w:rPr>
          <w:rtl/>
          <w:lang w:val="en-US"/>
        </w:rPr>
        <w:t xml:space="preserve"> مسير بري</w:t>
      </w:r>
      <w:r>
        <w:rPr>
          <w:rFonts w:hint="cs"/>
          <w:rtl/>
          <w:lang w:val="en-US"/>
        </w:rPr>
        <w:t xml:space="preserve"> </w:t>
      </w:r>
      <w:r w:rsidRPr="00E021CF">
        <w:rPr>
          <w:sz w:val="14"/>
          <w:szCs w:val="20"/>
          <w:rtl/>
          <w:lang w:val="en-US"/>
        </w:rPr>
        <w:t>&lt;</w:t>
      </w:r>
      <w:r w:rsidRPr="00E021CF">
        <w:rPr>
          <w:rtl/>
          <w:lang w:val="en-US"/>
        </w:rPr>
        <w:t xml:space="preserve"> </w:t>
      </w:r>
      <w:r w:rsidRPr="00E021CF">
        <w:rPr>
          <w:lang w:val="en-US"/>
        </w:rPr>
        <w:t>%</w:t>
      </w:r>
      <w:r>
        <w:rPr>
          <w:lang w:val="en-US" w:bidi="ar-SY"/>
        </w:rPr>
        <w:t>9</w:t>
      </w:r>
      <w:r w:rsidRPr="00E021CF">
        <w:rPr>
          <w:lang w:val="en-US" w:bidi="ar-SY"/>
        </w:rPr>
        <w:t>0</w:t>
      </w:r>
      <w:r w:rsidRPr="00E021CF">
        <w:rPr>
          <w:rtl/>
          <w:lang w:val="en-US" w:bidi="ar-SY"/>
        </w:rPr>
        <w:t>/</w:t>
      </w:r>
      <w:r w:rsidRPr="00E021CF">
        <w:rPr>
          <w:lang w:val="en-US" w:bidi="ar-SY"/>
        </w:rPr>
        <w:t>%0</w:t>
      </w:r>
      <w:r w:rsidRPr="00E021CF">
        <w:rPr>
          <w:rtl/>
          <w:lang w:val="en-US"/>
        </w:rPr>
        <w:t xml:space="preserve"> </w:t>
      </w:r>
      <w:r w:rsidRPr="00E021CF">
        <w:rPr>
          <w:rFonts w:cs="Times New Roman"/>
          <w:sz w:val="14"/>
          <w:szCs w:val="20"/>
          <w:rtl/>
          <w:lang w:val="en-US"/>
        </w:rPr>
        <w:t>≤</w:t>
      </w:r>
      <w:r w:rsidRPr="00E021CF">
        <w:rPr>
          <w:rtl/>
          <w:lang w:val="en-US"/>
        </w:rPr>
        <w:t xml:space="preserve"> مسير بري </w:t>
      </w:r>
      <w:r w:rsidRPr="00E021CF">
        <w:rPr>
          <w:sz w:val="14"/>
          <w:szCs w:val="20"/>
          <w:rtl/>
          <w:lang w:val="en-US"/>
        </w:rPr>
        <w:t>&lt;</w:t>
      </w:r>
      <w:r w:rsidRPr="00E021CF">
        <w:rPr>
          <w:rtl/>
          <w:lang w:val="en-US"/>
        </w:rPr>
        <w:t xml:space="preserve"> </w:t>
      </w:r>
      <w:r w:rsidRPr="00E021CF">
        <w:rPr>
          <w:lang w:val="en-US" w:bidi="ar-SY"/>
        </w:rPr>
        <w:t>%50</w:t>
      </w:r>
      <w:r w:rsidRPr="00E021CF">
        <w:rPr>
          <w:rtl/>
          <w:lang w:val="en-US" w:bidi="ar-SY"/>
        </w:rPr>
        <w:t>.</w:t>
      </w:r>
    </w:p>
    <w:p w:rsidR="006A74DE" w:rsidRPr="00B12CEC" w:rsidRDefault="006A74DE" w:rsidP="003D7AAF">
      <w:pPr>
        <w:pStyle w:val="Heading1"/>
        <w:rPr>
          <w:rtl/>
        </w:rPr>
      </w:pPr>
      <w:r w:rsidRPr="00B12CEC">
        <w:t>2</w:t>
      </w:r>
      <w:r w:rsidRPr="00B12CEC">
        <w:rPr>
          <w:rtl/>
        </w:rPr>
        <w:tab/>
      </w:r>
      <w:r w:rsidRPr="00B12CEC">
        <w:rPr>
          <w:rFonts w:hint="cs"/>
          <w:rtl/>
        </w:rPr>
        <w:t>حال</w:t>
      </w:r>
      <w:r w:rsidR="00C83F8A">
        <w:rPr>
          <w:rFonts w:hint="cs"/>
          <w:rtl/>
        </w:rPr>
        <w:t>ات</w:t>
      </w:r>
      <w:r w:rsidRPr="00B12CEC">
        <w:rPr>
          <w:rFonts w:hint="cs"/>
          <w:rtl/>
        </w:rPr>
        <w:t xml:space="preserve"> أخرى</w:t>
      </w:r>
    </w:p>
    <w:tbl>
      <w:tblPr>
        <w:bidiVisual/>
        <w:tblW w:w="9639" w:type="dxa"/>
        <w:tblBorders>
          <w:top w:val="single" w:sz="2" w:space="0" w:color="2A004E"/>
          <w:left w:val="single" w:sz="2" w:space="0" w:color="2A004E"/>
          <w:bottom w:val="single" w:sz="2" w:space="0" w:color="2A004E"/>
          <w:right w:val="single" w:sz="2" w:space="0" w:color="2A004E"/>
          <w:insideH w:val="single" w:sz="2" w:space="0" w:color="2A004E"/>
          <w:insideV w:val="single" w:sz="2" w:space="0" w:color="2A004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4"/>
        <w:gridCol w:w="1059"/>
        <w:gridCol w:w="2114"/>
        <w:gridCol w:w="2072"/>
      </w:tblGrid>
      <w:tr w:rsidR="006A74DE" w:rsidRPr="00CB658C" w:rsidTr="00D34E31">
        <w:trPr>
          <w:cantSplit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CB658C" w:rsidRDefault="006A74DE" w:rsidP="000C56D0">
            <w:pPr>
              <w:pStyle w:val="TableHead0"/>
              <w:keepNext w:val="0"/>
              <w:rPr>
                <w:rFonts w:ascii="Times New Roman" w:hAnsi="Times New Roman"/>
                <w:lang w:val="en-US" w:bidi="ar-SY"/>
              </w:rPr>
            </w:pPr>
            <w:r w:rsidRPr="00CB658C">
              <w:rPr>
                <w:rFonts w:ascii="Times New Roman" w:hAnsi="Times New Roman" w:hint="eastAsia"/>
                <w:rtl/>
                <w:lang w:val="en-US"/>
              </w:rPr>
              <w:t>محطة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CB658C">
              <w:rPr>
                <w:rFonts w:ascii="Times New Roman" w:hAnsi="Times New Roman" w:hint="eastAsia"/>
                <w:rtl/>
                <w:lang w:val="en-US"/>
              </w:rPr>
              <w:t>خدمة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CB658C">
              <w:rPr>
                <w:rFonts w:ascii="Times New Roman" w:hAnsi="Times New Roman" w:hint="eastAsia"/>
                <w:rtl/>
                <w:lang w:val="en-US"/>
              </w:rPr>
              <w:t>الملاحة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CB658C">
              <w:rPr>
                <w:rFonts w:ascii="Times New Roman" w:hAnsi="Times New Roman" w:hint="eastAsia"/>
                <w:rtl/>
                <w:lang w:val="en-US"/>
              </w:rPr>
              <w:t>الراديوية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CB658C">
              <w:rPr>
                <w:rFonts w:ascii="Times New Roman" w:hAnsi="Times New Roman" w:hint="eastAsia"/>
                <w:rtl/>
                <w:lang w:val="en-US"/>
              </w:rPr>
              <w:t>للطيران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CB658C" w:rsidRDefault="006A74DE" w:rsidP="000C56D0">
            <w:pPr>
              <w:pStyle w:val="TableHead0"/>
              <w:keepNext w:val="0"/>
              <w:rPr>
                <w:rFonts w:ascii="Times New Roman" w:hAnsi="Times New Roman"/>
                <w:lang w:val="en-US" w:bidi="ar-SY"/>
              </w:rPr>
            </w:pPr>
            <w:r w:rsidRPr="00CB658C">
              <w:rPr>
                <w:rFonts w:ascii="Times New Roman" w:hAnsi="Times New Roman" w:hint="eastAsia"/>
                <w:rtl/>
                <w:lang w:val="en-US"/>
              </w:rPr>
              <w:t>رمز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CB658C">
              <w:rPr>
                <w:rFonts w:ascii="Times New Roman" w:hAnsi="Times New Roman" w:hint="eastAsia"/>
                <w:rtl/>
                <w:lang w:val="en-US"/>
              </w:rPr>
              <w:t>نمط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</w:t>
            </w:r>
            <w:r w:rsidRPr="00CB658C">
              <w:rPr>
                <w:rFonts w:ascii="Times New Roman" w:hAnsi="Times New Roman" w:hint="eastAsia"/>
                <w:rtl/>
                <w:lang w:val="en-US"/>
              </w:rPr>
              <w:t>النظام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CB658C" w:rsidRDefault="006A74DE" w:rsidP="000C56D0">
            <w:pPr>
              <w:pStyle w:val="TableHead0"/>
              <w:keepNext w:val="0"/>
              <w:rPr>
                <w:rFonts w:ascii="Times New Roman" w:hAnsi="Times New Roman"/>
                <w:vertAlign w:val="superscript"/>
                <w:lang w:val="en-US" w:bidi="ar-SY"/>
              </w:rPr>
            </w:pPr>
            <w:r w:rsidRPr="00CB658C">
              <w:rPr>
                <w:rFonts w:ascii="Times New Roman" w:hAnsi="Times New Roman" w:hint="eastAsia"/>
                <w:rtl/>
                <w:lang w:val="en-US"/>
              </w:rPr>
              <w:t>مسافات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التنسيق لمحطات الاستقبال القاعدة للخدمة المتنقلة </w:t>
            </w:r>
            <w:r w:rsidR="00D34E31" w:rsidRPr="00D34E31">
              <w:rPr>
                <w:rFonts w:ascii="Times New Roman" w:hAnsi="Times New Roman"/>
                <w:b w:val="0"/>
                <w:bCs w:val="0"/>
                <w:lang w:val="en-US" w:bidi="ar-SY"/>
              </w:rPr>
              <w:t>**</w:t>
            </w:r>
            <w:r w:rsidRPr="00CB658C">
              <w:rPr>
                <w:rFonts w:ascii="Times New Roman" w:hAnsi="Times New Roman"/>
                <w:lang w:val="en-US"/>
              </w:rPr>
              <w:t xml:space="preserve"> (km)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CB658C" w:rsidRDefault="006A74DE" w:rsidP="000C56D0">
            <w:pPr>
              <w:pStyle w:val="TableHead0"/>
              <w:keepNext w:val="0"/>
              <w:rPr>
                <w:rFonts w:ascii="Times New Roman" w:hAnsi="Times New Roman"/>
                <w:rtl/>
                <w:lang w:val="en-US" w:bidi="ar-SY"/>
              </w:rPr>
            </w:pPr>
            <w:r w:rsidRPr="00CB658C">
              <w:rPr>
                <w:rFonts w:ascii="Times New Roman" w:hAnsi="Times New Roman" w:hint="eastAsia"/>
                <w:rtl/>
                <w:lang w:val="en-US"/>
              </w:rPr>
              <w:t>مسافات</w:t>
            </w:r>
            <w:r w:rsidRPr="00CB658C">
              <w:rPr>
                <w:rFonts w:ascii="Times New Roman" w:hAnsi="Times New Roman"/>
                <w:rtl/>
                <w:lang w:val="en-US"/>
              </w:rPr>
              <w:t xml:space="preserve"> التنسيق لمحطات الإرسال القاعدة للخدمة المتنقلة </w:t>
            </w:r>
            <w:r w:rsidRPr="00CB658C">
              <w:rPr>
                <w:rFonts w:ascii="Times New Roman" w:hAnsi="Times New Roman"/>
                <w:lang w:val="en-US"/>
              </w:rPr>
              <w:t>(km)</w:t>
            </w:r>
          </w:p>
        </w:tc>
      </w:tr>
      <w:tr w:rsidR="006A74DE" w:rsidRPr="00CB658C" w:rsidTr="00D34E31">
        <w:trPr>
          <w:cantSplit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rPr>
                <w:rtl/>
                <w:lang w:val="en-US" w:bidi="ar-SY"/>
              </w:rPr>
            </w:pPr>
            <w:r w:rsidRPr="00E021CF">
              <w:rPr>
                <w:rFonts w:hint="eastAsia"/>
                <w:rtl/>
                <w:lang w:val="en-US" w:bidi="ar-SY"/>
              </w:rPr>
              <w:t>نظام</w:t>
            </w:r>
            <w:r w:rsidRPr="00E021CF">
              <w:rPr>
                <w:rtl/>
                <w:lang w:val="en-US" w:bidi="ar-SY"/>
              </w:rPr>
              <w:t xml:space="preserve"> ملاحة راديوية قصير المدى </w:t>
            </w:r>
            <w:r w:rsidRPr="00E021CF">
              <w:rPr>
                <w:lang w:val="en-US" w:bidi="ar-SY"/>
              </w:rPr>
              <w:t>(RSBN)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AA8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vertAlign w:val="superscript"/>
                <w:lang w:val="en-US" w:bidi="ar-SY"/>
              </w:rPr>
            </w:pPr>
            <w:r w:rsidRPr="00E021CF">
              <w:rPr>
                <w:lang w:val="en-US" w:bidi="ar-SY"/>
              </w:rPr>
              <w:t>50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A74DE" w:rsidRPr="00E021CF">
              <w:rPr>
                <w:lang w:val="en-US" w:bidi="ar-SY"/>
              </w:rPr>
              <w:t>1</w:t>
            </w:r>
            <w:r>
              <w:rPr>
                <w:lang w:val="en-US" w:bidi="ar-SY"/>
              </w:rPr>
              <w:t>2</w:t>
            </w:r>
            <w:r w:rsidR="006A74DE" w:rsidRPr="00E021CF">
              <w:rPr>
                <w:lang w:val="en-US" w:bidi="ar-SY"/>
              </w:rPr>
              <w:t>5/1</w:t>
            </w:r>
            <w:r>
              <w:rPr>
                <w:lang w:val="en-US" w:bidi="ar-SY"/>
              </w:rPr>
              <w:t>7</w:t>
            </w:r>
            <w:r w:rsidR="006A74DE" w:rsidRPr="00E021CF">
              <w:rPr>
                <w:lang w:val="en-US" w:bidi="ar-SY"/>
              </w:rPr>
              <w:t>5</w:t>
            </w:r>
          </w:p>
        </w:tc>
      </w:tr>
      <w:tr w:rsidR="006A74DE" w:rsidRPr="00CB658C" w:rsidTr="00D34E31">
        <w:trPr>
          <w:cantSplit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RLS 2</w:t>
            </w:r>
            <w:r w:rsidRPr="00E021CF">
              <w:rPr>
                <w:rtl/>
                <w:lang w:val="en-US" w:bidi="ar-SA"/>
              </w:rPr>
              <w:t xml:space="preserve"> (النمط </w:t>
            </w:r>
            <w:r w:rsidRPr="00E021CF">
              <w:rPr>
                <w:lang w:val="en-US" w:bidi="ar-SY"/>
              </w:rPr>
              <w:t>1</w:t>
            </w:r>
            <w:r w:rsidRPr="00E021CF">
              <w:rPr>
                <w:rtl/>
                <w:lang w:val="en-US" w:bidi="ar-SA"/>
              </w:rPr>
              <w:t>) (مستقبل محمول جوا</w:t>
            </w:r>
            <w:r w:rsidRPr="00E021CF">
              <w:rPr>
                <w:rFonts w:hint="eastAsia"/>
                <w:rtl/>
                <w:lang w:val="en-US" w:bidi="ar-SA"/>
              </w:rPr>
              <w:t>ً</w:t>
            </w:r>
            <w:r w:rsidRPr="00E021CF">
              <w:rPr>
                <w:rtl/>
                <w:lang w:val="en-US" w:bidi="ar-SA"/>
              </w:rPr>
              <w:t>)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BD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vertAlign w:val="superscript"/>
                <w:lang w:val="en-US" w:bidi="ar-SY"/>
              </w:rPr>
            </w:pPr>
            <w:r w:rsidRPr="00E021CF">
              <w:rPr>
                <w:lang w:val="en-US" w:bidi="ar-SY"/>
              </w:rPr>
              <w:t>410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432</w:t>
            </w:r>
          </w:p>
        </w:tc>
      </w:tr>
      <w:tr w:rsidR="006A74DE" w:rsidRPr="00CB658C" w:rsidTr="00D34E31">
        <w:trPr>
          <w:cantSplit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RLS 2</w:t>
            </w:r>
            <w:r w:rsidRPr="00E021CF">
              <w:rPr>
                <w:rtl/>
                <w:lang w:val="en-US" w:bidi="ar-SA"/>
              </w:rPr>
              <w:t xml:space="preserve"> (النمط </w:t>
            </w:r>
            <w:r w:rsidRPr="00E021CF">
              <w:rPr>
                <w:lang w:val="en-US" w:bidi="ar-SA"/>
              </w:rPr>
              <w:t>1</w:t>
            </w:r>
            <w:r w:rsidRPr="00E021CF">
              <w:rPr>
                <w:rtl/>
                <w:lang w:val="en-US" w:bidi="ar-SA"/>
              </w:rPr>
              <w:t>) (مستقبل أرضي)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BA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50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A74DE" w:rsidRPr="00E021CF">
              <w:rPr>
                <w:lang w:val="en-US" w:bidi="ar-SY"/>
              </w:rPr>
              <w:t>2</w:t>
            </w:r>
            <w:r>
              <w:rPr>
                <w:lang w:val="en-US" w:bidi="ar-SY"/>
              </w:rPr>
              <w:t>50</w:t>
            </w:r>
            <w:r w:rsidR="006A74DE" w:rsidRPr="00E021CF">
              <w:rPr>
                <w:lang w:val="en-US" w:bidi="ar-SY"/>
              </w:rPr>
              <w:t>/2</w:t>
            </w:r>
            <w:r>
              <w:rPr>
                <w:lang w:val="en-US" w:bidi="ar-SY"/>
              </w:rPr>
              <w:t>75</w:t>
            </w:r>
          </w:p>
        </w:tc>
      </w:tr>
      <w:tr w:rsidR="006A74DE" w:rsidRPr="00CB658C" w:rsidTr="00D34E31">
        <w:trPr>
          <w:cantSplit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RLS 2</w:t>
            </w:r>
            <w:r w:rsidRPr="00E021CF">
              <w:rPr>
                <w:rtl/>
                <w:lang w:val="en-US" w:bidi="ar-SA"/>
              </w:rPr>
              <w:t xml:space="preserve"> (النمط </w:t>
            </w:r>
            <w:r w:rsidRPr="00E021CF">
              <w:rPr>
                <w:lang w:val="en-US" w:bidi="ar-SA"/>
              </w:rPr>
              <w:t>2</w:t>
            </w:r>
            <w:r w:rsidRPr="00E021CF">
              <w:rPr>
                <w:rtl/>
                <w:lang w:val="en-US" w:bidi="ar-SA"/>
              </w:rPr>
              <w:t>) (مستقبل محمول جوا</w:t>
            </w:r>
            <w:r w:rsidRPr="00E021CF">
              <w:rPr>
                <w:rFonts w:hint="eastAsia"/>
                <w:rtl/>
                <w:lang w:val="en-US" w:bidi="ar-SA"/>
              </w:rPr>
              <w:t>ً</w:t>
            </w:r>
            <w:r w:rsidRPr="00E021CF">
              <w:rPr>
                <w:rtl/>
                <w:lang w:val="en-US" w:bidi="ar-SA"/>
              </w:rPr>
              <w:t>)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BC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150</w:t>
            </w:r>
          </w:p>
        </w:tc>
        <w:tc>
          <w:tcPr>
            <w:tcW w:w="20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432</w:t>
            </w:r>
          </w:p>
        </w:tc>
      </w:tr>
      <w:tr w:rsidR="006A74DE" w:rsidRPr="00CB658C" w:rsidTr="00D34E31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rPr>
          <w:cantSplit/>
        </w:trPr>
        <w:tc>
          <w:tcPr>
            <w:tcW w:w="439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RLS 2</w:t>
            </w:r>
            <w:r w:rsidRPr="00E021CF">
              <w:rPr>
                <w:rtl/>
                <w:lang w:val="en-US" w:bidi="ar-SA"/>
              </w:rPr>
              <w:t xml:space="preserve"> (النمط </w:t>
            </w:r>
            <w:r w:rsidRPr="00E021CF">
              <w:rPr>
                <w:lang w:val="en-US" w:bidi="ar-SA"/>
              </w:rPr>
              <w:t>2</w:t>
            </w:r>
            <w:r w:rsidRPr="00E021CF">
              <w:rPr>
                <w:rtl/>
                <w:lang w:val="en-US" w:bidi="ar-SA"/>
              </w:rPr>
              <w:t>) (مستقبل أرضي)</w:t>
            </w:r>
          </w:p>
        </w:tc>
        <w:tc>
          <w:tcPr>
            <w:tcW w:w="1059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AA2</w:t>
            </w:r>
          </w:p>
        </w:tc>
        <w:tc>
          <w:tcPr>
            <w:tcW w:w="211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>
              <w:rPr>
                <w:lang w:val="en-US" w:bidi="ar-SA"/>
              </w:rPr>
              <w:t>50</w:t>
            </w:r>
            <w:r w:rsidR="006A74DE" w:rsidRPr="00E021CF">
              <w:rPr>
                <w:lang w:val="en-US" w:bidi="ar-SA"/>
              </w:rPr>
              <w:t>/</w:t>
            </w:r>
            <w:r>
              <w:rPr>
                <w:lang w:val="en-US" w:bidi="ar-SA"/>
              </w:rPr>
              <w:t>75</w:t>
            </w:r>
          </w:p>
        </w:tc>
        <w:tc>
          <w:tcPr>
            <w:tcW w:w="2072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A74DE" w:rsidRPr="00E021CF">
              <w:rPr>
                <w:lang w:val="en-US" w:bidi="ar-SY"/>
              </w:rPr>
              <w:t>3</w:t>
            </w:r>
            <w:r>
              <w:rPr>
                <w:lang w:val="en-US" w:bidi="ar-SY"/>
              </w:rPr>
              <w:t>00</w:t>
            </w:r>
            <w:r w:rsidR="006A74DE" w:rsidRPr="00E021CF">
              <w:rPr>
                <w:lang w:val="en-US" w:bidi="ar-SY"/>
              </w:rPr>
              <w:t>/3</w:t>
            </w:r>
            <w:r>
              <w:rPr>
                <w:lang w:val="en-US" w:bidi="ar-SY"/>
              </w:rPr>
              <w:t>25</w:t>
            </w:r>
          </w:p>
        </w:tc>
      </w:tr>
      <w:tr w:rsidR="006A74DE" w:rsidRPr="00CB658C" w:rsidTr="00D34E31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rPr>
          <w:cantSplit/>
        </w:trPr>
        <w:tc>
          <w:tcPr>
            <w:tcW w:w="439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RLS 1</w:t>
            </w:r>
            <w:r w:rsidRPr="00E021CF">
              <w:rPr>
                <w:rtl/>
                <w:lang w:val="en-US" w:bidi="ar-SA"/>
              </w:rPr>
              <w:t xml:space="preserve"> (</w:t>
            </w:r>
            <w:r w:rsidRPr="00E021CF">
              <w:rPr>
                <w:rtl/>
                <w:lang w:val="en-US"/>
              </w:rPr>
              <w:t xml:space="preserve">النمطان </w:t>
            </w:r>
            <w:r w:rsidRPr="00E021CF">
              <w:rPr>
                <w:lang w:val="en-US" w:bidi="ar-SA"/>
              </w:rPr>
              <w:t>1</w:t>
            </w:r>
            <w:r w:rsidRPr="00E021CF">
              <w:rPr>
                <w:rtl/>
                <w:lang w:val="en-US"/>
              </w:rPr>
              <w:t xml:space="preserve"> و</w:t>
            </w:r>
            <w:r w:rsidRPr="00E021CF">
              <w:rPr>
                <w:lang w:val="en-US" w:bidi="ar-SA"/>
              </w:rPr>
              <w:t>2</w:t>
            </w:r>
            <w:r w:rsidRPr="00E021CF">
              <w:rPr>
                <w:rtl/>
                <w:lang w:val="en-US" w:bidi="ar-SA"/>
              </w:rPr>
              <w:t>) (مستقبل أرضي)</w:t>
            </w:r>
          </w:p>
        </w:tc>
        <w:tc>
          <w:tcPr>
            <w:tcW w:w="1059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AB</w:t>
            </w:r>
          </w:p>
        </w:tc>
        <w:tc>
          <w:tcPr>
            <w:tcW w:w="211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A74DE" w:rsidRPr="00E021CF">
              <w:rPr>
                <w:lang w:val="en-US" w:bidi="ar-SA"/>
              </w:rPr>
              <w:t>1</w:t>
            </w:r>
            <w:r>
              <w:rPr>
                <w:lang w:val="en-US" w:bidi="ar-SA"/>
              </w:rPr>
              <w:t>2</w:t>
            </w:r>
            <w:r w:rsidR="006A74DE" w:rsidRPr="00E021CF">
              <w:rPr>
                <w:lang w:val="en-US" w:bidi="ar-SA"/>
              </w:rPr>
              <w:t>5/1</w:t>
            </w:r>
            <w:r>
              <w:rPr>
                <w:lang w:val="en-US" w:bidi="ar-SA"/>
              </w:rPr>
              <w:t>7</w:t>
            </w:r>
            <w:r w:rsidR="006A74DE" w:rsidRPr="00E021CF">
              <w:rPr>
                <w:lang w:val="en-US" w:bidi="ar-SA"/>
              </w:rPr>
              <w:t>5</w:t>
            </w:r>
          </w:p>
        </w:tc>
        <w:tc>
          <w:tcPr>
            <w:tcW w:w="2072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A74DE" w:rsidRPr="00E021CF">
              <w:rPr>
                <w:lang w:val="en-US" w:bidi="ar-SY"/>
              </w:rPr>
              <w:t>4</w:t>
            </w:r>
            <w:r>
              <w:rPr>
                <w:lang w:val="en-US" w:bidi="ar-SY"/>
              </w:rPr>
              <w:t>0</w:t>
            </w:r>
            <w:r w:rsidR="006A74DE" w:rsidRPr="00E021CF">
              <w:rPr>
                <w:lang w:val="en-US" w:bidi="ar-SY"/>
              </w:rPr>
              <w:t>0/4</w:t>
            </w:r>
            <w:r>
              <w:rPr>
                <w:lang w:val="en-US" w:bidi="ar-SY"/>
              </w:rPr>
              <w:t>5</w:t>
            </w:r>
            <w:r w:rsidR="006A74DE" w:rsidRPr="00E021CF">
              <w:rPr>
                <w:lang w:val="en-US" w:bidi="ar-SY"/>
              </w:rPr>
              <w:t>0</w:t>
            </w:r>
          </w:p>
        </w:tc>
      </w:tr>
      <w:tr w:rsidR="006A74DE" w:rsidRPr="00CB658C" w:rsidTr="00D34E31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rPr>
          <w:cantSplit/>
        </w:trPr>
        <w:tc>
          <w:tcPr>
            <w:tcW w:w="439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left"/>
              <w:rPr>
                <w:lang w:val="en-US" w:bidi="ar-SY"/>
              </w:rPr>
            </w:pPr>
            <w:r w:rsidRPr="00E021CF">
              <w:rPr>
                <w:rtl/>
                <w:lang w:val="en-US"/>
              </w:rPr>
              <w:t>المحطات الأرضية الأخرى لخدمة الملاحة الراديوية للطيران</w:t>
            </w:r>
          </w:p>
        </w:tc>
        <w:tc>
          <w:tcPr>
            <w:tcW w:w="1059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rFonts w:hint="eastAsia"/>
                <w:rtl/>
                <w:lang w:val="en-US" w:bidi="ar-SA"/>
              </w:rPr>
              <w:t>غير</w:t>
            </w:r>
            <w:r w:rsidRPr="00E021CF">
              <w:rPr>
                <w:rtl/>
                <w:lang w:val="en-US" w:bidi="ar-SA"/>
              </w:rPr>
              <w:t xml:space="preserve"> </w:t>
            </w:r>
            <w:r w:rsidRPr="00E021CF">
              <w:rPr>
                <w:rFonts w:hint="eastAsia"/>
                <w:rtl/>
                <w:lang w:val="en-US" w:bidi="ar-SA"/>
              </w:rPr>
              <w:t>مطبق</w:t>
            </w:r>
          </w:p>
        </w:tc>
        <w:tc>
          <w:tcPr>
            <w:tcW w:w="211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D34E31">
            <w:pPr>
              <w:pStyle w:val="TableText"/>
              <w:spacing w:before="40" w:line="240" w:lineRule="exact"/>
              <w:jc w:val="center"/>
              <w:rPr>
                <w:rtl/>
                <w:lang w:val="en-US" w:bidi="ar-SY"/>
              </w:rPr>
            </w:pPr>
            <w:r w:rsidRPr="00D34E31">
              <w:rPr>
                <w:lang w:val="en-US" w:bidi="ar-SY"/>
              </w:rPr>
              <w:t>*</w:t>
            </w:r>
            <w:r w:rsidRPr="00E021CF">
              <w:rPr>
                <w:lang w:val="en-US" w:bidi="ar-SY"/>
              </w:rPr>
              <w:t>1</w:t>
            </w:r>
            <w:r w:rsidR="00D34E31">
              <w:rPr>
                <w:lang w:val="en-US" w:bidi="ar-SY"/>
              </w:rPr>
              <w:t>5</w:t>
            </w:r>
            <w:r w:rsidRPr="00E021CF">
              <w:rPr>
                <w:lang w:val="en-US" w:bidi="ar-SY"/>
              </w:rPr>
              <w:t>5/1</w:t>
            </w:r>
            <w:r w:rsidR="00D34E31">
              <w:rPr>
                <w:lang w:val="en-US" w:bidi="ar-SY"/>
              </w:rPr>
              <w:t>7</w:t>
            </w:r>
            <w:r w:rsidRPr="00E021CF">
              <w:rPr>
                <w:lang w:val="en-US" w:bidi="ar-SY"/>
              </w:rPr>
              <w:t>5</w:t>
            </w:r>
          </w:p>
        </w:tc>
        <w:tc>
          <w:tcPr>
            <w:tcW w:w="2072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D34E31" w:rsidP="00D34E31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A74DE" w:rsidRPr="00E021CF">
              <w:rPr>
                <w:lang w:val="en-US" w:bidi="ar-SY"/>
              </w:rPr>
              <w:t>4</w:t>
            </w:r>
            <w:r>
              <w:rPr>
                <w:lang w:val="en-US" w:bidi="ar-SY"/>
              </w:rPr>
              <w:t>0</w:t>
            </w:r>
            <w:r w:rsidR="006A74DE" w:rsidRPr="00E021CF">
              <w:rPr>
                <w:lang w:val="en-US" w:bidi="ar-SY"/>
              </w:rPr>
              <w:t>0/4</w:t>
            </w:r>
            <w:r>
              <w:rPr>
                <w:lang w:val="en-US" w:bidi="ar-SY"/>
              </w:rPr>
              <w:t>5</w:t>
            </w:r>
            <w:r w:rsidR="006A74DE" w:rsidRPr="00E021CF">
              <w:rPr>
                <w:lang w:val="en-US" w:bidi="ar-SY"/>
              </w:rPr>
              <w:t>0</w:t>
            </w:r>
          </w:p>
        </w:tc>
      </w:tr>
      <w:tr w:rsidR="006A74DE" w:rsidRPr="00CB658C" w:rsidTr="00D34E31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rPr>
          <w:cantSplit/>
        </w:trPr>
        <w:tc>
          <w:tcPr>
            <w:tcW w:w="439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left"/>
              <w:rPr>
                <w:spacing w:val="-6"/>
                <w:lang w:val="en-US" w:bidi="ar-SY"/>
              </w:rPr>
            </w:pPr>
            <w:r w:rsidRPr="00E021CF">
              <w:rPr>
                <w:spacing w:val="-6"/>
                <w:rtl/>
                <w:lang w:val="en-US"/>
              </w:rPr>
              <w:t>المحطات المحمولة جواً الأخرى لخدمة الملاحة الراديوية للطيران</w:t>
            </w:r>
          </w:p>
        </w:tc>
        <w:tc>
          <w:tcPr>
            <w:tcW w:w="1059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rFonts w:hint="eastAsia"/>
                <w:rtl/>
                <w:lang w:val="en-US" w:bidi="ar-SA"/>
              </w:rPr>
              <w:t>غير</w:t>
            </w:r>
            <w:r w:rsidRPr="00E021CF">
              <w:rPr>
                <w:rtl/>
                <w:lang w:val="en-US" w:bidi="ar-SA"/>
              </w:rPr>
              <w:t xml:space="preserve"> </w:t>
            </w:r>
            <w:r w:rsidRPr="00E021CF">
              <w:rPr>
                <w:rFonts w:hint="eastAsia"/>
                <w:rtl/>
                <w:lang w:val="en-US" w:bidi="ar-SA"/>
              </w:rPr>
              <w:t>مطبق</w:t>
            </w:r>
          </w:p>
        </w:tc>
        <w:tc>
          <w:tcPr>
            <w:tcW w:w="211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410</w:t>
            </w:r>
          </w:p>
        </w:tc>
        <w:tc>
          <w:tcPr>
            <w:tcW w:w="2072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74DE" w:rsidRPr="00E021CF" w:rsidRDefault="006A74DE" w:rsidP="000C56D0">
            <w:pPr>
              <w:pStyle w:val="TableText"/>
              <w:spacing w:before="40" w:line="240" w:lineRule="exact"/>
              <w:jc w:val="center"/>
              <w:rPr>
                <w:rtl/>
                <w:lang w:val="en-US" w:bidi="ar-SY"/>
              </w:rPr>
            </w:pPr>
            <w:r w:rsidRPr="00E021CF">
              <w:rPr>
                <w:lang w:val="en-US" w:bidi="ar-SY"/>
              </w:rPr>
              <w:t>432</w:t>
            </w:r>
          </w:p>
        </w:tc>
      </w:tr>
      <w:tr w:rsidR="00861632" w:rsidRPr="00CB658C" w:rsidTr="00112784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rPr>
          <w:cantSplit/>
        </w:trPr>
        <w:tc>
          <w:tcPr>
            <w:tcW w:w="9639" w:type="dxa"/>
            <w:gridSpan w:val="4"/>
            <w:tcBorders>
              <w:top w:val="single" w:sz="2" w:space="0" w:color="2A004E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1632" w:rsidRPr="00E021CF" w:rsidRDefault="00861632" w:rsidP="00F93968">
            <w:pPr>
              <w:pStyle w:val="TableText"/>
              <w:tabs>
                <w:tab w:val="clear" w:pos="567"/>
                <w:tab w:val="left" w:pos="317"/>
              </w:tabs>
              <w:rPr>
                <w:lang w:val="en-US" w:bidi="ar-SY"/>
              </w:rPr>
            </w:pPr>
            <w:r w:rsidRPr="00E021CF">
              <w:rPr>
                <w:lang w:val="en-US" w:bidi="ar-SY"/>
              </w:rPr>
              <w:t>*</w:t>
            </w:r>
            <w:r w:rsidR="00693469" w:rsidRPr="00693469">
              <w:rPr>
                <w:lang w:val="en-US" w:bidi="ar-SY"/>
              </w:rPr>
              <w:tab/>
            </w:r>
            <w:r w:rsidRPr="00E021CF">
              <w:rPr>
                <w:lang w:val="en-US" w:bidi="ar-SY"/>
              </w:rPr>
              <w:t>%50</w:t>
            </w:r>
            <w:r w:rsidR="00693469">
              <w:rPr>
                <w:rFonts w:hint="cs"/>
                <w:rtl/>
                <w:lang w:val="en-US" w:bidi="ar-SY"/>
              </w:rPr>
              <w:t xml:space="preserve"> </w:t>
            </w:r>
            <w:r w:rsidRPr="00E021CF">
              <w:rPr>
                <w:rFonts w:cs="Times New Roman"/>
                <w:sz w:val="12"/>
                <w:szCs w:val="20"/>
                <w:rtl/>
                <w:lang w:val="en-US"/>
              </w:rPr>
              <w:t>≤</w:t>
            </w:r>
            <w:r w:rsidRPr="00E021CF">
              <w:rPr>
                <w:rtl/>
                <w:lang w:val="en-US"/>
              </w:rPr>
              <w:t xml:space="preserve"> مسير بري </w:t>
            </w:r>
            <w:r w:rsidRPr="00E021CF">
              <w:rPr>
                <w:rFonts w:cs="Times New Roman"/>
                <w:sz w:val="12"/>
                <w:szCs w:val="20"/>
                <w:rtl/>
                <w:lang w:val="en-US"/>
              </w:rPr>
              <w:t>≤</w:t>
            </w:r>
            <w:r w:rsidRPr="00E021CF">
              <w:rPr>
                <w:rtl/>
                <w:lang w:val="en-US"/>
              </w:rPr>
              <w:t xml:space="preserve"> </w:t>
            </w:r>
            <w:r w:rsidRPr="00E021CF">
              <w:rPr>
                <w:lang w:val="en-US"/>
              </w:rPr>
              <w:t>%100</w:t>
            </w:r>
            <w:r w:rsidRPr="00E021CF">
              <w:rPr>
                <w:rtl/>
                <w:lang w:val="en-US" w:bidi="ar-SY"/>
              </w:rPr>
              <w:t>/</w:t>
            </w:r>
            <w:r w:rsidRPr="00E021CF">
              <w:rPr>
                <w:lang w:val="en-US" w:bidi="ar-SY"/>
              </w:rPr>
              <w:t>%0</w:t>
            </w:r>
            <w:r w:rsidRPr="00E021CF">
              <w:rPr>
                <w:rtl/>
                <w:lang w:val="en-US"/>
              </w:rPr>
              <w:t xml:space="preserve"> </w:t>
            </w:r>
            <w:r w:rsidRPr="00E021CF">
              <w:rPr>
                <w:rFonts w:cs="Times New Roman"/>
                <w:sz w:val="14"/>
                <w:szCs w:val="20"/>
                <w:rtl/>
                <w:lang w:val="en-US"/>
              </w:rPr>
              <w:t>≤</w:t>
            </w:r>
            <w:r w:rsidRPr="00E021CF">
              <w:rPr>
                <w:rtl/>
                <w:lang w:val="en-US"/>
              </w:rPr>
              <w:t xml:space="preserve"> مسير بري </w:t>
            </w:r>
            <w:r w:rsidRPr="00E021CF">
              <w:rPr>
                <w:sz w:val="14"/>
                <w:szCs w:val="20"/>
                <w:rtl/>
                <w:lang w:val="en-US"/>
              </w:rPr>
              <w:t>&lt;</w:t>
            </w:r>
            <w:r w:rsidRPr="00E021CF">
              <w:rPr>
                <w:rtl/>
                <w:lang w:val="en-US"/>
              </w:rPr>
              <w:t xml:space="preserve"> </w:t>
            </w:r>
            <w:r w:rsidRPr="00E021CF">
              <w:rPr>
                <w:lang w:val="en-US"/>
              </w:rPr>
              <w:t>%50</w:t>
            </w:r>
            <w:r w:rsidRPr="00E021CF">
              <w:rPr>
                <w:rtl/>
                <w:lang w:val="en-US" w:bidi="ar-SY"/>
              </w:rPr>
              <w:t>.</w:t>
            </w:r>
          </w:p>
          <w:p w:rsidR="00861632" w:rsidRPr="00E021CF" w:rsidRDefault="00861632" w:rsidP="00F93968">
            <w:pPr>
              <w:pStyle w:val="TableText"/>
              <w:tabs>
                <w:tab w:val="clear" w:pos="567"/>
                <w:tab w:val="left" w:pos="317"/>
              </w:tabs>
              <w:spacing w:before="40" w:line="240" w:lineRule="exact"/>
              <w:jc w:val="left"/>
              <w:rPr>
                <w:lang w:val="en-US"/>
              </w:rPr>
            </w:pPr>
            <w:r w:rsidRPr="00E021CF">
              <w:rPr>
                <w:lang w:val="en-US" w:bidi="ar-SY"/>
              </w:rPr>
              <w:t>**</w:t>
            </w:r>
            <w:r w:rsidR="00D34E31">
              <w:rPr>
                <w:rtl/>
                <w:lang w:val="en-US"/>
              </w:rPr>
              <w:tab/>
            </w:r>
            <w:r w:rsidRPr="00CB658C">
              <w:rPr>
                <w:rtl/>
                <w:lang w:val="en-US"/>
              </w:rPr>
              <w:t>مسافات التنسيق فيما يخص استقبال محطات القاعدة في الخدمة المتنقلة تستند إلى حماية محطات خدمة الم</w:t>
            </w:r>
            <w:r w:rsidRPr="00CB658C">
              <w:rPr>
                <w:rFonts w:hint="eastAsia"/>
                <w:rtl/>
                <w:lang w:val="en-US"/>
              </w:rPr>
              <w:t>لا</w:t>
            </w:r>
            <w:r w:rsidRPr="00CB658C">
              <w:rPr>
                <w:rtl/>
                <w:lang w:val="en-US"/>
              </w:rPr>
              <w:t>حة الراديوية للطيران من المحطات المتنقلة وهي لا تضمن حماية استقبال محطات القاعدة في الخدمة المتنقلة من محطات خدمة الملاحة الراديوية للطيران.</w:t>
            </w:r>
          </w:p>
        </w:tc>
      </w:tr>
    </w:tbl>
    <w:p w:rsidR="0060668B" w:rsidRDefault="0060668B" w:rsidP="00C72BA6">
      <w:pPr>
        <w:pStyle w:val="Reasons"/>
        <w:rPr>
          <w:b w:val="0"/>
          <w:bCs w:val="0"/>
          <w:rtl/>
          <w:lang w:bidi="ar-SY"/>
        </w:rPr>
      </w:pPr>
      <w:r>
        <w:rPr>
          <w:rFonts w:hint="cs"/>
          <w:rtl/>
          <w:lang w:bidi="ar-SY"/>
        </w:rPr>
        <w:lastRenderedPageBreak/>
        <w:t>الأسباب:</w:t>
      </w:r>
      <w:r>
        <w:rPr>
          <w:rFonts w:hint="cs"/>
          <w:rtl/>
          <w:lang w:bidi="ar-SY"/>
        </w:rPr>
        <w:tab/>
      </w:r>
      <w:r>
        <w:rPr>
          <w:rFonts w:hint="cs"/>
          <w:b w:val="0"/>
          <w:bCs w:val="0"/>
          <w:rtl/>
          <w:lang w:bidi="ar-SY"/>
        </w:rPr>
        <w:t xml:space="preserve">يُقترح هذا القرار الجديد من أجل تحديد الشروط التقنية والتنظيمية المنطبقة على التوزيع الخاص بالخدمة المتنقلة، باستثناء المتنقلة للطيران، وفقاً لما هو مطلوب في الفقرة </w:t>
      </w:r>
      <w:r>
        <w:rPr>
          <w:b w:val="0"/>
          <w:bCs w:val="0"/>
          <w:lang w:bidi="ar-SY"/>
        </w:rPr>
        <w:t>5</w:t>
      </w:r>
      <w:r>
        <w:rPr>
          <w:rFonts w:hint="cs"/>
          <w:b w:val="0"/>
          <w:bCs w:val="0"/>
          <w:rtl/>
          <w:lang w:bidi="ar-SY"/>
        </w:rPr>
        <w:t xml:space="preserve"> من </w:t>
      </w:r>
      <w:r w:rsidRPr="00405880">
        <w:rPr>
          <w:rFonts w:hint="cs"/>
          <w:b w:val="0"/>
          <w:bCs w:val="0"/>
          <w:i/>
          <w:iCs/>
          <w:rtl/>
          <w:lang w:bidi="ar-SY"/>
        </w:rPr>
        <w:t>يقرر</w:t>
      </w:r>
      <w:r>
        <w:rPr>
          <w:rFonts w:hint="cs"/>
          <w:b w:val="0"/>
          <w:bCs w:val="0"/>
          <w:rtl/>
          <w:lang w:bidi="ar-SY"/>
        </w:rPr>
        <w:t xml:space="preserve"> من القرار </w:t>
      </w:r>
      <w:r w:rsidRPr="00856058">
        <w:rPr>
          <w:b w:val="0"/>
          <w:bCs w:val="0"/>
          <w:lang w:bidi="ar-SY"/>
        </w:rPr>
        <w:t>232 (WRC</w:t>
      </w:r>
      <w:r w:rsidRPr="00856058">
        <w:rPr>
          <w:b w:val="0"/>
          <w:bCs w:val="0"/>
          <w:lang w:bidi="ar-SY"/>
        </w:rPr>
        <w:noBreakHyphen/>
        <w:t>12)</w:t>
      </w:r>
      <w:r>
        <w:rPr>
          <w:rFonts w:hint="cs"/>
          <w:b w:val="0"/>
          <w:bCs w:val="0"/>
          <w:rtl/>
          <w:lang w:bidi="ar-SY"/>
        </w:rPr>
        <w:t xml:space="preserve">، مع مراعاة نتائج الدراسات التي أجراها قطاع الاتصالات الراديوية استجابةً للفقرات من </w:t>
      </w:r>
      <w:r>
        <w:rPr>
          <w:b w:val="0"/>
          <w:bCs w:val="0"/>
          <w:lang w:bidi="ar-SY"/>
        </w:rPr>
        <w:t>1</w:t>
      </w:r>
      <w:r>
        <w:rPr>
          <w:rFonts w:hint="cs"/>
          <w:b w:val="0"/>
          <w:bCs w:val="0"/>
          <w:rtl/>
          <w:lang w:bidi="ar-SY"/>
        </w:rPr>
        <w:t xml:space="preserve"> إلى </w:t>
      </w:r>
      <w:r>
        <w:rPr>
          <w:b w:val="0"/>
          <w:bCs w:val="0"/>
          <w:lang w:bidi="ar-SY"/>
        </w:rPr>
        <w:t>6</w:t>
      </w:r>
      <w:r>
        <w:rPr>
          <w:rFonts w:hint="cs"/>
          <w:b w:val="0"/>
          <w:bCs w:val="0"/>
          <w:rtl/>
          <w:lang w:bidi="ar-SY"/>
        </w:rPr>
        <w:t xml:space="preserve"> من "</w:t>
      </w:r>
      <w:r w:rsidRPr="00405880">
        <w:rPr>
          <w:rFonts w:hint="cs"/>
          <w:b w:val="0"/>
          <w:bCs w:val="0"/>
          <w:i/>
          <w:iCs/>
          <w:rtl/>
          <w:lang w:bidi="ar-SY"/>
        </w:rPr>
        <w:t>يدعو قطاع الاتصالات الراديوية</w:t>
      </w:r>
      <w:r>
        <w:rPr>
          <w:rFonts w:hint="cs"/>
          <w:b w:val="0"/>
          <w:bCs w:val="0"/>
          <w:rtl/>
          <w:lang w:bidi="ar-SY"/>
        </w:rPr>
        <w:t xml:space="preserve">" من القرار </w:t>
      </w:r>
      <w:r w:rsidRPr="00856058">
        <w:rPr>
          <w:b w:val="0"/>
          <w:bCs w:val="0"/>
          <w:lang w:bidi="ar-SY"/>
        </w:rPr>
        <w:t>232 (WRC</w:t>
      </w:r>
      <w:r w:rsidRPr="00856058">
        <w:rPr>
          <w:b w:val="0"/>
          <w:bCs w:val="0"/>
          <w:lang w:bidi="ar-SY"/>
        </w:rPr>
        <w:noBreakHyphen/>
        <w:t>12)</w:t>
      </w:r>
      <w:r>
        <w:rPr>
          <w:rFonts w:hint="cs"/>
          <w:b w:val="0"/>
          <w:bCs w:val="0"/>
          <w:rtl/>
          <w:lang w:bidi="ar-SY"/>
        </w:rPr>
        <w:t>.</w:t>
      </w:r>
    </w:p>
    <w:p w:rsidR="0044333A" w:rsidRPr="0044333A" w:rsidRDefault="002D36B5" w:rsidP="00892817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44333A" w:rsidRPr="0044333A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4333A" w:rsidRDefault="00281F5F" w:rsidP="0044333A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4333A">
      <w:instrText xml:space="preserve"> FILENAME \p \* MERGEFORMAT </w:instrText>
    </w:r>
    <w:r w:rsidRPr="00CB4300">
      <w:fldChar w:fldCharType="separate"/>
    </w:r>
    <w:r w:rsidR="00E6633F">
      <w:rPr>
        <w:noProof/>
      </w:rPr>
      <w:t>P:\ARA\ITU-R\CONF-R\CMR15\000\009ADD02ADD03A.docx</w:t>
    </w:r>
    <w:r w:rsidRPr="00CB4300">
      <w:fldChar w:fldCharType="end"/>
    </w:r>
    <w:r w:rsidRPr="0044333A">
      <w:t xml:space="preserve">  (</w:t>
    </w:r>
    <w:r w:rsidR="0044333A" w:rsidRPr="0044333A">
      <w:t>389843</w:t>
    </w:r>
    <w:r w:rsidRPr="0044333A">
      <w:t>)</w:t>
    </w:r>
    <w:r w:rsidRPr="0044333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81F9E">
      <w:rPr>
        <w:noProof/>
      </w:rPr>
      <w:t>09.11.15</w:t>
    </w:r>
    <w:r w:rsidRPr="00CB4300">
      <w:fldChar w:fldCharType="end"/>
    </w:r>
    <w:r w:rsidRPr="0044333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6633F">
      <w:rPr>
        <w:noProof/>
      </w:rPr>
      <w:t>09.11.15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4333A" w:rsidRDefault="00281F5F" w:rsidP="007A00ED">
    <w:pPr>
      <w:pStyle w:val="Footer"/>
    </w:pPr>
    <w:r>
      <w:fldChar w:fldCharType="begin"/>
    </w:r>
    <w:r w:rsidRPr="0044333A">
      <w:instrText xml:space="preserve"> FILENAME \p \* MERGEFORMAT </w:instrText>
    </w:r>
    <w:r>
      <w:fldChar w:fldCharType="separate"/>
    </w:r>
    <w:r w:rsidR="00E6633F">
      <w:rPr>
        <w:noProof/>
      </w:rPr>
      <w:t>P:\ARA\ITU-R\CONF-R\CMR15\000\009ADD02ADD03A.docx</w:t>
    </w:r>
    <w:r>
      <w:fldChar w:fldCharType="end"/>
    </w:r>
    <w:r w:rsidRPr="0044333A">
      <w:t xml:space="preserve">   (3</w:t>
    </w:r>
    <w:r w:rsidR="007A00ED">
      <w:rPr>
        <w:rFonts w:hint="cs"/>
        <w:rtl/>
      </w:rPr>
      <w:t>89843</w:t>
    </w:r>
    <w:r w:rsidRPr="0044333A">
      <w:t>)</w:t>
    </w:r>
    <w:r w:rsidRPr="004433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81F9E">
      <w:rPr>
        <w:noProof/>
      </w:rPr>
      <w:t>09.11.15</w:t>
    </w:r>
    <w:r w:rsidRPr="00B12661">
      <w:fldChar w:fldCharType="end"/>
    </w:r>
    <w:r w:rsidRPr="004433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6633F">
      <w:rPr>
        <w:noProof/>
      </w:rPr>
      <w:t>09.11.15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14CB9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75C5"/>
    <w:rsid w:val="00040C94"/>
    <w:rsid w:val="000425FC"/>
    <w:rsid w:val="00044D43"/>
    <w:rsid w:val="00051628"/>
    <w:rsid w:val="00051907"/>
    <w:rsid w:val="00075A3F"/>
    <w:rsid w:val="00092EC2"/>
    <w:rsid w:val="000A1B16"/>
    <w:rsid w:val="000B5404"/>
    <w:rsid w:val="000D1708"/>
    <w:rsid w:val="000E2AFC"/>
    <w:rsid w:val="000E6008"/>
    <w:rsid w:val="000E6D30"/>
    <w:rsid w:val="000F05F5"/>
    <w:rsid w:val="000F28EA"/>
    <w:rsid w:val="000F518F"/>
    <w:rsid w:val="0010081C"/>
    <w:rsid w:val="001013E3"/>
    <w:rsid w:val="0010363F"/>
    <w:rsid w:val="00111082"/>
    <w:rsid w:val="00112784"/>
    <w:rsid w:val="001464F2"/>
    <w:rsid w:val="001474D4"/>
    <w:rsid w:val="001629EC"/>
    <w:rsid w:val="00167364"/>
    <w:rsid w:val="001679EB"/>
    <w:rsid w:val="001903B2"/>
    <w:rsid w:val="001B193F"/>
    <w:rsid w:val="001B334E"/>
    <w:rsid w:val="001C75BA"/>
    <w:rsid w:val="001D265C"/>
    <w:rsid w:val="001E190C"/>
    <w:rsid w:val="001E54F6"/>
    <w:rsid w:val="001E5A8C"/>
    <w:rsid w:val="001E7C00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890"/>
    <w:rsid w:val="002919E1"/>
    <w:rsid w:val="00295917"/>
    <w:rsid w:val="00296071"/>
    <w:rsid w:val="00297742"/>
    <w:rsid w:val="002A4572"/>
    <w:rsid w:val="002A7E2E"/>
    <w:rsid w:val="002B00A5"/>
    <w:rsid w:val="002B16D8"/>
    <w:rsid w:val="002D36B5"/>
    <w:rsid w:val="002D5F64"/>
    <w:rsid w:val="002D6FBF"/>
    <w:rsid w:val="002E48BF"/>
    <w:rsid w:val="002E617F"/>
    <w:rsid w:val="002E61C2"/>
    <w:rsid w:val="002E61F5"/>
    <w:rsid w:val="0033737F"/>
    <w:rsid w:val="00353652"/>
    <w:rsid w:val="003569E1"/>
    <w:rsid w:val="00365E92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7AAF"/>
    <w:rsid w:val="003E02EF"/>
    <w:rsid w:val="003E1608"/>
    <w:rsid w:val="003E1D90"/>
    <w:rsid w:val="00400CD4"/>
    <w:rsid w:val="004147B9"/>
    <w:rsid w:val="00414CB9"/>
    <w:rsid w:val="00422C04"/>
    <w:rsid w:val="00426144"/>
    <w:rsid w:val="00431B9B"/>
    <w:rsid w:val="0044333A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60A5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35AB"/>
    <w:rsid w:val="005B00A1"/>
    <w:rsid w:val="005C29C8"/>
    <w:rsid w:val="005C5D25"/>
    <w:rsid w:val="005D3A3A"/>
    <w:rsid w:val="005D6D48"/>
    <w:rsid w:val="005D72A4"/>
    <w:rsid w:val="005E498A"/>
    <w:rsid w:val="005E79DF"/>
    <w:rsid w:val="005F05CC"/>
    <w:rsid w:val="005F65DE"/>
    <w:rsid w:val="0060668B"/>
    <w:rsid w:val="00613492"/>
    <w:rsid w:val="006315B5"/>
    <w:rsid w:val="00651343"/>
    <w:rsid w:val="0065562F"/>
    <w:rsid w:val="00680A66"/>
    <w:rsid w:val="00681391"/>
    <w:rsid w:val="00681F9E"/>
    <w:rsid w:val="00693469"/>
    <w:rsid w:val="006A12AC"/>
    <w:rsid w:val="006A2162"/>
    <w:rsid w:val="006A74DE"/>
    <w:rsid w:val="006B0D94"/>
    <w:rsid w:val="006B4B90"/>
    <w:rsid w:val="006B658C"/>
    <w:rsid w:val="006D2674"/>
    <w:rsid w:val="006E38D0"/>
    <w:rsid w:val="006E465B"/>
    <w:rsid w:val="006F70BF"/>
    <w:rsid w:val="00706407"/>
    <w:rsid w:val="00710713"/>
    <w:rsid w:val="00716B1D"/>
    <w:rsid w:val="007248EC"/>
    <w:rsid w:val="00731150"/>
    <w:rsid w:val="00736DCC"/>
    <w:rsid w:val="007400EE"/>
    <w:rsid w:val="00741855"/>
    <w:rsid w:val="00742B73"/>
    <w:rsid w:val="007457F4"/>
    <w:rsid w:val="00751251"/>
    <w:rsid w:val="0075470E"/>
    <w:rsid w:val="007610E7"/>
    <w:rsid w:val="00764079"/>
    <w:rsid w:val="00770AA0"/>
    <w:rsid w:val="00771F7E"/>
    <w:rsid w:val="00773E9C"/>
    <w:rsid w:val="00776F6B"/>
    <w:rsid w:val="00777694"/>
    <w:rsid w:val="007869A5"/>
    <w:rsid w:val="00786A7E"/>
    <w:rsid w:val="007A00ED"/>
    <w:rsid w:val="007A0802"/>
    <w:rsid w:val="007A0986"/>
    <w:rsid w:val="007B1FCA"/>
    <w:rsid w:val="007C2C12"/>
    <w:rsid w:val="007C3CFA"/>
    <w:rsid w:val="007E0E8B"/>
    <w:rsid w:val="007E268B"/>
    <w:rsid w:val="007F08CA"/>
    <w:rsid w:val="007F7FC3"/>
    <w:rsid w:val="0080669E"/>
    <w:rsid w:val="00810482"/>
    <w:rsid w:val="00817568"/>
    <w:rsid w:val="008204AC"/>
    <w:rsid w:val="00821560"/>
    <w:rsid w:val="008261C2"/>
    <w:rsid w:val="00830D96"/>
    <w:rsid w:val="008455BE"/>
    <w:rsid w:val="00854560"/>
    <w:rsid w:val="0085569D"/>
    <w:rsid w:val="00855B59"/>
    <w:rsid w:val="0085774F"/>
    <w:rsid w:val="00861632"/>
    <w:rsid w:val="008657CB"/>
    <w:rsid w:val="00866A15"/>
    <w:rsid w:val="0088384B"/>
    <w:rsid w:val="00887017"/>
    <w:rsid w:val="008911EC"/>
    <w:rsid w:val="00892817"/>
    <w:rsid w:val="00893E53"/>
    <w:rsid w:val="008A1137"/>
    <w:rsid w:val="008A1788"/>
    <w:rsid w:val="008A4185"/>
    <w:rsid w:val="008A6552"/>
    <w:rsid w:val="008B4E93"/>
    <w:rsid w:val="008C0D4B"/>
    <w:rsid w:val="008D4F14"/>
    <w:rsid w:val="008D6ACC"/>
    <w:rsid w:val="008D7AF0"/>
    <w:rsid w:val="008E32DD"/>
    <w:rsid w:val="008F4079"/>
    <w:rsid w:val="008F4626"/>
    <w:rsid w:val="009004DF"/>
    <w:rsid w:val="00904AA5"/>
    <w:rsid w:val="00905D21"/>
    <w:rsid w:val="0091667C"/>
    <w:rsid w:val="009267A9"/>
    <w:rsid w:val="00951718"/>
    <w:rsid w:val="00954CCB"/>
    <w:rsid w:val="00960962"/>
    <w:rsid w:val="009616A9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66F0"/>
    <w:rsid w:val="00A5472A"/>
    <w:rsid w:val="00A66D2B"/>
    <w:rsid w:val="00A741B5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2CEC"/>
    <w:rsid w:val="00B1714C"/>
    <w:rsid w:val="00B357E9"/>
    <w:rsid w:val="00B4164D"/>
    <w:rsid w:val="00B425C1"/>
    <w:rsid w:val="00B47DD6"/>
    <w:rsid w:val="00B528DF"/>
    <w:rsid w:val="00B606BA"/>
    <w:rsid w:val="00B66817"/>
    <w:rsid w:val="00B714C6"/>
    <w:rsid w:val="00B71E3B"/>
    <w:rsid w:val="00B721D5"/>
    <w:rsid w:val="00B81CB5"/>
    <w:rsid w:val="00B8351F"/>
    <w:rsid w:val="00B86C44"/>
    <w:rsid w:val="00B9727C"/>
    <w:rsid w:val="00BA5CE6"/>
    <w:rsid w:val="00BA610A"/>
    <w:rsid w:val="00BA7D44"/>
    <w:rsid w:val="00BD6EF3"/>
    <w:rsid w:val="00BE5C7C"/>
    <w:rsid w:val="00BE5E5F"/>
    <w:rsid w:val="00BE69C3"/>
    <w:rsid w:val="00C034CF"/>
    <w:rsid w:val="00C1165E"/>
    <w:rsid w:val="00C22074"/>
    <w:rsid w:val="00C2377B"/>
    <w:rsid w:val="00C3693C"/>
    <w:rsid w:val="00C53F6F"/>
    <w:rsid w:val="00C5489D"/>
    <w:rsid w:val="00C71759"/>
    <w:rsid w:val="00C72BA6"/>
    <w:rsid w:val="00C8199C"/>
    <w:rsid w:val="00C83F8A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74AC"/>
    <w:rsid w:val="00D25120"/>
    <w:rsid w:val="00D34E31"/>
    <w:rsid w:val="00D419CB"/>
    <w:rsid w:val="00D44350"/>
    <w:rsid w:val="00D44E3F"/>
    <w:rsid w:val="00D46FB4"/>
    <w:rsid w:val="00D525F5"/>
    <w:rsid w:val="00D535D0"/>
    <w:rsid w:val="00D62C78"/>
    <w:rsid w:val="00D641D6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5F9B"/>
    <w:rsid w:val="00E10821"/>
    <w:rsid w:val="00E165ED"/>
    <w:rsid w:val="00E2489D"/>
    <w:rsid w:val="00E25C06"/>
    <w:rsid w:val="00E26520"/>
    <w:rsid w:val="00E343A3"/>
    <w:rsid w:val="00E3638E"/>
    <w:rsid w:val="00E45BAD"/>
    <w:rsid w:val="00E51BFA"/>
    <w:rsid w:val="00E52CF1"/>
    <w:rsid w:val="00E621A3"/>
    <w:rsid w:val="00E6633F"/>
    <w:rsid w:val="00E77D29"/>
    <w:rsid w:val="00E833BC"/>
    <w:rsid w:val="00E8580E"/>
    <w:rsid w:val="00EA1B76"/>
    <w:rsid w:val="00EA77D7"/>
    <w:rsid w:val="00EC09B9"/>
    <w:rsid w:val="00EC55B9"/>
    <w:rsid w:val="00ED048C"/>
    <w:rsid w:val="00ED4B29"/>
    <w:rsid w:val="00EF38AF"/>
    <w:rsid w:val="00F030EC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7925"/>
    <w:rsid w:val="00F8654D"/>
    <w:rsid w:val="00F900C9"/>
    <w:rsid w:val="00F92C96"/>
    <w:rsid w:val="00F93542"/>
    <w:rsid w:val="00F93968"/>
    <w:rsid w:val="00FA0D4E"/>
    <w:rsid w:val="00FB0753"/>
    <w:rsid w:val="00FB5CC8"/>
    <w:rsid w:val="00FC2CD0"/>
    <w:rsid w:val="00FD0594"/>
    <w:rsid w:val="00FD080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FDE1ABF-BE3B-4406-B2A2-E7131095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TableText">
    <w:name w:val="Table_Text"/>
    <w:basedOn w:val="Normal"/>
    <w:link w:val="TableTextChar"/>
    <w:qFormat/>
    <w:rsid w:val="006A74D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val="en-GB" w:bidi="ar-EG"/>
    </w:rPr>
  </w:style>
  <w:style w:type="character" w:customStyle="1" w:styleId="TableTextChar">
    <w:name w:val="Table_Text Char"/>
    <w:basedOn w:val="DefaultParagraphFont"/>
    <w:link w:val="TableText"/>
    <w:locked/>
    <w:rsid w:val="006A74DE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6A74D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0">
    <w:name w:val="Table_Head"/>
    <w:basedOn w:val="Normal"/>
    <w:next w:val="Normal"/>
    <w:qFormat/>
    <w:rsid w:val="006A74DE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paragraph" w:customStyle="1" w:styleId="ResolutionNo">
    <w:name w:val="Resolution No"/>
    <w:basedOn w:val="Normal"/>
    <w:qFormat/>
    <w:rsid w:val="007E268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7E268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character" w:customStyle="1" w:styleId="NoteChar">
    <w:name w:val="Note Char"/>
    <w:basedOn w:val="DefaultParagraphFont"/>
    <w:link w:val="Note"/>
    <w:rsid w:val="007E268B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AnnexNoChar">
    <w:name w:val="Annex_No Char"/>
    <w:basedOn w:val="DefaultParagraphFont"/>
    <w:link w:val="AnnexNo"/>
    <w:rsid w:val="007E268B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R15-WRC15-C-0009!A2-A3!MSW-A</DPM_x0020_File_x0020_name>
    <DPM_x0020_Author xmlns="32a1a8c5-2265-4ebc-b7a0-2071e2c5c9bb" xsi:nil="false">Documents Proposals Manager (DPM)</DPM_x0020_Author>
    <DPM_x0020_Version xmlns="32a1a8c5-2265-4ebc-b7a0-2071e2c5c9bb" xsi:nil="false">DPM_v5.2015.11.94_prod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D76B92-50B3-4284-B3EE-503C4CDCFEE2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BC4603-27EC-41AF-95E1-3F28F712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937</Words>
  <Characters>4707</Characters>
  <Application>Microsoft Office Word</Application>
  <DocSecurity>0</DocSecurity>
  <Lines>127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R15-WRC15-C-0009!A2-A3!MSW-A</vt:lpstr>
    </vt:vector>
  </TitlesOfParts>
  <Manager>General Secretariat - Pool</Manager>
  <Company>International Telecommunication Union (ITU)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R15-WRC15-C-0009!A2-A3!MSW-A</dc:title>
  <dc:creator>Documents Proposals Manager (DPM)</dc:creator>
  <cp:keywords>DPM_v5.2015.11.94_prod</cp:keywords>
  <cp:lastModifiedBy>Awad, Samy</cp:lastModifiedBy>
  <cp:revision>59</cp:revision>
  <cp:lastPrinted>2015-11-09T19:26:00Z</cp:lastPrinted>
  <dcterms:created xsi:type="dcterms:W3CDTF">2015-11-09T18:19:00Z</dcterms:created>
  <dcterms:modified xsi:type="dcterms:W3CDTF">2015-11-09T21:43:00Z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