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COMMITTEE 4</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3 to</w:t>
            </w:r>
            <w:r>
              <w:rPr>
                <w:rFonts w:ascii="Verdana" w:eastAsia="SimSun" w:hAnsi="Verdana" w:cs="Traditional Arabic"/>
                <w:b/>
                <w:sz w:val="20"/>
              </w:rPr>
              <w:br/>
              <w:t>Document 9(Add.2)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6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1.2</w:t>
            </w:r>
          </w:p>
        </w:tc>
      </w:tr>
    </w:tbl>
    <w:bookmarkEnd w:id="6"/>
    <w:bookmarkEnd w:id="7"/>
    <w:p w:rsidR="005118F7" w:rsidRPr="009A2B70" w:rsidRDefault="006B472C" w:rsidP="00847FF8">
      <w:pPr>
        <w:overflowPunct/>
        <w:autoSpaceDE/>
        <w:autoSpaceDN/>
        <w:adjustRightInd/>
        <w:textAlignment w:val="auto"/>
      </w:pPr>
      <w:r w:rsidRPr="009A2B70">
        <w:t>1.2</w:t>
      </w:r>
      <w:r w:rsidRPr="009A2B70">
        <w:tab/>
        <w:t>to examine the results of ITU</w:t>
      </w:r>
      <w:r w:rsidRPr="009A2B70">
        <w:noBreakHyphen/>
        <w:t xml:space="preserve">R studies, in accordance with Resolution </w:t>
      </w:r>
      <w:r w:rsidRPr="009A2B70">
        <w:rPr>
          <w:b/>
          <w:bCs/>
        </w:rPr>
        <w:t>232 (WRC</w:t>
      </w:r>
      <w:r w:rsidRPr="009A2B70">
        <w:rPr>
          <w:b/>
          <w:bCs/>
        </w:rPr>
        <w:noBreakHyphen/>
        <w:t>12)</w:t>
      </w:r>
      <w:r w:rsidRPr="009A2B70">
        <w:t>, on the use of the frequency band 694-790 MHz by the mobile, except aeronautical mobile, service in Region 1 and take the appropriate measures;</w:t>
      </w:r>
    </w:p>
    <w:p w:rsidR="008D176C" w:rsidRDefault="008D176C" w:rsidP="00291297"/>
    <w:p w:rsidR="00291297" w:rsidRPr="00AB4563" w:rsidRDefault="00291297" w:rsidP="00735074">
      <w:r w:rsidRPr="00AB4563">
        <w:t xml:space="preserve">WRC-15 Agenda item 1.2 deals with studies conducted under Resolution 232 (WRC-12) about the use of the frequency band 694-790 MHz by the mobile, except aeronautical mobile, service in Region 1. The work carried out at ITU-R in </w:t>
      </w:r>
      <w:r w:rsidR="00EC7D2E">
        <w:t>preparation of WRC-15 for that a</w:t>
      </w:r>
      <w:r w:rsidRPr="00AB4563">
        <w:t xml:space="preserve">genda item (conducted by JTG 4-5-6-7) has been focused on </w:t>
      </w:r>
      <w:r w:rsidR="00735074">
        <w:t>four</w:t>
      </w:r>
      <w:r w:rsidR="00460CB9">
        <w:t xml:space="preserve"> issues:</w:t>
      </w:r>
    </w:p>
    <w:p w:rsidR="00291297" w:rsidRPr="00AB4563" w:rsidRDefault="00291297" w:rsidP="00735074">
      <w:pPr>
        <w:pStyle w:val="enumlev1"/>
      </w:pPr>
      <w:r w:rsidRPr="00AB4563">
        <w:t>•</w:t>
      </w:r>
      <w:r w:rsidRPr="00AB4563">
        <w:tab/>
        <w:t>Issue A: Option for the refinement of the lower edge (see Add</w:t>
      </w:r>
      <w:r w:rsidR="00735074">
        <w:t>.</w:t>
      </w:r>
      <w:r w:rsidRPr="00AB4563">
        <w:t>1 to Add</w:t>
      </w:r>
      <w:r w:rsidR="00735074">
        <w:t>.</w:t>
      </w:r>
      <w:r w:rsidRPr="00AB4563">
        <w:t>2 to 009)</w:t>
      </w:r>
    </w:p>
    <w:p w:rsidR="00291297" w:rsidRPr="00AB4563" w:rsidRDefault="00291297" w:rsidP="00735074">
      <w:pPr>
        <w:pStyle w:val="enumlev1"/>
      </w:pPr>
      <w:r w:rsidRPr="00AB4563">
        <w:t>•</w:t>
      </w:r>
      <w:r w:rsidRPr="00AB4563">
        <w:tab/>
        <w:t>Issue B: technical and regulatory conditions applicable to the mobile service concerning the compatibility between the mobile service (MS) and the broadcasting service (BS) (see Add</w:t>
      </w:r>
      <w:r w:rsidR="00735074">
        <w:t>.</w:t>
      </w:r>
      <w:r w:rsidRPr="00AB4563">
        <w:t>2 to Add</w:t>
      </w:r>
      <w:r w:rsidR="00735074">
        <w:t>.</w:t>
      </w:r>
      <w:r w:rsidRPr="00AB4563">
        <w:t>2 to 009).</w:t>
      </w:r>
    </w:p>
    <w:p w:rsidR="00291297" w:rsidRPr="00AB4563" w:rsidRDefault="00291297" w:rsidP="00735074">
      <w:pPr>
        <w:pStyle w:val="enumlev1"/>
      </w:pPr>
      <w:r w:rsidRPr="00AB4563">
        <w:t>•</w:t>
      </w:r>
      <w:r w:rsidRPr="00AB4563">
        <w:tab/>
        <w:t xml:space="preserve">Issue C: Technical and regulatory conditions applicable to MS concerning the compatibility between the MS and the aeronautical radionavigation service (ARNS) for the countries listed in No. </w:t>
      </w:r>
      <w:r w:rsidRPr="00291297">
        <w:rPr>
          <w:rStyle w:val="Strong"/>
          <w:b w:val="0"/>
          <w:bCs w:val="0"/>
        </w:rPr>
        <w:t>5.312</w:t>
      </w:r>
      <w:r w:rsidRPr="00AB4563">
        <w:t xml:space="preserve"> (see Add</w:t>
      </w:r>
      <w:r w:rsidR="00735074">
        <w:t>.</w:t>
      </w:r>
      <w:r w:rsidRPr="00AB4563">
        <w:t>3 to Add</w:t>
      </w:r>
      <w:r w:rsidR="00735074">
        <w:t>.</w:t>
      </w:r>
      <w:r w:rsidRPr="00AB4563">
        <w:t>2 to 009).</w:t>
      </w:r>
    </w:p>
    <w:p w:rsidR="00291297" w:rsidRPr="00AB4563" w:rsidRDefault="00291297" w:rsidP="00735074">
      <w:pPr>
        <w:pStyle w:val="enumlev1"/>
      </w:pPr>
      <w:r w:rsidRPr="00AB4563">
        <w:t>•</w:t>
      </w:r>
      <w:r w:rsidRPr="00AB4563">
        <w:tab/>
        <w:t>Issue D: Solutions for accommodating the requirements for applications ancillary to broadcasting (see Add</w:t>
      </w:r>
      <w:r w:rsidR="00735074">
        <w:t>.</w:t>
      </w:r>
      <w:r w:rsidRPr="00AB4563">
        <w:t>1 to Add</w:t>
      </w:r>
      <w:r w:rsidR="00735074">
        <w:t>.</w:t>
      </w:r>
      <w:r w:rsidRPr="00AB4563">
        <w:t>2 to 009).</w:t>
      </w:r>
      <w:r w:rsidRPr="00AB4563">
        <w:t> </w:t>
      </w:r>
    </w:p>
    <w:p w:rsidR="008D176C" w:rsidRDefault="00735074" w:rsidP="00291297">
      <w:pPr>
        <w:rPr>
          <w:b/>
          <w:bCs/>
        </w:rPr>
      </w:pPr>
      <w:r>
        <w:t>Europe recogniz</w:t>
      </w:r>
      <w:r w:rsidR="00291297" w:rsidRPr="008D176C">
        <w:t>es that WRC-12 decided that the mobile allocation in the band 694-790 MHz is subject to agreement obtained under No</w:t>
      </w:r>
      <w:r w:rsidR="00291297" w:rsidRPr="008D176C">
        <w:rPr>
          <w:b/>
          <w:bCs/>
        </w:rPr>
        <w:t xml:space="preserve">. </w:t>
      </w:r>
      <w:r w:rsidR="00291297" w:rsidRPr="008D176C">
        <w:rPr>
          <w:rStyle w:val="Strong"/>
          <w:b w:val="0"/>
          <w:bCs w:val="0"/>
        </w:rPr>
        <w:t>9.21</w:t>
      </w:r>
      <w:r w:rsidR="00291297" w:rsidRPr="008D176C">
        <w:t xml:space="preserve"> with respect to the aeronautical radionavigation service (ARNS) in the countries listed in No</w:t>
      </w:r>
      <w:r w:rsidR="00291297" w:rsidRPr="00AE1CE6">
        <w:t>.</w:t>
      </w:r>
      <w:r w:rsidR="00291297" w:rsidRPr="008D176C">
        <w:rPr>
          <w:b/>
          <w:bCs/>
        </w:rPr>
        <w:t xml:space="preserve"> </w:t>
      </w:r>
      <w:r w:rsidR="00291297" w:rsidRPr="008D176C">
        <w:rPr>
          <w:rStyle w:val="Strong"/>
          <w:b w:val="0"/>
          <w:bCs w:val="0"/>
        </w:rPr>
        <w:t>5.312</w:t>
      </w:r>
      <w:r w:rsidR="00291297" w:rsidRPr="00AE1CE6">
        <w:t>.</w:t>
      </w:r>
    </w:p>
    <w:p w:rsidR="006B472C" w:rsidRDefault="006B472C">
      <w:pPr>
        <w:tabs>
          <w:tab w:val="clear" w:pos="1134"/>
          <w:tab w:val="clear" w:pos="1871"/>
          <w:tab w:val="clear" w:pos="2268"/>
        </w:tabs>
        <w:overflowPunct/>
        <w:autoSpaceDE/>
        <w:autoSpaceDN/>
        <w:adjustRightInd/>
        <w:spacing w:before="0"/>
        <w:textAlignment w:val="auto"/>
        <w:rPr>
          <w:b/>
          <w:bCs/>
          <w:lang w:val="en-US"/>
        </w:rPr>
      </w:pPr>
      <w:r>
        <w:rPr>
          <w:lang w:val="en-US"/>
        </w:rPr>
        <w:br w:type="page"/>
      </w:r>
    </w:p>
    <w:p w:rsidR="008D176C" w:rsidRPr="00B92707" w:rsidRDefault="008D176C" w:rsidP="00735074">
      <w:pPr>
        <w:pStyle w:val="Heading1"/>
        <w:rPr>
          <w:lang w:val="en-US"/>
        </w:rPr>
      </w:pPr>
      <w:r w:rsidRPr="00B92707">
        <w:rPr>
          <w:lang w:val="en-US"/>
        </w:rPr>
        <w:lastRenderedPageBreak/>
        <w:t>1</w:t>
      </w:r>
      <w:r w:rsidRPr="00B92707">
        <w:rPr>
          <w:lang w:val="en-US"/>
        </w:rPr>
        <w:tab/>
        <w:t>Methods supported by Europe</w:t>
      </w:r>
    </w:p>
    <w:p w:rsidR="008D176C" w:rsidRDefault="008D176C" w:rsidP="008D176C">
      <w:pPr>
        <w:pStyle w:val="Headingi"/>
      </w:pPr>
      <w:r w:rsidRPr="00AB4563">
        <w:rPr>
          <w:rStyle w:val="Strong"/>
        </w:rPr>
        <w:t>Issue C</w:t>
      </w:r>
      <w:r w:rsidRPr="00AB4563">
        <w:t xml:space="preserve">: </w:t>
      </w:r>
      <w:r w:rsidRPr="00AB4563">
        <w:tab/>
        <w:t>Technical and regulatory conditions applicable to the mobile service concerning the compatibility between the mobile service and the aeronautical radionavigation service</w:t>
      </w:r>
      <w:r>
        <w:t xml:space="preserve"> for the countries listed in </w:t>
      </w:r>
      <w:r w:rsidRPr="00AB4563">
        <w:t xml:space="preserve">No. </w:t>
      </w:r>
      <w:r w:rsidRPr="00AB4563">
        <w:rPr>
          <w:rStyle w:val="Strong"/>
        </w:rPr>
        <w:t>5.312</w:t>
      </w:r>
      <w:r>
        <w:rPr>
          <w:rStyle w:val="Strong"/>
        </w:rPr>
        <w:t>.</w:t>
      </w:r>
    </w:p>
    <w:p w:rsidR="008D176C" w:rsidRPr="00735074" w:rsidRDefault="008D176C" w:rsidP="00735074">
      <w:r w:rsidRPr="00735074">
        <w:t xml:space="preserve">No. </w:t>
      </w:r>
      <w:r w:rsidRPr="00735074">
        <w:rPr>
          <w:rStyle w:val="Strong"/>
        </w:rPr>
        <w:t>9.21</w:t>
      </w:r>
      <w:r w:rsidRPr="00735074">
        <w:t xml:space="preserve"> applies to the mobile service in relation to the aeronautical radionavigation service in the 694-790 MHz frequency band.</w:t>
      </w:r>
    </w:p>
    <w:p w:rsidR="008D176C" w:rsidRPr="00735074" w:rsidRDefault="008D176C" w:rsidP="00735074">
      <w:r w:rsidRPr="00735074">
        <w:t>Europe proposes to include in a WRC Resolu</w:t>
      </w:r>
      <w:r w:rsidR="00460CB9">
        <w:t>tion the criteria for the</w:t>
      </w:r>
      <w:r w:rsidRPr="00735074">
        <w:t xml:space="preserve"> identification of potentially affected administrations using the aeronautical radionavigation service in countries listed in No. </w:t>
      </w:r>
      <w:r w:rsidRPr="00735074">
        <w:rPr>
          <w:rStyle w:val="Strong"/>
        </w:rPr>
        <w:t>5.312</w:t>
      </w:r>
      <w:r w:rsidRPr="00735074">
        <w:t>.</w:t>
      </w:r>
    </w:p>
    <w:p w:rsidR="008D176C" w:rsidRPr="00B92707" w:rsidRDefault="008D176C" w:rsidP="00735074">
      <w:pPr>
        <w:pStyle w:val="Heading1"/>
        <w:rPr>
          <w:lang w:val="en-US"/>
        </w:rPr>
      </w:pPr>
      <w:r w:rsidRPr="00B92707">
        <w:rPr>
          <w:lang w:val="en-US"/>
        </w:rPr>
        <w:t>2</w:t>
      </w:r>
      <w:r w:rsidRPr="00B92707">
        <w:rPr>
          <w:lang w:val="en-US"/>
        </w:rPr>
        <w:tab/>
        <w:t>Regulatory provisions supported by Europe</w:t>
      </w:r>
    </w:p>
    <w:p w:rsidR="001A1A63" w:rsidRDefault="006B472C">
      <w:pPr>
        <w:pStyle w:val="Proposal"/>
      </w:pPr>
      <w:r>
        <w:t>ADD</w:t>
      </w:r>
      <w:r>
        <w:tab/>
        <w:t>EUR/9A2A3/1</w:t>
      </w:r>
    </w:p>
    <w:p w:rsidR="001A1A63" w:rsidRDefault="006B472C" w:rsidP="008D176C">
      <w:pPr>
        <w:pStyle w:val="ResNo"/>
      </w:pPr>
      <w:r>
        <w:t>Draft New Resolution [EUR-</w:t>
      </w:r>
      <w:r w:rsidR="00991362">
        <w:t>A1</w:t>
      </w:r>
      <w:r w:rsidR="008D176C" w:rsidRPr="00315E64">
        <w:t>2] (WRC-15)</w:t>
      </w:r>
    </w:p>
    <w:p w:rsidR="001A1A63" w:rsidRDefault="008D176C" w:rsidP="008D176C">
      <w:pPr>
        <w:pStyle w:val="Restitle"/>
      </w:pPr>
      <w:r w:rsidRPr="00315E64">
        <w:t>Provisions relating to the use of the band 694-790 MHz in Region 1 by the mobile, except aeronautical mobile, service and by other services</w:t>
      </w:r>
    </w:p>
    <w:p w:rsidR="008D176C" w:rsidRDefault="008D176C" w:rsidP="008D176C">
      <w:pPr>
        <w:pStyle w:val="Normalaftertitle"/>
      </w:pPr>
      <w:r w:rsidRPr="00315E64">
        <w:t>The World Radiocommunication Conference (Geneva, 2015),</w:t>
      </w:r>
    </w:p>
    <w:p w:rsidR="008D176C" w:rsidRPr="00D249AA" w:rsidRDefault="008D176C" w:rsidP="008D176C">
      <w:r>
        <w:t>…</w:t>
      </w:r>
    </w:p>
    <w:p w:rsidR="008D176C" w:rsidRDefault="008D176C" w:rsidP="008D176C">
      <w:pPr>
        <w:pStyle w:val="Call"/>
      </w:pPr>
      <w:r>
        <w:t>noting</w:t>
      </w:r>
    </w:p>
    <w:p w:rsidR="008D176C" w:rsidRDefault="008D176C" w:rsidP="00735074">
      <w:r>
        <w:t>…</w:t>
      </w:r>
    </w:p>
    <w:p w:rsidR="008D176C" w:rsidRDefault="008D176C" w:rsidP="00735074">
      <w:r w:rsidRPr="00735074">
        <w:rPr>
          <w:i/>
          <w:iCs/>
        </w:rPr>
        <w:t>f)</w:t>
      </w:r>
      <w:r>
        <w:tab/>
        <w:t xml:space="preserve">that bilateral coordination agreements have already been reached and will be used by </w:t>
      </w:r>
      <w:r w:rsidR="00735074">
        <w:t>a</w:t>
      </w:r>
      <w:r>
        <w:t xml:space="preserve">dministrations as an agreement obtained under No. </w:t>
      </w:r>
      <w:r w:rsidRPr="004C3937">
        <w:rPr>
          <w:rStyle w:val="Strong"/>
        </w:rPr>
        <w:t>9.21</w:t>
      </w:r>
      <w:r>
        <w:t xml:space="preserve"> with respect to ARNS.</w:t>
      </w:r>
    </w:p>
    <w:p w:rsidR="008D176C" w:rsidRDefault="008D176C" w:rsidP="008D176C">
      <w:pPr>
        <w:pStyle w:val="Tabletext"/>
      </w:pPr>
      <w:r>
        <w:t>…</w:t>
      </w:r>
    </w:p>
    <w:p w:rsidR="008D176C" w:rsidRDefault="008D176C" w:rsidP="008D176C">
      <w:pPr>
        <w:pStyle w:val="Call"/>
      </w:pPr>
      <w:r>
        <w:t>resolves</w:t>
      </w:r>
    </w:p>
    <w:p w:rsidR="008D176C" w:rsidRPr="009C660F" w:rsidRDefault="008D176C" w:rsidP="008D176C">
      <w:r>
        <w:t>…</w:t>
      </w:r>
    </w:p>
    <w:p w:rsidR="008D176C" w:rsidRDefault="008D176C" w:rsidP="008D176C">
      <w:r>
        <w:t>2</w:t>
      </w:r>
      <w:r>
        <w:tab/>
      </w:r>
      <w:r w:rsidRPr="00C71EDA">
        <w:t>that the use of the frequency band 694-790 MHz by the mobile service is subject to agreement obtained under No. </w:t>
      </w:r>
      <w:r w:rsidRPr="00C71EDA">
        <w:rPr>
          <w:rStyle w:val="Strong"/>
        </w:rPr>
        <w:t>9.21</w:t>
      </w:r>
      <w:r w:rsidRPr="00C71EDA">
        <w:t xml:space="preserve"> with respect to the aeronautical radionavigation service in the 694-790 MHz frequency band in countries listed in No. </w:t>
      </w:r>
      <w:r w:rsidRPr="00C71EDA">
        <w:rPr>
          <w:rStyle w:val="Strong"/>
        </w:rPr>
        <w:t>5.312</w:t>
      </w:r>
      <w:r w:rsidRPr="00C71EDA">
        <w:t xml:space="preserve">, and the criteria for identification of the affected administrations are provided in Annex 1 to this Resolution; </w:t>
      </w:r>
    </w:p>
    <w:p w:rsidR="008D176C" w:rsidRPr="00B92707" w:rsidRDefault="00735074" w:rsidP="00735074">
      <w:pPr>
        <w:pStyle w:val="Note"/>
      </w:pPr>
      <w:r w:rsidRPr="00AE1CE6">
        <w:rPr>
          <w:highlight w:val="yellow"/>
        </w:rPr>
        <w:t>Editor</w:t>
      </w:r>
      <w:r w:rsidR="00460CB9" w:rsidRPr="00AE1CE6">
        <w:rPr>
          <w:highlight w:val="yellow"/>
        </w:rPr>
        <w:t>’</w:t>
      </w:r>
      <w:r w:rsidRPr="00AE1CE6">
        <w:rPr>
          <w:highlight w:val="yellow"/>
        </w:rPr>
        <w:t xml:space="preserve">s Note 1 – </w:t>
      </w:r>
      <w:r w:rsidR="008D176C" w:rsidRPr="00AE1CE6">
        <w:rPr>
          <w:highlight w:val="yellow"/>
        </w:rPr>
        <w:t xml:space="preserve">Further notings and resolves regarding Issue A and D are subject to </w:t>
      </w:r>
      <w:r w:rsidR="008D176C" w:rsidRPr="00AE1CE6">
        <w:rPr>
          <w:highlight w:val="yellow"/>
          <w:lang w:val="en-US"/>
        </w:rPr>
        <w:t>Add</w:t>
      </w:r>
      <w:r w:rsidR="008D176C" w:rsidRPr="00AE1CE6">
        <w:rPr>
          <w:highlight w:val="yellow"/>
        </w:rPr>
        <w:t>endum</w:t>
      </w:r>
      <w:r w:rsidRPr="00AE1CE6">
        <w:rPr>
          <w:highlight w:val="yellow"/>
        </w:rPr>
        <w:t> </w:t>
      </w:r>
      <w:r w:rsidR="008D176C" w:rsidRPr="00AE1CE6">
        <w:rPr>
          <w:highlight w:val="yellow"/>
          <w:lang w:val="en-US"/>
        </w:rPr>
        <w:t>1 to Addendum 2</w:t>
      </w:r>
      <w:r w:rsidR="008D176C" w:rsidRPr="00AE1CE6">
        <w:rPr>
          <w:highlight w:val="yellow"/>
        </w:rPr>
        <w:t xml:space="preserve"> to Document 9.</w:t>
      </w:r>
      <w:bookmarkStart w:id="8" w:name="_GoBack"/>
      <w:bookmarkEnd w:id="8"/>
    </w:p>
    <w:p w:rsidR="006B472C" w:rsidRDefault="006B472C">
      <w:pPr>
        <w:tabs>
          <w:tab w:val="clear" w:pos="1134"/>
          <w:tab w:val="clear" w:pos="1871"/>
          <w:tab w:val="clear" w:pos="2268"/>
        </w:tabs>
        <w:overflowPunct/>
        <w:autoSpaceDE/>
        <w:autoSpaceDN/>
        <w:adjustRightInd/>
        <w:spacing w:before="0"/>
        <w:textAlignment w:val="auto"/>
        <w:rPr>
          <w:rFonts w:eastAsia="SimSun"/>
          <w:caps/>
          <w:sz w:val="28"/>
        </w:rPr>
      </w:pPr>
      <w:r>
        <w:rPr>
          <w:rFonts w:eastAsia="SimSun"/>
        </w:rPr>
        <w:br w:type="page"/>
      </w:r>
    </w:p>
    <w:p w:rsidR="008D176C" w:rsidRPr="00BF2597" w:rsidRDefault="008D176C" w:rsidP="008D176C">
      <w:pPr>
        <w:pStyle w:val="AnnexNo"/>
        <w:rPr>
          <w:rFonts w:eastAsia="SimSun"/>
        </w:rPr>
      </w:pPr>
      <w:r w:rsidRPr="00BF2597">
        <w:rPr>
          <w:rFonts w:eastAsia="SimSun"/>
        </w:rPr>
        <w:t xml:space="preserve">Annex 1 to Resolution </w:t>
      </w:r>
      <w:r w:rsidRPr="001974D3">
        <w:t>[EUR</w:t>
      </w:r>
      <w:r>
        <w:t>-</w:t>
      </w:r>
      <w:r w:rsidR="00205627">
        <w:t>A1</w:t>
      </w:r>
      <w:r w:rsidRPr="001974D3">
        <w:t>2]</w:t>
      </w:r>
      <w:r w:rsidRPr="00BF2597">
        <w:rPr>
          <w:rFonts w:eastAsia="SimSun"/>
        </w:rPr>
        <w:t xml:space="preserve"> (WRC-15)</w:t>
      </w:r>
    </w:p>
    <w:p w:rsidR="008D176C" w:rsidRPr="005B2518" w:rsidRDefault="008D176C" w:rsidP="008D176C">
      <w:pPr>
        <w:pStyle w:val="Annextitle"/>
      </w:pPr>
      <w:r w:rsidRPr="005B2518">
        <w:t xml:space="preserve">The criteria for identifying potentially affected administrations in the frequency </w:t>
      </w:r>
      <w:r w:rsidRPr="005B2518">
        <w:br/>
        <w:t xml:space="preserve">band 694-790 MHz with respect to the aeronautical radionavigation service </w:t>
      </w:r>
      <w:r w:rsidRPr="005B2518">
        <w:br/>
        <w:t>countries listed in No. 5.312</w:t>
      </w:r>
    </w:p>
    <w:p w:rsidR="008D176C" w:rsidRPr="00C71EDA" w:rsidRDefault="008D176C" w:rsidP="00735074">
      <w:pPr>
        <w:pStyle w:val="Normalaftertitle"/>
      </w:pPr>
      <w:r w:rsidRPr="00C71EDA">
        <w:t>To identify potentially affected administrations when applying the procedure for seeking agreement under No. </w:t>
      </w:r>
      <w:r w:rsidRPr="00C71EDA">
        <w:rPr>
          <w:rStyle w:val="Strong"/>
        </w:rPr>
        <w:t>9.21</w:t>
      </w:r>
      <w:r w:rsidRPr="00C71EDA">
        <w:t xml:space="preserve"> by the mobile service (MS) with respect to the aeronautical radionavigation service (ARNS) operating in countries mentioned in No. </w:t>
      </w:r>
      <w:r w:rsidRPr="00C71EDA">
        <w:rPr>
          <w:rStyle w:val="Strong"/>
        </w:rPr>
        <w:t>5.312</w:t>
      </w:r>
      <w:r w:rsidRPr="00C71EDA">
        <w:t xml:space="preserve">, the coordination distances (between a base station in MS and a potentially affected ARNS station) indicated below should be used. </w:t>
      </w:r>
    </w:p>
    <w:p w:rsidR="008D176C" w:rsidRDefault="008D176C" w:rsidP="008D176C">
      <w:r w:rsidRPr="00C71EDA">
        <w:t>When notifying, administrations may indicate in the notice sent to BR the list of administrations with which bilateral agreement has already been reached. BR shall take this into account in determining the administrations with which coordination under No. </w:t>
      </w:r>
      <w:r w:rsidRPr="00C71EDA">
        <w:rPr>
          <w:rStyle w:val="Strong"/>
        </w:rPr>
        <w:t>9.21</w:t>
      </w:r>
      <w:r w:rsidRPr="00C71EDA">
        <w:t xml:space="preserve"> is required. </w:t>
      </w:r>
    </w:p>
    <w:p w:rsidR="008D176C" w:rsidRPr="00B92707" w:rsidRDefault="008D176C" w:rsidP="00735074">
      <w:pPr>
        <w:pStyle w:val="Heading1"/>
        <w:rPr>
          <w:lang w:val="en-US"/>
        </w:rPr>
      </w:pPr>
      <w:r w:rsidRPr="00B92707">
        <w:rPr>
          <w:lang w:val="en-US"/>
        </w:rPr>
        <w:t>1</w:t>
      </w:r>
      <w:r w:rsidRPr="00B92707">
        <w:rPr>
          <w:lang w:val="en-US"/>
        </w:rPr>
        <w:tab/>
        <w:t>The case of mobile service usage under the frequency allocation Plans when base stations transmit</w:t>
      </w:r>
      <w:r w:rsidR="00735074">
        <w:rPr>
          <w:lang w:val="en-US"/>
        </w:rPr>
        <w:t xml:space="preserve"> only in the frequency band 758-</w:t>
      </w:r>
      <w:r w:rsidRPr="00B92707">
        <w:rPr>
          <w:lang w:val="en-US"/>
        </w:rPr>
        <w:t xml:space="preserve">788 MHz and receive signals </w:t>
      </w:r>
      <w:r w:rsidR="00735074">
        <w:rPr>
          <w:lang w:val="en-US"/>
        </w:rPr>
        <w:t>only in the frequency band 703-</w:t>
      </w:r>
      <w:r w:rsidRPr="00B92707">
        <w:rPr>
          <w:lang w:val="en-US"/>
        </w:rPr>
        <w:t>733 MHz</w:t>
      </w:r>
    </w:p>
    <w:p w:rsidR="008D176C" w:rsidRPr="00BA21BC" w:rsidRDefault="008D176C" w:rsidP="008D176C">
      <w:pPr>
        <w:pStyle w:val="TableNo"/>
      </w:pPr>
      <w:r w:rsidRPr="00BA21BC">
        <w:t xml:space="preserve">Table </w:t>
      </w:r>
      <w:r>
        <w:t>X</w:t>
      </w:r>
    </w:p>
    <w:tbl>
      <w:tblPr>
        <w:tblW w:w="9797" w:type="dxa"/>
        <w:tblBorders>
          <w:top w:val="single" w:sz="2" w:space="0" w:color="2A004E"/>
          <w:left w:val="single" w:sz="2" w:space="0" w:color="2A004E"/>
          <w:bottom w:val="single" w:sz="2" w:space="0" w:color="2A004E"/>
          <w:right w:val="single" w:sz="2" w:space="0" w:color="2A004E"/>
          <w:insideH w:val="single" w:sz="2" w:space="0" w:color="2A004E"/>
          <w:insideV w:val="single" w:sz="2" w:space="0" w:color="2A004E"/>
        </w:tblBorders>
        <w:tblCellMar>
          <w:left w:w="0" w:type="dxa"/>
          <w:right w:w="0" w:type="dxa"/>
        </w:tblCellMar>
        <w:tblLook w:val="00A0" w:firstRow="1" w:lastRow="0" w:firstColumn="1" w:lastColumn="0" w:noHBand="0" w:noVBand="0"/>
      </w:tblPr>
      <w:tblGrid>
        <w:gridCol w:w="3598"/>
        <w:gridCol w:w="1660"/>
        <w:gridCol w:w="2234"/>
        <w:gridCol w:w="2305"/>
      </w:tblGrid>
      <w:tr w:rsidR="008D176C" w:rsidRPr="000813F0" w:rsidTr="005A47D4">
        <w:trPr>
          <w:tblHeader/>
        </w:trPr>
        <w:tc>
          <w:tcPr>
            <w:tcW w:w="3598" w:type="dxa"/>
            <w:shd w:val="clear" w:color="auto" w:fill="auto"/>
            <w:tcMar>
              <w:top w:w="15" w:type="dxa"/>
              <w:left w:w="108" w:type="dxa"/>
              <w:bottom w:w="0" w:type="dxa"/>
              <w:right w:w="108" w:type="dxa"/>
            </w:tcMar>
            <w:vAlign w:val="center"/>
            <w:hideMark/>
          </w:tcPr>
          <w:p w:rsidR="008D176C" w:rsidRPr="00A25958" w:rsidRDefault="008D176C" w:rsidP="005A47D4">
            <w:pPr>
              <w:pStyle w:val="Tablehead"/>
            </w:pPr>
            <w:r w:rsidRPr="00BA21BC">
              <w:t xml:space="preserve">ARNS </w:t>
            </w:r>
            <w:r w:rsidRPr="00A25958">
              <w:t>station</w:t>
            </w:r>
          </w:p>
        </w:tc>
        <w:tc>
          <w:tcPr>
            <w:tcW w:w="1660" w:type="dxa"/>
            <w:shd w:val="clear" w:color="auto" w:fill="auto"/>
            <w:tcMar>
              <w:top w:w="15" w:type="dxa"/>
              <w:left w:w="108" w:type="dxa"/>
              <w:bottom w:w="0" w:type="dxa"/>
              <w:right w:w="108" w:type="dxa"/>
            </w:tcMar>
            <w:vAlign w:val="center"/>
            <w:hideMark/>
          </w:tcPr>
          <w:p w:rsidR="008D176C" w:rsidRPr="00A25958" w:rsidRDefault="008D176C" w:rsidP="005A47D4">
            <w:pPr>
              <w:pStyle w:val="Tablehead"/>
            </w:pPr>
            <w:r w:rsidRPr="00BA21BC">
              <w:t>System type code</w:t>
            </w:r>
          </w:p>
        </w:tc>
        <w:tc>
          <w:tcPr>
            <w:tcW w:w="2234" w:type="dxa"/>
            <w:shd w:val="clear" w:color="auto" w:fill="auto"/>
            <w:tcMar>
              <w:top w:w="15" w:type="dxa"/>
              <w:left w:w="108" w:type="dxa"/>
              <w:bottom w:w="0" w:type="dxa"/>
              <w:right w:w="108" w:type="dxa"/>
            </w:tcMar>
            <w:vAlign w:val="center"/>
          </w:tcPr>
          <w:p w:rsidR="008D176C" w:rsidRPr="00A25958" w:rsidRDefault="008D176C" w:rsidP="005A47D4">
            <w:pPr>
              <w:pStyle w:val="Tablehead"/>
            </w:pPr>
            <w:r w:rsidRPr="00BA21BC">
              <w:t>Coordination distances for the receiving MS base stations (km)</w:t>
            </w:r>
          </w:p>
        </w:tc>
        <w:tc>
          <w:tcPr>
            <w:tcW w:w="2305" w:type="dxa"/>
            <w:shd w:val="clear" w:color="auto" w:fill="auto"/>
            <w:tcMar>
              <w:top w:w="15" w:type="dxa"/>
              <w:left w:w="108" w:type="dxa"/>
              <w:bottom w:w="0" w:type="dxa"/>
              <w:right w:w="108" w:type="dxa"/>
            </w:tcMar>
            <w:vAlign w:val="center"/>
            <w:hideMark/>
          </w:tcPr>
          <w:p w:rsidR="008D176C" w:rsidRPr="00A25958" w:rsidRDefault="008D176C" w:rsidP="005A47D4">
            <w:pPr>
              <w:pStyle w:val="Tablehead"/>
            </w:pPr>
            <w:r w:rsidRPr="00BA21BC">
              <w:t>Coordination distances for the transmitting MS base stations (km)</w:t>
            </w:r>
          </w:p>
        </w:tc>
      </w:tr>
      <w:tr w:rsidR="008D176C" w:rsidRPr="000813F0" w:rsidTr="00735074">
        <w:tc>
          <w:tcPr>
            <w:tcW w:w="3598" w:type="dxa"/>
            <w:tcBorders>
              <w:bottom w:val="single" w:sz="2" w:space="0" w:color="2A004E"/>
            </w:tcBorders>
            <w:shd w:val="clear" w:color="auto" w:fill="auto"/>
            <w:tcMar>
              <w:top w:w="15" w:type="dxa"/>
              <w:left w:w="108" w:type="dxa"/>
              <w:bottom w:w="0" w:type="dxa"/>
              <w:right w:w="108" w:type="dxa"/>
            </w:tcMar>
            <w:hideMark/>
          </w:tcPr>
          <w:p w:rsidR="008D176C" w:rsidRPr="00A25958" w:rsidRDefault="008D176C" w:rsidP="005A47D4">
            <w:pPr>
              <w:pStyle w:val="Tabletext"/>
            </w:pPr>
            <w:r w:rsidRPr="00BA21BC">
              <w:t>RSBN (ground receiver)</w:t>
            </w:r>
          </w:p>
        </w:tc>
        <w:tc>
          <w:tcPr>
            <w:tcW w:w="1660" w:type="dxa"/>
            <w:tcBorders>
              <w:bottom w:val="single" w:sz="2" w:space="0" w:color="2A004E"/>
            </w:tcBorders>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AA8</w:t>
            </w:r>
          </w:p>
        </w:tc>
        <w:tc>
          <w:tcPr>
            <w:tcW w:w="2234" w:type="dxa"/>
            <w:tcBorders>
              <w:bottom w:val="single" w:sz="2" w:space="0" w:color="2A004E"/>
            </w:tcBorders>
            <w:shd w:val="clear" w:color="auto" w:fill="auto"/>
            <w:tcMar>
              <w:top w:w="15" w:type="dxa"/>
              <w:left w:w="108" w:type="dxa"/>
              <w:bottom w:w="0" w:type="dxa"/>
              <w:right w:w="108" w:type="dxa"/>
            </w:tcMar>
            <w:vAlign w:val="center"/>
          </w:tcPr>
          <w:p w:rsidR="008D176C" w:rsidRPr="00A25958" w:rsidRDefault="00735074" w:rsidP="00735074">
            <w:pPr>
              <w:pStyle w:val="Tabletext"/>
              <w:jc w:val="center"/>
            </w:pPr>
            <w:r>
              <w:t>–</w:t>
            </w:r>
          </w:p>
        </w:tc>
        <w:tc>
          <w:tcPr>
            <w:tcW w:w="2305" w:type="dxa"/>
            <w:tcBorders>
              <w:bottom w:val="single" w:sz="2" w:space="0" w:color="2A004E"/>
            </w:tcBorders>
            <w:shd w:val="clear" w:color="auto" w:fill="auto"/>
            <w:tcMar>
              <w:top w:w="15" w:type="dxa"/>
              <w:left w:w="108" w:type="dxa"/>
              <w:bottom w:w="0" w:type="dxa"/>
              <w:right w:w="108" w:type="dxa"/>
            </w:tcMar>
            <w:vAlign w:val="center"/>
            <w:hideMark/>
          </w:tcPr>
          <w:p w:rsidR="008D176C" w:rsidRPr="00A25958" w:rsidRDefault="00735074" w:rsidP="00735074">
            <w:pPr>
              <w:pStyle w:val="Tabletext"/>
              <w:jc w:val="center"/>
            </w:pPr>
            <w:r>
              <w:t>70</w:t>
            </w:r>
            <w:r w:rsidR="008D176C" w:rsidRPr="00BA21BC">
              <w:t>/125/175*</w:t>
            </w:r>
          </w:p>
        </w:tc>
      </w:tr>
      <w:tr w:rsidR="008D176C" w:rsidRPr="000813F0" w:rsidTr="00735074">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c>
          <w:tcPr>
            <w:tcW w:w="9797" w:type="dxa"/>
            <w:gridSpan w:val="4"/>
            <w:tcBorders>
              <w:top w:val="single" w:sz="2" w:space="0" w:color="2A004E"/>
              <w:left w:val="nil"/>
              <w:bottom w:val="nil"/>
              <w:right w:val="nil"/>
            </w:tcBorders>
            <w:shd w:val="clear" w:color="auto" w:fill="auto"/>
            <w:tcMar>
              <w:top w:w="15" w:type="dxa"/>
              <w:left w:w="108" w:type="dxa"/>
              <w:bottom w:w="0" w:type="dxa"/>
              <w:right w:w="108" w:type="dxa"/>
            </w:tcMar>
            <w:hideMark/>
          </w:tcPr>
          <w:p w:rsidR="008D176C" w:rsidRPr="00A25958" w:rsidRDefault="008D176C" w:rsidP="005A47D4">
            <w:pPr>
              <w:pStyle w:val="Tabletext"/>
            </w:pPr>
            <w:r w:rsidRPr="00BA21BC">
              <w:t>*</w:t>
            </w:r>
            <w:r w:rsidRPr="00BA21BC">
              <w:tab/>
              <w:t xml:space="preserve">90% ≤ land path ≤ 100% / 50% ≤ land path &lt; 90%/0% </w:t>
            </w:r>
            <w:r w:rsidRPr="00A25958">
              <w:t>≤ land path&lt; 50% .</w:t>
            </w:r>
          </w:p>
        </w:tc>
      </w:tr>
    </w:tbl>
    <w:p w:rsidR="008D176C" w:rsidRPr="00735074" w:rsidRDefault="008D176C" w:rsidP="00735074">
      <w:pPr>
        <w:pStyle w:val="Heading1"/>
        <w:rPr>
          <w:lang w:val="en-US"/>
        </w:rPr>
      </w:pPr>
      <w:r w:rsidRPr="00735074">
        <w:rPr>
          <w:lang w:val="en-US"/>
        </w:rPr>
        <w:t>2</w:t>
      </w:r>
      <w:r w:rsidRPr="00735074">
        <w:rPr>
          <w:lang w:val="en-US"/>
        </w:rPr>
        <w:tab/>
        <w:t xml:space="preserve">Other cases </w:t>
      </w:r>
    </w:p>
    <w:tbl>
      <w:tblPr>
        <w:tblW w:w="9797" w:type="dxa"/>
        <w:tblInd w:w="111" w:type="dxa"/>
        <w:tblBorders>
          <w:top w:val="single" w:sz="2" w:space="0" w:color="2A004E"/>
          <w:left w:val="single" w:sz="2" w:space="0" w:color="2A004E"/>
          <w:bottom w:val="single" w:sz="2" w:space="0" w:color="2A004E"/>
          <w:right w:val="single" w:sz="2" w:space="0" w:color="2A004E"/>
          <w:insideH w:val="single" w:sz="2" w:space="0" w:color="2A004E"/>
          <w:insideV w:val="single" w:sz="2" w:space="0" w:color="2A004E"/>
        </w:tblBorders>
        <w:tblCellMar>
          <w:left w:w="0" w:type="dxa"/>
          <w:right w:w="0" w:type="dxa"/>
        </w:tblCellMar>
        <w:tblLook w:val="00A0" w:firstRow="1" w:lastRow="0" w:firstColumn="1" w:lastColumn="0" w:noHBand="0" w:noVBand="0"/>
      </w:tblPr>
      <w:tblGrid>
        <w:gridCol w:w="3598"/>
        <w:gridCol w:w="1660"/>
        <w:gridCol w:w="2234"/>
        <w:gridCol w:w="2305"/>
      </w:tblGrid>
      <w:tr w:rsidR="008D176C" w:rsidRPr="00DB34D3" w:rsidTr="00735074">
        <w:trPr>
          <w:tblHeader/>
        </w:trPr>
        <w:tc>
          <w:tcPr>
            <w:tcW w:w="3598" w:type="dxa"/>
            <w:shd w:val="clear" w:color="auto" w:fill="auto"/>
            <w:tcMar>
              <w:top w:w="15" w:type="dxa"/>
              <w:left w:w="108" w:type="dxa"/>
              <w:bottom w:w="0" w:type="dxa"/>
              <w:right w:w="108" w:type="dxa"/>
            </w:tcMar>
            <w:vAlign w:val="center"/>
            <w:hideMark/>
          </w:tcPr>
          <w:p w:rsidR="008D176C" w:rsidRPr="00A25958" w:rsidRDefault="008D176C" w:rsidP="005A47D4">
            <w:pPr>
              <w:pStyle w:val="Tablehead"/>
            </w:pPr>
            <w:r w:rsidRPr="00BA21BC">
              <w:t>ARNS station</w:t>
            </w:r>
          </w:p>
        </w:tc>
        <w:tc>
          <w:tcPr>
            <w:tcW w:w="1660" w:type="dxa"/>
            <w:shd w:val="clear" w:color="auto" w:fill="auto"/>
            <w:tcMar>
              <w:top w:w="15" w:type="dxa"/>
              <w:left w:w="108" w:type="dxa"/>
              <w:bottom w:w="0" w:type="dxa"/>
              <w:right w:w="108" w:type="dxa"/>
            </w:tcMar>
            <w:vAlign w:val="center"/>
            <w:hideMark/>
          </w:tcPr>
          <w:p w:rsidR="008D176C" w:rsidRPr="00A25958" w:rsidRDefault="008D176C" w:rsidP="005A47D4">
            <w:pPr>
              <w:pStyle w:val="Tablehead"/>
            </w:pPr>
            <w:r w:rsidRPr="00BA21BC">
              <w:t>System type code</w:t>
            </w:r>
          </w:p>
        </w:tc>
        <w:tc>
          <w:tcPr>
            <w:tcW w:w="2234" w:type="dxa"/>
            <w:shd w:val="clear" w:color="auto" w:fill="auto"/>
            <w:tcMar>
              <w:top w:w="15" w:type="dxa"/>
              <w:left w:w="108" w:type="dxa"/>
              <w:bottom w:w="0" w:type="dxa"/>
              <w:right w:w="108" w:type="dxa"/>
            </w:tcMar>
            <w:vAlign w:val="center"/>
            <w:hideMark/>
          </w:tcPr>
          <w:p w:rsidR="008D176C" w:rsidRPr="00A25958" w:rsidRDefault="008D176C" w:rsidP="005A47D4">
            <w:pPr>
              <w:pStyle w:val="Tablehead"/>
            </w:pPr>
            <w:r w:rsidRPr="00BA21BC">
              <w:t>Coordination distances for the receiving MS base stations (km)**</w:t>
            </w:r>
          </w:p>
        </w:tc>
        <w:tc>
          <w:tcPr>
            <w:tcW w:w="2305" w:type="dxa"/>
            <w:shd w:val="clear" w:color="auto" w:fill="auto"/>
            <w:tcMar>
              <w:top w:w="15" w:type="dxa"/>
              <w:left w:w="108" w:type="dxa"/>
              <w:bottom w:w="0" w:type="dxa"/>
              <w:right w:w="108" w:type="dxa"/>
            </w:tcMar>
            <w:vAlign w:val="center"/>
            <w:hideMark/>
          </w:tcPr>
          <w:p w:rsidR="008D176C" w:rsidRPr="00A25958" w:rsidRDefault="008D176C" w:rsidP="005A47D4">
            <w:pPr>
              <w:pStyle w:val="Tablehead"/>
            </w:pPr>
            <w:r w:rsidRPr="00BA21BC">
              <w:t>Coordination distances for the transmitting MS base stations (km)</w:t>
            </w:r>
          </w:p>
        </w:tc>
      </w:tr>
      <w:tr w:rsidR="008D176C" w:rsidRPr="00DB34D3" w:rsidTr="00735074">
        <w:tc>
          <w:tcPr>
            <w:tcW w:w="3598" w:type="dxa"/>
            <w:shd w:val="clear" w:color="auto" w:fill="auto"/>
            <w:tcMar>
              <w:top w:w="15" w:type="dxa"/>
              <w:left w:w="108" w:type="dxa"/>
              <w:bottom w:w="0" w:type="dxa"/>
              <w:right w:w="108" w:type="dxa"/>
            </w:tcMar>
            <w:hideMark/>
          </w:tcPr>
          <w:p w:rsidR="008D176C" w:rsidRPr="00A25958" w:rsidRDefault="008D176C" w:rsidP="005A47D4">
            <w:pPr>
              <w:pStyle w:val="Tabletext"/>
            </w:pPr>
            <w:r w:rsidRPr="00BA21BC">
              <w:t>RSBN</w:t>
            </w:r>
          </w:p>
        </w:tc>
        <w:tc>
          <w:tcPr>
            <w:tcW w:w="1660" w:type="dxa"/>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AA8</w:t>
            </w:r>
          </w:p>
        </w:tc>
        <w:tc>
          <w:tcPr>
            <w:tcW w:w="2234" w:type="dxa"/>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50</w:t>
            </w:r>
          </w:p>
        </w:tc>
        <w:tc>
          <w:tcPr>
            <w:tcW w:w="2305" w:type="dxa"/>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125/175*</w:t>
            </w:r>
          </w:p>
        </w:tc>
      </w:tr>
      <w:tr w:rsidR="008D176C" w:rsidRPr="00DB34D3" w:rsidTr="00735074">
        <w:tc>
          <w:tcPr>
            <w:tcW w:w="3598" w:type="dxa"/>
            <w:shd w:val="clear" w:color="auto" w:fill="auto"/>
            <w:tcMar>
              <w:top w:w="15" w:type="dxa"/>
              <w:left w:w="108" w:type="dxa"/>
              <w:bottom w:w="0" w:type="dxa"/>
              <w:right w:w="108" w:type="dxa"/>
            </w:tcMar>
            <w:hideMark/>
          </w:tcPr>
          <w:p w:rsidR="008D176C" w:rsidRPr="00A25958" w:rsidRDefault="008D176C" w:rsidP="005A47D4">
            <w:pPr>
              <w:pStyle w:val="Tabletext"/>
            </w:pPr>
            <w:r w:rsidRPr="00BA21BC">
              <w:t xml:space="preserve">RLS 2 (type 1) </w:t>
            </w:r>
            <w:r w:rsidRPr="00A25958">
              <w:t>(airborne receiver)</w:t>
            </w:r>
          </w:p>
        </w:tc>
        <w:tc>
          <w:tcPr>
            <w:tcW w:w="1660" w:type="dxa"/>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BD</w:t>
            </w:r>
          </w:p>
        </w:tc>
        <w:tc>
          <w:tcPr>
            <w:tcW w:w="2234" w:type="dxa"/>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410</w:t>
            </w:r>
          </w:p>
        </w:tc>
        <w:tc>
          <w:tcPr>
            <w:tcW w:w="2305" w:type="dxa"/>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432</w:t>
            </w:r>
          </w:p>
        </w:tc>
      </w:tr>
      <w:tr w:rsidR="008D176C" w:rsidRPr="00DB34D3" w:rsidTr="00735074">
        <w:tc>
          <w:tcPr>
            <w:tcW w:w="3598" w:type="dxa"/>
            <w:shd w:val="clear" w:color="auto" w:fill="auto"/>
            <w:tcMar>
              <w:top w:w="15" w:type="dxa"/>
              <w:left w:w="108" w:type="dxa"/>
              <w:bottom w:w="0" w:type="dxa"/>
              <w:right w:w="108" w:type="dxa"/>
            </w:tcMar>
            <w:hideMark/>
          </w:tcPr>
          <w:p w:rsidR="008D176C" w:rsidRPr="00A25958" w:rsidRDefault="008D176C" w:rsidP="005A47D4">
            <w:pPr>
              <w:pStyle w:val="Tabletext"/>
            </w:pPr>
            <w:r w:rsidRPr="00BA21BC">
              <w:t>RLS 2 (type 1) (ground receiver)</w:t>
            </w:r>
          </w:p>
        </w:tc>
        <w:tc>
          <w:tcPr>
            <w:tcW w:w="1660" w:type="dxa"/>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BA</w:t>
            </w:r>
          </w:p>
        </w:tc>
        <w:tc>
          <w:tcPr>
            <w:tcW w:w="2234" w:type="dxa"/>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50</w:t>
            </w:r>
          </w:p>
        </w:tc>
        <w:tc>
          <w:tcPr>
            <w:tcW w:w="2305" w:type="dxa"/>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250/275*</w:t>
            </w:r>
          </w:p>
        </w:tc>
      </w:tr>
      <w:tr w:rsidR="008D176C" w:rsidRPr="00DB34D3" w:rsidTr="00735074">
        <w:tc>
          <w:tcPr>
            <w:tcW w:w="3598" w:type="dxa"/>
            <w:shd w:val="clear" w:color="auto" w:fill="auto"/>
            <w:tcMar>
              <w:top w:w="15" w:type="dxa"/>
              <w:left w:w="108" w:type="dxa"/>
              <w:bottom w:w="0" w:type="dxa"/>
              <w:right w:w="108" w:type="dxa"/>
            </w:tcMar>
            <w:hideMark/>
          </w:tcPr>
          <w:p w:rsidR="008D176C" w:rsidRPr="00A25958" w:rsidRDefault="008D176C" w:rsidP="005A47D4">
            <w:pPr>
              <w:pStyle w:val="Tabletext"/>
            </w:pPr>
            <w:r w:rsidRPr="00BA21BC">
              <w:t>RLS 2 (type 2) (airborne receiver)</w:t>
            </w:r>
          </w:p>
        </w:tc>
        <w:tc>
          <w:tcPr>
            <w:tcW w:w="1660" w:type="dxa"/>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BC</w:t>
            </w:r>
          </w:p>
        </w:tc>
        <w:tc>
          <w:tcPr>
            <w:tcW w:w="2234" w:type="dxa"/>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150</w:t>
            </w:r>
          </w:p>
        </w:tc>
        <w:tc>
          <w:tcPr>
            <w:tcW w:w="2305" w:type="dxa"/>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432</w:t>
            </w:r>
          </w:p>
        </w:tc>
      </w:tr>
      <w:tr w:rsidR="008D176C" w:rsidRPr="00DB34D3" w:rsidTr="00735074">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hideMark/>
          </w:tcPr>
          <w:p w:rsidR="008D176C" w:rsidRPr="00A25958" w:rsidRDefault="008D176C" w:rsidP="005A47D4">
            <w:pPr>
              <w:pStyle w:val="Tabletext"/>
            </w:pPr>
            <w:r w:rsidRPr="00BA21BC">
              <w:t>RLS 2 (type 2) (ground receiver)</w:t>
            </w:r>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AA2</w:t>
            </w:r>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50/75*</w:t>
            </w:r>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300/325*</w:t>
            </w:r>
          </w:p>
        </w:tc>
      </w:tr>
      <w:tr w:rsidR="008D176C" w:rsidRPr="00DB34D3" w:rsidTr="00735074">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hideMark/>
          </w:tcPr>
          <w:p w:rsidR="008D176C" w:rsidRPr="00A25958" w:rsidRDefault="008D176C" w:rsidP="005A47D4">
            <w:pPr>
              <w:pStyle w:val="Tabletext"/>
            </w:pPr>
            <w:r w:rsidRPr="00BA21BC">
              <w:t>RLS 1 (types 1</w:t>
            </w:r>
            <w:r>
              <w:t xml:space="preserve"> and</w:t>
            </w:r>
            <w:r w:rsidRPr="00BA21BC">
              <w:t xml:space="preserve"> 2) (ground receiver)</w:t>
            </w:r>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AB</w:t>
            </w:r>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125/175*</w:t>
            </w:r>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400/450*</w:t>
            </w:r>
          </w:p>
        </w:tc>
      </w:tr>
      <w:tr w:rsidR="008D176C" w:rsidRPr="00DB34D3" w:rsidTr="00735074">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hideMark/>
          </w:tcPr>
          <w:p w:rsidR="008D176C" w:rsidRPr="00A25958" w:rsidRDefault="008D176C" w:rsidP="005A47D4">
            <w:pPr>
              <w:pStyle w:val="Tabletext"/>
            </w:pPr>
            <w:r w:rsidRPr="00BA21BC">
              <w:t xml:space="preserve">Other ARNS ground stations </w:t>
            </w:r>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Not applied</w:t>
            </w:r>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125/175*</w:t>
            </w:r>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400/450*</w:t>
            </w:r>
          </w:p>
        </w:tc>
      </w:tr>
      <w:tr w:rsidR="008D176C" w:rsidRPr="00DB34D3" w:rsidTr="00735074">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hideMark/>
          </w:tcPr>
          <w:p w:rsidR="008D176C" w:rsidRPr="00A25958" w:rsidRDefault="008D176C" w:rsidP="005A47D4">
            <w:pPr>
              <w:pStyle w:val="Tabletext"/>
            </w:pPr>
            <w:r w:rsidRPr="00BA21BC">
              <w:t xml:space="preserve">Other ARNS airborne stations </w:t>
            </w:r>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Not applied</w:t>
            </w:r>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410</w:t>
            </w:r>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8D176C" w:rsidRPr="00A25958" w:rsidRDefault="008D176C" w:rsidP="00735074">
            <w:pPr>
              <w:pStyle w:val="Tabletext"/>
              <w:jc w:val="center"/>
            </w:pPr>
            <w:r w:rsidRPr="00BA21BC">
              <w:t>432</w:t>
            </w:r>
          </w:p>
        </w:tc>
      </w:tr>
      <w:tr w:rsidR="008D176C" w:rsidRPr="00DB34D3" w:rsidTr="00735074">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c>
          <w:tcPr>
            <w:tcW w:w="9797" w:type="dxa"/>
            <w:gridSpan w:val="4"/>
            <w:tcBorders>
              <w:top w:val="single" w:sz="2" w:space="0" w:color="2A004E"/>
              <w:left w:val="nil"/>
              <w:bottom w:val="nil"/>
              <w:right w:val="nil"/>
            </w:tcBorders>
            <w:shd w:val="clear" w:color="auto" w:fill="auto"/>
            <w:tcMar>
              <w:top w:w="15" w:type="dxa"/>
              <w:left w:w="108" w:type="dxa"/>
              <w:bottom w:w="0" w:type="dxa"/>
              <w:right w:w="108" w:type="dxa"/>
            </w:tcMar>
            <w:hideMark/>
          </w:tcPr>
          <w:p w:rsidR="008D176C" w:rsidRPr="00A25958" w:rsidRDefault="008D176C" w:rsidP="005A47D4">
            <w:pPr>
              <w:pStyle w:val="Tabletext"/>
            </w:pPr>
            <w:r w:rsidRPr="00BA21BC">
              <w:t>*</w:t>
            </w:r>
            <w:r w:rsidRPr="00BA21BC">
              <w:tab/>
              <w:t>50% ≤ land path ≤ 100% / 0% ≤ land path &lt; 50%.</w:t>
            </w:r>
          </w:p>
          <w:p w:rsidR="008D176C" w:rsidRPr="00735074" w:rsidRDefault="008D176C" w:rsidP="00735074">
            <w:pPr>
              <w:pStyle w:val="Tabletext"/>
            </w:pPr>
            <w:r w:rsidRPr="00BA21BC">
              <w:t xml:space="preserve">** Coordination distances for the receiving MS base stations are based on protection of ARNS </w:t>
            </w:r>
            <w:r w:rsidRPr="00A25958">
              <w:t>stations from the stations in the mobile service and do not ensure protection for receiving base stations of MS from ARNS stations.</w:t>
            </w:r>
          </w:p>
        </w:tc>
      </w:tr>
    </w:tbl>
    <w:p w:rsidR="001A1A63" w:rsidRDefault="006B472C" w:rsidP="00735074">
      <w:pPr>
        <w:pStyle w:val="Reasons"/>
        <w:keepNext/>
        <w:keepLines/>
      </w:pPr>
      <w:r>
        <w:rPr>
          <w:b/>
        </w:rPr>
        <w:t>Reasons:</w:t>
      </w:r>
      <w:r>
        <w:tab/>
      </w:r>
      <w:r w:rsidR="008D176C" w:rsidRPr="00904F0A">
        <w:t xml:space="preserve">This new Resolution is proposed to specify the technical and regulatory conditions applicable to the mobile, except aeronautical, service allocation as required by </w:t>
      </w:r>
      <w:r w:rsidR="008D176C" w:rsidRPr="00904F0A">
        <w:rPr>
          <w:rStyle w:val="Emphasis"/>
        </w:rPr>
        <w:t>resolves</w:t>
      </w:r>
      <w:r w:rsidR="008D176C" w:rsidRPr="00904F0A">
        <w:t xml:space="preserve"> 5 of </w:t>
      </w:r>
      <w:r w:rsidR="008D176C" w:rsidRPr="008D176C">
        <w:t xml:space="preserve">Resolution </w:t>
      </w:r>
      <w:r w:rsidR="008D176C" w:rsidRPr="008D176C">
        <w:rPr>
          <w:rStyle w:val="Strong"/>
          <w:b w:val="0"/>
          <w:bCs w:val="0"/>
        </w:rPr>
        <w:t>232 (WRC-12)</w:t>
      </w:r>
      <w:r w:rsidR="008D176C" w:rsidRPr="00735074">
        <w:t xml:space="preserve">, </w:t>
      </w:r>
      <w:r w:rsidR="008D176C" w:rsidRPr="008D176C">
        <w:t xml:space="preserve">taking into account the results of ITU-R studies carried out in response to invites ITU-R 1 to 6 of Resolution </w:t>
      </w:r>
      <w:r w:rsidR="008D176C" w:rsidRPr="008D176C">
        <w:rPr>
          <w:rStyle w:val="Strong"/>
          <w:b w:val="0"/>
          <w:bCs w:val="0"/>
        </w:rPr>
        <w:t>232 (WRC-12)</w:t>
      </w:r>
      <w:r w:rsidR="008D176C" w:rsidRPr="00735074">
        <w:t>.</w:t>
      </w:r>
      <w:r w:rsidR="008D176C" w:rsidRPr="00904F0A">
        <w:t xml:space="preserve"> </w:t>
      </w:r>
    </w:p>
    <w:p w:rsidR="008D176C" w:rsidRDefault="008D176C" w:rsidP="00735074"/>
    <w:p w:rsidR="00735074" w:rsidRPr="00735074" w:rsidRDefault="00735074" w:rsidP="00735074">
      <w:pPr>
        <w:rPr>
          <w:lang w:val="en-US"/>
        </w:rPr>
      </w:pPr>
    </w:p>
    <w:p w:rsidR="008D176C" w:rsidRDefault="008D176C" w:rsidP="00735074">
      <w:pPr>
        <w:pStyle w:val="Normalend"/>
        <w:keepNext/>
        <w:keepLines/>
        <w:jc w:val="center"/>
      </w:pPr>
      <w:r>
        <w:t>_________________</w:t>
      </w:r>
    </w:p>
    <w:sectPr w:rsidR="008D176C" w:rsidSect="0039169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E1CE6">
      <w:rPr>
        <w:noProof/>
        <w:lang w:val="en-US"/>
      </w:rPr>
      <w:t>P:\ENG\ITU-R\CONF-R\CMR15\000\009ADD02ADD03E.docx</w:t>
    </w:r>
    <w:r>
      <w:fldChar w:fldCharType="end"/>
    </w:r>
    <w:r w:rsidRPr="0041348E">
      <w:rPr>
        <w:lang w:val="en-US"/>
      </w:rPr>
      <w:tab/>
    </w:r>
    <w:r>
      <w:fldChar w:fldCharType="begin"/>
    </w:r>
    <w:r>
      <w:instrText xml:space="preserve"> SAVEDATE \@ DD.MM.YY </w:instrText>
    </w:r>
    <w:r>
      <w:fldChar w:fldCharType="separate"/>
    </w:r>
    <w:r w:rsidR="00AE1CE6">
      <w:rPr>
        <w:noProof/>
      </w:rPr>
      <w:t>09.11.15</w:t>
    </w:r>
    <w:r>
      <w:fldChar w:fldCharType="end"/>
    </w:r>
    <w:r w:rsidRPr="0041348E">
      <w:rPr>
        <w:lang w:val="en-US"/>
      </w:rPr>
      <w:tab/>
    </w:r>
    <w:r>
      <w:fldChar w:fldCharType="begin"/>
    </w:r>
    <w:r>
      <w:instrText xml:space="preserve"> PRINTDATE \@ DD.MM.YY </w:instrText>
    </w:r>
    <w:r>
      <w:fldChar w:fldCharType="separate"/>
    </w:r>
    <w:r w:rsidR="00AE1CE6">
      <w:rPr>
        <w:noProof/>
      </w:rPr>
      <w:t>09.11.15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D2E" w:rsidRPr="0041348E" w:rsidRDefault="00EC7D2E" w:rsidP="00EC7D2E">
    <w:pPr>
      <w:pStyle w:val="Footer"/>
      <w:rPr>
        <w:lang w:val="en-US"/>
      </w:rPr>
    </w:pPr>
    <w:r>
      <w:fldChar w:fldCharType="begin"/>
    </w:r>
    <w:r w:rsidRPr="0041348E">
      <w:rPr>
        <w:lang w:val="en-US"/>
      </w:rPr>
      <w:instrText xml:space="preserve"> FILENAME \p  \* MERGEFORMAT </w:instrText>
    </w:r>
    <w:r>
      <w:fldChar w:fldCharType="separate"/>
    </w:r>
    <w:r w:rsidR="00AE1CE6">
      <w:rPr>
        <w:lang w:val="en-US"/>
      </w:rPr>
      <w:t>P:\ENG\ITU-R\CONF-R\CMR15\000\009ADD02ADD03E.docx</w:t>
    </w:r>
    <w:r>
      <w:fldChar w:fldCharType="end"/>
    </w:r>
    <w:r>
      <w:t xml:space="preserve"> (389843)</w:t>
    </w:r>
    <w:r w:rsidRPr="0041348E">
      <w:rPr>
        <w:lang w:val="en-US"/>
      </w:rPr>
      <w:tab/>
    </w:r>
    <w:r>
      <w:fldChar w:fldCharType="begin"/>
    </w:r>
    <w:r>
      <w:instrText xml:space="preserve"> SAVEDATE \@ DD.MM.YY </w:instrText>
    </w:r>
    <w:r>
      <w:fldChar w:fldCharType="separate"/>
    </w:r>
    <w:r w:rsidR="00AE1CE6">
      <w:t>09.11.15</w:t>
    </w:r>
    <w:r>
      <w:fldChar w:fldCharType="end"/>
    </w:r>
    <w:r w:rsidRPr="0041348E">
      <w:rPr>
        <w:lang w:val="en-US"/>
      </w:rPr>
      <w:tab/>
    </w:r>
    <w:r>
      <w:fldChar w:fldCharType="begin"/>
    </w:r>
    <w:r>
      <w:instrText xml:space="preserve"> PRINTDATE \@ DD.MM.YY </w:instrText>
    </w:r>
    <w:r>
      <w:fldChar w:fldCharType="separate"/>
    </w:r>
    <w:r w:rsidR="00AE1CE6">
      <w:t>09.11.15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EC7D2E">
    <w:pPr>
      <w:pStyle w:val="Footer"/>
      <w:rPr>
        <w:lang w:val="en-US"/>
      </w:rPr>
    </w:pPr>
    <w:r>
      <w:fldChar w:fldCharType="begin"/>
    </w:r>
    <w:r w:rsidRPr="0041348E">
      <w:rPr>
        <w:lang w:val="en-US"/>
      </w:rPr>
      <w:instrText xml:space="preserve"> FILENAME \p  \* MERGEFORMAT </w:instrText>
    </w:r>
    <w:r>
      <w:fldChar w:fldCharType="separate"/>
    </w:r>
    <w:r w:rsidR="00AE1CE6">
      <w:rPr>
        <w:lang w:val="en-US"/>
      </w:rPr>
      <w:t>P:\ENG\ITU-R\CONF-R\CMR15\000\009ADD02ADD03E.docx</w:t>
    </w:r>
    <w:r>
      <w:fldChar w:fldCharType="end"/>
    </w:r>
    <w:r w:rsidR="00735074">
      <w:t xml:space="preserve"> </w:t>
    </w:r>
    <w:r w:rsidR="00EC7D2E">
      <w:t>(389843)</w:t>
    </w:r>
    <w:r w:rsidRPr="0041348E">
      <w:rPr>
        <w:lang w:val="en-US"/>
      </w:rPr>
      <w:tab/>
    </w:r>
    <w:r>
      <w:fldChar w:fldCharType="begin"/>
    </w:r>
    <w:r>
      <w:instrText xml:space="preserve"> SAVEDATE \@ DD.MM.YY </w:instrText>
    </w:r>
    <w:r>
      <w:fldChar w:fldCharType="separate"/>
    </w:r>
    <w:r w:rsidR="00AE1CE6">
      <w:t>09.11.15</w:t>
    </w:r>
    <w:r>
      <w:fldChar w:fldCharType="end"/>
    </w:r>
    <w:r w:rsidRPr="0041348E">
      <w:rPr>
        <w:lang w:val="en-US"/>
      </w:rPr>
      <w:tab/>
    </w:r>
    <w:r>
      <w:fldChar w:fldCharType="begin"/>
    </w:r>
    <w:r>
      <w:instrText xml:space="preserve"> PRINTDATE \@ DD.MM.YY </w:instrText>
    </w:r>
    <w:r>
      <w:fldChar w:fldCharType="separate"/>
    </w:r>
    <w:r w:rsidR="00AE1CE6">
      <w:t>09.11.15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D2E" w:rsidRDefault="00EC7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E1CE6">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9(Add.2)(Add.3)</w:t>
    </w:r>
    <w:bookmarkEnd w:id="9"/>
    <w:bookmarkEnd w:id="10"/>
    <w:bookmarkEnd w:id="11"/>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D2E" w:rsidRDefault="00EC7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A1A63"/>
    <w:rsid w:val="001C3B5F"/>
    <w:rsid w:val="001D058F"/>
    <w:rsid w:val="002009EA"/>
    <w:rsid w:val="00202CA0"/>
    <w:rsid w:val="00205627"/>
    <w:rsid w:val="00216B6D"/>
    <w:rsid w:val="00241FA2"/>
    <w:rsid w:val="00271316"/>
    <w:rsid w:val="00291297"/>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60CB9"/>
    <w:rsid w:val="0047113E"/>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472C"/>
    <w:rsid w:val="006B7C2A"/>
    <w:rsid w:val="006C23DA"/>
    <w:rsid w:val="006E3D45"/>
    <w:rsid w:val="007149F9"/>
    <w:rsid w:val="00733A30"/>
    <w:rsid w:val="00735074"/>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D176C"/>
    <w:rsid w:val="009274B4"/>
    <w:rsid w:val="00934EA2"/>
    <w:rsid w:val="00944A5C"/>
    <w:rsid w:val="00952A66"/>
    <w:rsid w:val="00991362"/>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877"/>
    <w:rsid w:val="00AE1CE6"/>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87353"/>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C7D2E"/>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D694047-05D1-464E-AF4E-BE4BD292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styleId="Strong">
    <w:name w:val="Strong"/>
    <w:aliases w:val="ECC HL bold"/>
    <w:basedOn w:val="DefaultParagraphFont"/>
    <w:uiPriority w:val="1"/>
    <w:qFormat/>
    <w:rsid w:val="00291297"/>
    <w:rPr>
      <w:b/>
      <w:bCs/>
    </w:rPr>
  </w:style>
  <w:style w:type="paragraph" w:customStyle="1" w:styleId="headingb0">
    <w:name w:val="heading_b"/>
    <w:basedOn w:val="Heading3"/>
    <w:next w:val="Normal"/>
    <w:uiPriority w:val="99"/>
    <w:rsid w:val="008D176C"/>
    <w:pPr>
      <w:tabs>
        <w:tab w:val="left" w:pos="567"/>
        <w:tab w:val="left" w:pos="1701"/>
        <w:tab w:val="left" w:pos="2835"/>
      </w:tabs>
      <w:spacing w:before="160"/>
      <w:ind w:left="0" w:firstLine="0"/>
      <w:outlineLvl w:val="9"/>
    </w:pPr>
    <w:rPr>
      <w:bCs/>
      <w:lang w:val="fr-FR"/>
    </w:rPr>
  </w:style>
  <w:style w:type="character" w:customStyle="1" w:styleId="ECCEditorsNoteZchn">
    <w:name w:val="ECC Editor's Note Zchn"/>
    <w:basedOn w:val="DefaultParagraphFont"/>
    <w:link w:val="ECCEditorsNote"/>
    <w:rsid w:val="008D176C"/>
    <w:rPr>
      <w:rFonts w:ascii="Arial" w:eastAsia="Calibri" w:hAnsi="Arial"/>
      <w:szCs w:val="22"/>
      <w:shd w:val="solid" w:color="FFFF00" w:fill="auto"/>
      <w:lang w:val="da-DK" w:eastAsia="de-DE"/>
    </w:rPr>
  </w:style>
  <w:style w:type="paragraph" w:customStyle="1" w:styleId="ECCEditorsNote">
    <w:name w:val="ECC Editor's Note"/>
    <w:next w:val="Normal"/>
    <w:link w:val="ECCEditorsNoteZchn"/>
    <w:qFormat/>
    <w:rsid w:val="008D176C"/>
    <w:pPr>
      <w:numPr>
        <w:numId w:val="3"/>
      </w:numPr>
      <w:shd w:val="solid" w:color="FFFF00" w:fill="auto"/>
      <w:spacing w:before="120" w:after="60"/>
      <w:jc w:val="both"/>
    </w:pPr>
    <w:rPr>
      <w:rFonts w:ascii="Arial" w:eastAsia="Calibri" w:hAnsi="Arial"/>
      <w:szCs w:val="22"/>
      <w:lang w:val="da-DK" w:eastAsia="de-DE"/>
    </w:rPr>
  </w:style>
  <w:style w:type="character" w:styleId="Emphasis">
    <w:name w:val="Emphasis"/>
    <w:aliases w:val="ECC HL italics"/>
    <w:basedOn w:val="DefaultParagraphFont"/>
    <w:uiPriority w:val="1"/>
    <w:rsid w:val="008D17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R15-WRC15-C-0009!A2-A3!MSW-E</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436D3C5C-919B-43DA-973C-B03D9777BE7D}">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a1a8c5-2265-4ebc-b7a0-2071e2c5c9bb"/>
    <ds:schemaRef ds:uri="http://purl.org/dc/terms/"/>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D3942A1E-37C2-4D51-8122-CD2ABDAD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23</TotalTime>
  <Pages>4</Pages>
  <Words>910</Words>
  <Characters>4953</Characters>
  <Application>Microsoft Office Word</Application>
  <DocSecurity>0</DocSecurity>
  <Lines>145</Lines>
  <Paragraphs>97</Paragraphs>
  <ScaleCrop>false</ScaleCrop>
  <HeadingPairs>
    <vt:vector size="2" baseType="variant">
      <vt:variant>
        <vt:lpstr>Title</vt:lpstr>
      </vt:variant>
      <vt:variant>
        <vt:i4>1</vt:i4>
      </vt:variant>
    </vt:vector>
  </HeadingPairs>
  <TitlesOfParts>
    <vt:vector size="1" baseType="lpstr">
      <vt:lpstr>R15-WRC15-C-0009!A2-A3!MSW-E</vt:lpstr>
    </vt:vector>
  </TitlesOfParts>
  <Manager>General Secretariat - Pool</Manager>
  <Company>International Telecommunication Union (ITU)</Company>
  <LinksUpToDate>false</LinksUpToDate>
  <CharactersWithSpaces>5766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R15-WRC15-C-0009!A2-A3!MSW-E</dc:title>
  <dc:subject>World Radiocommunication Conference - 2015</dc:subject>
  <dc:creator>Documents Proposals Manager (DPM)</dc:creator>
  <cp:keywords>DPM_v5.2015.11.61_prod</cp:keywords>
  <dc:description>Uploaded on 2015.07.06</dc:description>
  <cp:lastModifiedBy>Currie, Jane</cp:lastModifiedBy>
  <cp:revision>5</cp:revision>
  <cp:lastPrinted>2015-11-09T13:36:00Z</cp:lastPrinted>
  <dcterms:created xsi:type="dcterms:W3CDTF">2015-11-09T11:48:00Z</dcterms:created>
  <dcterms:modified xsi:type="dcterms:W3CDTF">2015-11-09T13:43:00Z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