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pPr>
              <w:spacing w:before="400" w:after="48"/>
              <w:rPr>
                <w:rFonts w:ascii="Verdana" w:hAnsi="Verdana"/>
                <w:b/>
                <w:bCs/>
                <w:position w:val="6"/>
                <w:lang w:eastAsia="zh-CN"/>
              </w:rPr>
              <w:pPrChange w:id="0" w:author="Meng, Fanhua " w:date="2015-10-22T14:35:00Z">
                <w:pPr>
                  <w:framePr w:hSpace="180" w:wrap="around" w:hAnchor="margin" w:y="-675"/>
                  <w:spacing w:before="400" w:after="48" w:line="480" w:lineRule="auto"/>
                </w:pPr>
              </w:pPrChange>
            </w:pPr>
            <w:bookmarkStart w:id="1" w:name="dtemplate"/>
            <w:bookmarkStart w:id="2" w:name="dorlang" w:colFirst="1" w:colLast="1"/>
            <w:bookmarkStart w:id="3" w:name="_GoBack"/>
            <w:bookmarkEnd w:id="1"/>
            <w:bookmarkEnd w:id="3"/>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pPr>
              <w:spacing w:before="0"/>
              <w:jc w:val="right"/>
              <w:rPr>
                <w:rFonts w:ascii="Verdana" w:hAnsi="Verdana"/>
                <w:sz w:val="20"/>
              </w:rPr>
              <w:pPrChange w:id="4" w:author="Meng, Fanhua " w:date="2015-10-22T14:35:00Z">
                <w:pPr>
                  <w:framePr w:hSpace="180" w:wrap="around" w:hAnchor="margin" w:y="-675"/>
                  <w:spacing w:before="0" w:line="480" w:lineRule="auto"/>
                  <w:jc w:val="right"/>
                </w:pPr>
              </w:pPrChange>
            </w:pPr>
            <w:bookmarkStart w:id="5" w:name="ditulogo"/>
            <w:bookmarkEnd w:id="5"/>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rPr>
                <w:b/>
                <w:smallCaps/>
                <w:szCs w:val="24"/>
              </w:rPr>
              <w:pPrChange w:id="6" w:author="Meng, Fanhua " w:date="2015-10-22T14:35:00Z">
                <w:pPr>
                  <w:framePr w:hSpace="180" w:wrap="around" w:hAnchor="margin" w:y="-675"/>
                  <w:spacing w:after="48" w:line="480" w:lineRule="auto"/>
                </w:pPr>
              </w:pPrChange>
            </w:pPr>
            <w:bookmarkStart w:id="7"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pPr>
              <w:spacing w:before="0"/>
              <w:rPr>
                <w:rFonts w:ascii="Verdana" w:hAnsi="Verdana"/>
                <w:sz w:val="20"/>
                <w:szCs w:val="24"/>
              </w:rPr>
              <w:pPrChange w:id="8" w:author="Meng, Fanhua " w:date="2015-10-22T14:35:00Z">
                <w:pPr>
                  <w:framePr w:hSpace="180" w:wrap="around" w:hAnchor="margin" w:y="-675"/>
                  <w:spacing w:before="0" w:line="480" w:lineRule="auto"/>
                </w:pPr>
              </w:pPrChange>
            </w:pPr>
          </w:p>
        </w:tc>
      </w:tr>
      <w:tr w:rsidR="00622560" w:rsidRPr="00C324A8" w:rsidTr="00622560">
        <w:trPr>
          <w:cantSplit/>
        </w:trPr>
        <w:tc>
          <w:tcPr>
            <w:tcW w:w="6911" w:type="dxa"/>
            <w:tcBorders>
              <w:top w:val="single" w:sz="12" w:space="0" w:color="auto"/>
            </w:tcBorders>
          </w:tcPr>
          <w:p w:rsidR="00622560" w:rsidRPr="00CB4E5A" w:rsidRDefault="00622560">
            <w:pPr>
              <w:rPr>
                <w:rFonts w:ascii="Verdana" w:hAnsi="Verdana"/>
                <w:b/>
                <w:bCs/>
                <w:sz w:val="20"/>
              </w:rPr>
              <w:pPrChange w:id="9" w:author="Meng, Fanhua " w:date="2015-10-22T14:35:00Z">
                <w:pPr>
                  <w:framePr w:hSpace="180" w:wrap="around" w:hAnchor="margin" w:y="-675"/>
                  <w:spacing w:line="480" w:lineRule="auto"/>
                </w:pPr>
              </w:pPrChange>
            </w:pPr>
          </w:p>
        </w:tc>
        <w:tc>
          <w:tcPr>
            <w:tcW w:w="3120" w:type="dxa"/>
            <w:tcBorders>
              <w:top w:val="single" w:sz="12" w:space="0" w:color="auto"/>
            </w:tcBorders>
          </w:tcPr>
          <w:p w:rsidR="00622560" w:rsidRPr="00CB4E5A" w:rsidRDefault="00622560">
            <w:pPr>
              <w:rPr>
                <w:rFonts w:ascii="Verdana" w:hAnsi="Verdana"/>
                <w:b/>
                <w:bCs/>
                <w:sz w:val="20"/>
              </w:rPr>
              <w:pPrChange w:id="10" w:author="Meng, Fanhua " w:date="2015-10-22T14:35:00Z">
                <w:pPr>
                  <w:framePr w:hSpace="180" w:wrap="around" w:hAnchor="margin" w:y="-675"/>
                  <w:spacing w:line="480" w:lineRule="auto"/>
                </w:pPr>
              </w:pPrChange>
            </w:pPr>
          </w:p>
        </w:tc>
      </w:tr>
      <w:tr w:rsidR="00622560" w:rsidRPr="00C324A8" w:rsidTr="00622560">
        <w:trPr>
          <w:cantSplit/>
          <w:trHeight w:val="23"/>
        </w:trPr>
        <w:tc>
          <w:tcPr>
            <w:tcW w:w="6911" w:type="dxa"/>
            <w:shd w:val="clear" w:color="auto" w:fill="auto"/>
          </w:tcPr>
          <w:p w:rsidR="00622560" w:rsidRPr="00A466E6" w:rsidRDefault="000273B7">
            <w:pPr>
              <w:spacing w:before="0"/>
              <w:rPr>
                <w:rFonts w:ascii="Verdana" w:hAnsi="Verdana"/>
                <w:b/>
                <w:sz w:val="20"/>
              </w:rPr>
              <w:pPrChange w:id="11" w:author="Meng, Fanhua " w:date="2015-10-22T14:35:00Z">
                <w:pPr>
                  <w:framePr w:hSpace="180" w:wrap="around" w:hAnchor="margin" w:y="-675"/>
                  <w:spacing w:before="0" w:line="480" w:lineRule="auto"/>
                </w:pPr>
              </w:pPrChange>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pPr>
              <w:spacing w:before="0"/>
              <w:rPr>
                <w:rFonts w:ascii="Verdana" w:hAnsi="Verdana"/>
                <w:sz w:val="20"/>
              </w:rPr>
              <w:pPrChange w:id="12" w:author="Meng, Fanhua " w:date="2015-10-22T14:35:00Z">
                <w:pPr>
                  <w:framePr w:hSpace="180" w:wrap="around" w:hAnchor="margin" w:y="-675"/>
                  <w:spacing w:before="0" w:line="480" w:lineRule="auto"/>
                </w:pPr>
              </w:pPrChange>
            </w:pPr>
            <w:proofErr w:type="spellStart"/>
            <w:r>
              <w:rPr>
                <w:rFonts w:ascii="Verdana" w:hAnsi="Verdana" w:cs="Traditional Arabic"/>
                <w:b/>
                <w:sz w:val="20"/>
              </w:rPr>
              <w:t>文件</w:t>
            </w:r>
            <w:proofErr w:type="spellEnd"/>
            <w:r w:rsidR="00F62699">
              <w:rPr>
                <w:rFonts w:ascii="Verdana" w:hAnsi="Verdana" w:cs="Traditional Arabic"/>
                <w:b/>
                <w:sz w:val="20"/>
              </w:rPr>
              <w:t xml:space="preserve"> 9</w:t>
            </w:r>
            <w:r>
              <w:rPr>
                <w:rFonts w:ascii="Verdana" w:hAnsi="Verdana" w:cs="Traditional Arabic"/>
                <w:b/>
                <w:sz w:val="20"/>
              </w:rPr>
              <w:t>(Add.21)</w:t>
            </w:r>
            <w:r w:rsidR="009C3536">
              <w:rPr>
                <w:rFonts w:ascii="Verdana" w:hAnsi="Verdana" w:cs="Traditional Arabic"/>
                <w:b/>
                <w:sz w:val="20"/>
              </w:rPr>
              <w:t>(Add.10)</w:t>
            </w:r>
            <w:r w:rsidR="00622560" w:rsidRPr="00622560">
              <w:rPr>
                <w:rFonts w:ascii="Verdana" w:hAnsi="Verdana"/>
                <w:b/>
                <w:sz w:val="20"/>
              </w:rPr>
              <w:t>-</w:t>
            </w:r>
            <w:r w:rsidRPr="000273B7">
              <w:rPr>
                <w:rFonts w:ascii="Verdana" w:hAnsi="Verdana"/>
                <w:b/>
                <w:sz w:val="20"/>
              </w:rPr>
              <w:t>C</w:t>
            </w:r>
          </w:p>
        </w:tc>
      </w:tr>
      <w:bookmarkEnd w:id="2"/>
      <w:bookmarkEnd w:id="7"/>
      <w:tr w:rsidR="008221A4" w:rsidRPr="00C324A8" w:rsidTr="00622560">
        <w:trPr>
          <w:cantSplit/>
          <w:trHeight w:val="23"/>
        </w:trPr>
        <w:tc>
          <w:tcPr>
            <w:tcW w:w="6911" w:type="dxa"/>
            <w:shd w:val="clear" w:color="auto" w:fill="auto"/>
          </w:tcPr>
          <w:p w:rsidR="008221A4" w:rsidRPr="00C324A8" w:rsidRDefault="008221A4">
            <w:pPr>
              <w:spacing w:before="0"/>
              <w:rPr>
                <w:rFonts w:ascii="Verdana" w:hAnsi="Verdana"/>
                <w:b/>
                <w:smallCaps/>
                <w:sz w:val="20"/>
              </w:rPr>
              <w:pPrChange w:id="13" w:author="Meng, Fanhua " w:date="2015-10-22T14:35:00Z">
                <w:pPr>
                  <w:framePr w:hSpace="180" w:wrap="around" w:hAnchor="margin" w:y="-675"/>
                  <w:spacing w:before="0" w:line="480" w:lineRule="auto"/>
                </w:pPr>
              </w:pPrChange>
            </w:pPr>
          </w:p>
        </w:tc>
        <w:tc>
          <w:tcPr>
            <w:tcW w:w="3120" w:type="dxa"/>
            <w:shd w:val="clear" w:color="auto" w:fill="auto"/>
          </w:tcPr>
          <w:p w:rsidR="008221A4" w:rsidRPr="00622560" w:rsidRDefault="008221A4">
            <w:pPr>
              <w:spacing w:before="0"/>
              <w:rPr>
                <w:rFonts w:ascii="Verdana" w:hAnsi="Verdana"/>
                <w:sz w:val="20"/>
              </w:rPr>
              <w:pPrChange w:id="14" w:author="Meng, Fanhua " w:date="2015-10-22T14:35:00Z">
                <w:pPr>
                  <w:framePr w:hSpace="180" w:wrap="around" w:hAnchor="margin" w:y="-675"/>
                  <w:spacing w:before="0" w:line="480" w:lineRule="auto"/>
                </w:pPr>
              </w:pPrChange>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pPr>
              <w:spacing w:before="0"/>
              <w:rPr>
                <w:rFonts w:ascii="Verdana" w:hAnsi="Verdana"/>
                <w:b/>
                <w:bCs/>
                <w:sz w:val="20"/>
              </w:rPr>
              <w:pPrChange w:id="15" w:author="Meng, Fanhua " w:date="2015-10-22T14:35:00Z">
                <w:pPr>
                  <w:framePr w:hSpace="180" w:wrap="around" w:hAnchor="margin" w:y="-675"/>
                  <w:spacing w:before="0" w:line="480" w:lineRule="auto"/>
                </w:pPr>
              </w:pPrChange>
            </w:pPr>
          </w:p>
        </w:tc>
        <w:tc>
          <w:tcPr>
            <w:tcW w:w="3120" w:type="dxa"/>
          </w:tcPr>
          <w:p w:rsidR="008221A4" w:rsidRPr="00622560" w:rsidRDefault="008221A4">
            <w:pPr>
              <w:spacing w:before="0"/>
              <w:rPr>
                <w:rFonts w:ascii="Verdana" w:hAnsi="Verdana"/>
                <w:sz w:val="20"/>
              </w:rPr>
              <w:pPrChange w:id="16" w:author="Meng, Fanhua " w:date="2015-10-22T14:35:00Z">
                <w:pPr>
                  <w:framePr w:hSpace="180" w:wrap="around" w:hAnchor="margin" w:y="-675"/>
                  <w:spacing w:before="0" w:line="480" w:lineRule="auto"/>
                </w:pPr>
              </w:pPrChange>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pPr>
              <w:spacing w:before="0"/>
              <w:rPr>
                <w:rFonts w:ascii="Verdana" w:hAnsi="Verdana"/>
                <w:b/>
                <w:bCs/>
                <w:sz w:val="20"/>
              </w:rPr>
              <w:pPrChange w:id="17" w:author="Meng, Fanhua " w:date="2015-10-22T14:35:00Z">
                <w:pPr>
                  <w:framePr w:hSpace="180" w:wrap="around" w:hAnchor="margin" w:y="-675"/>
                  <w:spacing w:before="0" w:line="480" w:lineRule="auto"/>
                </w:pPr>
              </w:pPrChange>
            </w:pPr>
          </w:p>
        </w:tc>
      </w:tr>
      <w:tr w:rsidR="008221A4">
        <w:trPr>
          <w:cantSplit/>
        </w:trPr>
        <w:tc>
          <w:tcPr>
            <w:tcW w:w="10031" w:type="dxa"/>
            <w:gridSpan w:val="2"/>
          </w:tcPr>
          <w:p w:rsidR="008221A4" w:rsidRDefault="008221A4">
            <w:pPr>
              <w:pStyle w:val="Source"/>
              <w:pPrChange w:id="18" w:author="Meng, Fanhua " w:date="2015-10-22T14:35:00Z">
                <w:pPr>
                  <w:pStyle w:val="Source"/>
                  <w:framePr w:hSpace="180" w:wrap="around" w:hAnchor="margin" w:y="-675"/>
                  <w:spacing w:line="480" w:lineRule="auto"/>
                </w:pPr>
              </w:pPrChange>
            </w:pPr>
            <w:bookmarkStart w:id="19" w:name="dsource" w:colFirst="0" w:colLast="0"/>
            <w:proofErr w:type="spellStart"/>
            <w:r w:rsidRPr="000273B7">
              <w:t>欧洲共同提案</w:t>
            </w:r>
            <w:proofErr w:type="spellEnd"/>
          </w:p>
        </w:tc>
      </w:tr>
      <w:tr w:rsidR="008221A4">
        <w:trPr>
          <w:cantSplit/>
        </w:trPr>
        <w:tc>
          <w:tcPr>
            <w:tcW w:w="10031" w:type="dxa"/>
            <w:gridSpan w:val="2"/>
          </w:tcPr>
          <w:p w:rsidR="008221A4" w:rsidRDefault="00F62699">
            <w:pPr>
              <w:pStyle w:val="Title1"/>
              <w:pPrChange w:id="20" w:author="Meng, Fanhua " w:date="2015-10-22T14:35:00Z">
                <w:pPr>
                  <w:pStyle w:val="Title1"/>
                  <w:framePr w:hSpace="180" w:wrap="around" w:hAnchor="margin" w:y="-675"/>
                  <w:spacing w:line="480" w:lineRule="auto"/>
                </w:pPr>
              </w:pPrChange>
            </w:pPr>
            <w:bookmarkStart w:id="21" w:name="dtitle1" w:colFirst="0" w:colLast="0"/>
            <w:bookmarkEnd w:id="19"/>
            <w:r>
              <w:rPr>
                <w:rFonts w:hint="eastAsia"/>
                <w:lang w:eastAsia="zh-CN"/>
              </w:rPr>
              <w:t>有关大会工作的提案</w:t>
            </w:r>
          </w:p>
        </w:tc>
      </w:tr>
      <w:tr w:rsidR="008221A4">
        <w:trPr>
          <w:cantSplit/>
        </w:trPr>
        <w:tc>
          <w:tcPr>
            <w:tcW w:w="10031" w:type="dxa"/>
            <w:gridSpan w:val="2"/>
          </w:tcPr>
          <w:p w:rsidR="008221A4" w:rsidRDefault="008221A4">
            <w:pPr>
              <w:pStyle w:val="Title2"/>
              <w:pPrChange w:id="22" w:author="Meng, Fanhua " w:date="2015-10-22T14:35:00Z">
                <w:pPr>
                  <w:pStyle w:val="Title2"/>
                  <w:framePr w:hSpace="180" w:wrap="around" w:hAnchor="margin" w:y="-675"/>
                  <w:spacing w:line="480" w:lineRule="auto"/>
                </w:pPr>
              </w:pPrChange>
            </w:pPr>
            <w:bookmarkStart w:id="23" w:name="dtitle2" w:colFirst="0" w:colLast="0"/>
            <w:bookmarkEnd w:id="21"/>
          </w:p>
        </w:tc>
      </w:tr>
      <w:tr w:rsidR="008221A4">
        <w:trPr>
          <w:cantSplit/>
        </w:trPr>
        <w:tc>
          <w:tcPr>
            <w:tcW w:w="10031" w:type="dxa"/>
            <w:gridSpan w:val="2"/>
          </w:tcPr>
          <w:p w:rsidR="008221A4" w:rsidRDefault="008221A4">
            <w:pPr>
              <w:pStyle w:val="Agendaitem"/>
              <w:pPrChange w:id="24" w:author="Meng, Fanhua " w:date="2015-10-22T14:35:00Z">
                <w:pPr>
                  <w:pStyle w:val="Agendaitem"/>
                  <w:framePr w:hSpace="180" w:wrap="around" w:hAnchor="margin" w:y="-675"/>
                  <w:spacing w:line="480" w:lineRule="auto"/>
                </w:pPr>
              </w:pPrChange>
            </w:pPr>
            <w:bookmarkStart w:id="25" w:name="dtitle3" w:colFirst="0" w:colLast="0"/>
            <w:bookmarkEnd w:id="23"/>
            <w:r w:rsidRPr="000273B7">
              <w:t>议项</w:t>
            </w:r>
            <w:r w:rsidRPr="000273B7">
              <w:t>7(J)</w:t>
            </w:r>
          </w:p>
        </w:tc>
      </w:tr>
    </w:tbl>
    <w:bookmarkEnd w:id="25"/>
    <w:p w:rsidR="008B60D0" w:rsidRPr="007806A0" w:rsidRDefault="00BC0CAA">
      <w:pPr>
        <w:pStyle w:val="Normalaftertitle0"/>
        <w:rPr>
          <w:lang w:eastAsia="zh-CN"/>
        </w:rPr>
        <w:pPrChange w:id="26" w:author="Meng, Fanhua " w:date="2015-10-22T14:35:00Z">
          <w:pPr>
            <w:spacing w:line="480" w:lineRule="auto"/>
          </w:pPr>
        </w:pPrChange>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Default="00BC0CAA">
      <w:pPr>
        <w:rPr>
          <w:lang w:eastAsia="zh-CN"/>
        </w:rPr>
        <w:pPrChange w:id="27" w:author="Meng, Fanhua " w:date="2015-10-22T14:35:00Z">
          <w:pPr>
            <w:spacing w:line="480" w:lineRule="auto"/>
          </w:pPr>
        </w:pPrChange>
      </w:pPr>
      <w:r>
        <w:rPr>
          <w:rFonts w:hint="eastAsia"/>
          <w:lang w:eastAsia="zh-CN"/>
        </w:rPr>
        <w:t>7(</w:t>
      </w:r>
      <w:r>
        <w:rPr>
          <w:lang w:eastAsia="zh-CN"/>
        </w:rPr>
        <w:t>J</w:t>
      </w:r>
      <w:r>
        <w:rPr>
          <w:rFonts w:hint="eastAsia"/>
          <w:lang w:eastAsia="zh-CN"/>
        </w:rPr>
        <w:t>)</w:t>
      </w:r>
      <w:r>
        <w:rPr>
          <w:rFonts w:hint="eastAsia"/>
          <w:lang w:eastAsia="zh-CN"/>
        </w:rPr>
        <w:tab/>
      </w:r>
      <w:r w:rsidRPr="00211923">
        <w:rPr>
          <w:rFonts w:hint="eastAsia"/>
          <w:lang w:eastAsia="zh-CN"/>
        </w:rPr>
        <w:t>问题</w:t>
      </w:r>
      <w:r w:rsidRPr="00211923">
        <w:rPr>
          <w:lang w:eastAsia="zh-CN"/>
        </w:rPr>
        <w:t xml:space="preserve">J – </w:t>
      </w:r>
      <w:r w:rsidRPr="00211923">
        <w:rPr>
          <w:rFonts w:hint="eastAsia"/>
          <w:lang w:eastAsia="zh-CN"/>
        </w:rPr>
        <w:t>取消通知资料收妥日期与按照《无线电规则》第</w:t>
      </w:r>
      <w:r w:rsidRPr="008B60D0">
        <w:rPr>
          <w:b/>
          <w:bCs/>
          <w:lang w:eastAsia="zh-CN"/>
        </w:rPr>
        <w:t>11.44B</w:t>
      </w:r>
      <w:r w:rsidRPr="00211923">
        <w:rPr>
          <w:rFonts w:hint="eastAsia"/>
          <w:lang w:eastAsia="zh-CN"/>
        </w:rPr>
        <w:t>款启用日期的联系</w:t>
      </w:r>
    </w:p>
    <w:p w:rsidR="004D6EC3" w:rsidRPr="004D6EC3" w:rsidRDefault="004D6EC3" w:rsidP="004D6EC3">
      <w:pPr>
        <w:rPr>
          <w:lang w:eastAsia="zh-CN"/>
        </w:rPr>
      </w:pPr>
    </w:p>
    <w:p w:rsidR="006B6CB8" w:rsidRPr="00FF5A15" w:rsidRDefault="00E84DEE">
      <w:pPr>
        <w:pStyle w:val="Headingb"/>
        <w:rPr>
          <w:i/>
          <w:iCs/>
          <w:lang w:val="en-US" w:eastAsia="zh-CN"/>
        </w:rPr>
        <w:pPrChange w:id="28" w:author="Meng, Fanhua " w:date="2015-10-22T14:35:00Z">
          <w:pPr>
            <w:pStyle w:val="headingb0"/>
            <w:spacing w:line="480" w:lineRule="auto"/>
          </w:pPr>
        </w:pPrChange>
      </w:pPr>
      <w:r>
        <w:rPr>
          <w:rFonts w:hint="eastAsia"/>
          <w:lang w:val="en-US" w:eastAsia="zh-CN"/>
        </w:rPr>
        <w:t>引言</w:t>
      </w:r>
    </w:p>
    <w:p w:rsidR="006B6CB8" w:rsidRPr="00D21899" w:rsidRDefault="00DB7E75">
      <w:pPr>
        <w:ind w:firstLineChars="200" w:firstLine="480"/>
        <w:rPr>
          <w:rFonts w:eastAsia="Calibri"/>
          <w:lang w:eastAsia="zh-CN"/>
        </w:rPr>
        <w:pPrChange w:id="29" w:author="Meng, Fanhua " w:date="2015-10-22T14:35:00Z">
          <w:pPr>
            <w:spacing w:line="480" w:lineRule="auto"/>
            <w:ind w:firstLineChars="200" w:firstLine="480"/>
          </w:pPr>
        </w:pPrChange>
      </w:pPr>
      <w:r w:rsidRPr="00D21899">
        <w:rPr>
          <w:lang w:eastAsia="zh-CN"/>
        </w:rPr>
        <w:t>WRC-12</w:t>
      </w:r>
      <w:r w:rsidRPr="00D21899">
        <w:rPr>
          <w:rFonts w:hint="eastAsia"/>
          <w:lang w:eastAsia="zh-CN"/>
        </w:rPr>
        <w:t>在《无线电规则</w:t>
      </w:r>
      <w:r w:rsidRPr="00D21899">
        <w:rPr>
          <w:lang w:eastAsia="zh-CN"/>
        </w:rPr>
        <w:t>》</w:t>
      </w:r>
      <w:r w:rsidRPr="00D21899">
        <w:rPr>
          <w:rFonts w:hint="eastAsia"/>
          <w:lang w:eastAsia="zh-CN"/>
        </w:rPr>
        <w:t>第</w:t>
      </w:r>
      <w:r w:rsidRPr="00D21899">
        <w:rPr>
          <w:lang w:eastAsia="zh-CN"/>
        </w:rPr>
        <w:t>11.44B</w:t>
      </w:r>
      <w:r w:rsidRPr="00D21899">
        <w:rPr>
          <w:rFonts w:hint="eastAsia"/>
          <w:lang w:eastAsia="zh-CN"/>
        </w:rPr>
        <w:t>款中规定，</w:t>
      </w:r>
      <w:r w:rsidRPr="00D21899">
        <w:rPr>
          <w:lang w:eastAsia="zh-CN"/>
        </w:rPr>
        <w:t>对地静止轨道卫星（</w:t>
      </w:r>
      <w:r w:rsidRPr="00D21899">
        <w:rPr>
          <w:lang w:eastAsia="zh-CN"/>
        </w:rPr>
        <w:t>GSO</w:t>
      </w:r>
      <w:r w:rsidRPr="00D21899">
        <w:rPr>
          <w:lang w:eastAsia="zh-CN"/>
        </w:rPr>
        <w:t>）</w:t>
      </w:r>
      <w:r w:rsidRPr="00D21899">
        <w:rPr>
          <w:rFonts w:hint="eastAsia"/>
          <w:lang w:eastAsia="zh-CN"/>
        </w:rPr>
        <w:t>频率指配的</w:t>
      </w:r>
      <w:r w:rsidRPr="00D21899">
        <w:rPr>
          <w:lang w:eastAsia="zh-CN"/>
        </w:rPr>
        <w:t>启用</w:t>
      </w:r>
      <w:r w:rsidRPr="00D21899">
        <w:rPr>
          <w:rFonts w:hint="eastAsia"/>
          <w:lang w:eastAsia="zh-CN"/>
        </w:rPr>
        <w:t>时间为九十天，并要求通知主管部门须在自</w:t>
      </w:r>
      <w:r w:rsidR="00E84DEE" w:rsidRPr="00D21899">
        <w:rPr>
          <w:rFonts w:hint="eastAsia"/>
          <w:lang w:eastAsia="zh-CN"/>
        </w:rPr>
        <w:t>该</w:t>
      </w:r>
      <w:r w:rsidRPr="00D21899">
        <w:rPr>
          <w:rFonts w:hint="eastAsia"/>
          <w:lang w:eastAsia="zh-CN"/>
        </w:rPr>
        <w:t>期限结束之日起的三十天内，将此情况通报无线电通信局。</w:t>
      </w:r>
    </w:p>
    <w:p w:rsidR="006B6CB8" w:rsidRPr="00D21899" w:rsidRDefault="00C527AA">
      <w:pPr>
        <w:ind w:firstLineChars="200" w:firstLine="480"/>
        <w:rPr>
          <w:lang w:eastAsia="zh-CN"/>
        </w:rPr>
        <w:pPrChange w:id="30" w:author="Meng, Fanhua " w:date="2015-10-22T14:35:00Z">
          <w:pPr>
            <w:spacing w:line="480" w:lineRule="auto"/>
            <w:ind w:firstLineChars="200" w:firstLine="480"/>
          </w:pPr>
        </w:pPrChange>
      </w:pPr>
      <w:r w:rsidRPr="00D21899">
        <w:rPr>
          <w:rFonts w:asciiTheme="majorBidi" w:hAnsiTheme="majorBidi" w:cstheme="majorBidi"/>
          <w:szCs w:val="24"/>
          <w:lang w:val="en-CA" w:eastAsia="zh-CN"/>
        </w:rPr>
        <w:t>随着</w:t>
      </w:r>
      <w:r w:rsidR="00E84DEE" w:rsidRPr="00D21899">
        <w:rPr>
          <w:rFonts w:hint="eastAsia"/>
          <w:lang w:eastAsia="zh-CN"/>
        </w:rPr>
        <w:t>第</w:t>
      </w:r>
      <w:r w:rsidR="00E84DEE" w:rsidRPr="00D21899">
        <w:rPr>
          <w:lang w:eastAsia="zh-CN"/>
        </w:rPr>
        <w:t>11.44B</w:t>
      </w:r>
      <w:r w:rsidR="00E84DEE" w:rsidRPr="00D21899">
        <w:rPr>
          <w:rFonts w:hint="eastAsia"/>
          <w:lang w:eastAsia="zh-CN"/>
        </w:rPr>
        <w:t>款</w:t>
      </w:r>
      <w:r w:rsidRPr="00D21899">
        <w:rPr>
          <w:rFonts w:asciiTheme="majorBidi" w:hAnsiTheme="majorBidi" w:cstheme="majorBidi"/>
          <w:szCs w:val="24"/>
          <w:lang w:val="en-CA" w:eastAsia="zh-CN"/>
        </w:rPr>
        <w:t>的生效，无线电通信局</w:t>
      </w:r>
      <w:r w:rsidR="00E84DEE" w:rsidRPr="00D21899">
        <w:rPr>
          <w:rFonts w:asciiTheme="majorBidi" w:hAnsiTheme="majorBidi" w:cstheme="majorBidi" w:hint="eastAsia"/>
          <w:szCs w:val="24"/>
          <w:lang w:val="en-CA" w:eastAsia="zh-CN"/>
        </w:rPr>
        <w:t>表示</w:t>
      </w:r>
      <w:r w:rsidRPr="00D21899">
        <w:rPr>
          <w:rFonts w:asciiTheme="majorBidi" w:hAnsiTheme="majorBidi" w:cstheme="majorBidi"/>
          <w:szCs w:val="24"/>
          <w:lang w:val="en-CA" w:eastAsia="zh-CN"/>
        </w:rPr>
        <w:t>，为了遵守</w:t>
      </w:r>
      <w:r w:rsidR="00E84DEE" w:rsidRPr="00D21899">
        <w:rPr>
          <w:rFonts w:asciiTheme="majorBidi" w:hAnsiTheme="majorBidi" w:cstheme="majorBidi" w:hint="eastAsia"/>
          <w:szCs w:val="24"/>
          <w:lang w:val="en-CA" w:eastAsia="zh-CN"/>
        </w:rPr>
        <w:t>这条有关确认投入使用的规定</w:t>
      </w:r>
      <w:r w:rsidRPr="00D21899">
        <w:rPr>
          <w:rFonts w:asciiTheme="majorBidi" w:hAnsiTheme="majorBidi" w:cstheme="majorBidi"/>
          <w:szCs w:val="24"/>
          <w:lang w:val="en-CA" w:eastAsia="zh-CN"/>
        </w:rPr>
        <w:t>，</w:t>
      </w:r>
      <w:r w:rsidRPr="00D21899">
        <w:rPr>
          <w:rFonts w:asciiTheme="majorBidi" w:hAnsiTheme="majorBidi" w:cstheme="majorBidi"/>
          <w:szCs w:val="24"/>
          <w:lang w:val="en-CA" w:eastAsia="zh-CN"/>
        </w:rPr>
        <w:t>90</w:t>
      </w:r>
      <w:r w:rsidRPr="00D21899">
        <w:rPr>
          <w:rFonts w:asciiTheme="majorBidi" w:hAnsiTheme="majorBidi" w:cstheme="majorBidi"/>
          <w:szCs w:val="24"/>
          <w:lang w:val="en-CA" w:eastAsia="zh-CN"/>
        </w:rPr>
        <w:t>天期限的开始日期不能早于按照第</w:t>
      </w:r>
      <w:r w:rsidRPr="00D21899">
        <w:rPr>
          <w:rFonts w:asciiTheme="majorBidi" w:hAnsiTheme="majorBidi" w:cstheme="majorBidi"/>
          <w:szCs w:val="24"/>
          <w:lang w:val="en-CA" w:eastAsia="zh-CN"/>
        </w:rPr>
        <w:t>11.15</w:t>
      </w:r>
      <w:r w:rsidRPr="00D21899">
        <w:rPr>
          <w:rFonts w:asciiTheme="majorBidi" w:hAnsiTheme="majorBidi" w:cstheme="majorBidi"/>
          <w:szCs w:val="24"/>
          <w:lang w:val="en-CA" w:eastAsia="zh-CN"/>
        </w:rPr>
        <w:t>款、附录</w:t>
      </w:r>
      <w:r w:rsidRPr="00D21899">
        <w:rPr>
          <w:rFonts w:asciiTheme="majorBidi" w:hAnsiTheme="majorBidi" w:cstheme="majorBidi"/>
          <w:szCs w:val="24"/>
          <w:lang w:val="en-CA" w:eastAsia="zh-CN"/>
        </w:rPr>
        <w:t>30</w:t>
      </w:r>
      <w:r w:rsidRPr="00D21899">
        <w:rPr>
          <w:rFonts w:asciiTheme="majorBidi" w:hAnsiTheme="majorBidi" w:cstheme="majorBidi"/>
          <w:szCs w:val="24"/>
          <w:lang w:val="en-CA" w:eastAsia="zh-CN"/>
        </w:rPr>
        <w:t>第</w:t>
      </w:r>
      <w:r w:rsidRPr="00D21899">
        <w:rPr>
          <w:rFonts w:asciiTheme="majorBidi" w:hAnsiTheme="majorBidi" w:cstheme="majorBidi"/>
          <w:szCs w:val="24"/>
          <w:lang w:val="en-CA" w:eastAsia="zh-CN"/>
        </w:rPr>
        <w:t>5.1.3</w:t>
      </w:r>
      <w:r w:rsidRPr="00D21899">
        <w:rPr>
          <w:rFonts w:asciiTheme="majorBidi" w:hAnsiTheme="majorBidi" w:cstheme="majorBidi"/>
          <w:szCs w:val="24"/>
          <w:lang w:val="en-CA" w:eastAsia="zh-CN"/>
        </w:rPr>
        <w:t>段、附录</w:t>
      </w:r>
      <w:r w:rsidRPr="00D21899">
        <w:rPr>
          <w:rFonts w:asciiTheme="majorBidi" w:hAnsiTheme="majorBidi" w:cstheme="majorBidi"/>
          <w:szCs w:val="24"/>
          <w:lang w:val="en-CA" w:eastAsia="zh-CN"/>
        </w:rPr>
        <w:t>30A</w:t>
      </w:r>
      <w:r w:rsidRPr="00D21899">
        <w:rPr>
          <w:rFonts w:asciiTheme="majorBidi" w:hAnsiTheme="majorBidi" w:cstheme="majorBidi"/>
          <w:szCs w:val="24"/>
          <w:lang w:val="en-CA" w:eastAsia="zh-CN"/>
        </w:rPr>
        <w:t>第</w:t>
      </w:r>
      <w:r w:rsidRPr="00D21899">
        <w:rPr>
          <w:rFonts w:asciiTheme="majorBidi" w:hAnsiTheme="majorBidi" w:cstheme="majorBidi"/>
          <w:szCs w:val="24"/>
          <w:lang w:val="en-CA" w:eastAsia="zh-CN"/>
        </w:rPr>
        <w:t>5.1.7</w:t>
      </w:r>
      <w:r w:rsidRPr="00D21899">
        <w:rPr>
          <w:rFonts w:asciiTheme="majorBidi" w:hAnsiTheme="majorBidi" w:cstheme="majorBidi"/>
          <w:szCs w:val="24"/>
          <w:lang w:val="en-CA" w:eastAsia="zh-CN"/>
        </w:rPr>
        <w:t>段或附录</w:t>
      </w:r>
      <w:r w:rsidRPr="00D21899">
        <w:rPr>
          <w:rFonts w:asciiTheme="majorBidi" w:hAnsiTheme="majorBidi" w:cstheme="majorBidi"/>
          <w:szCs w:val="24"/>
          <w:lang w:val="en-CA" w:eastAsia="zh-CN"/>
        </w:rPr>
        <w:t>30B</w:t>
      </w:r>
      <w:r w:rsidRPr="00D21899">
        <w:rPr>
          <w:rFonts w:asciiTheme="majorBidi" w:hAnsiTheme="majorBidi" w:cstheme="majorBidi"/>
          <w:szCs w:val="24"/>
          <w:lang w:val="en-CA" w:eastAsia="zh-CN"/>
        </w:rPr>
        <w:t>第</w:t>
      </w:r>
      <w:r w:rsidRPr="00D21899">
        <w:rPr>
          <w:rFonts w:asciiTheme="majorBidi" w:hAnsiTheme="majorBidi" w:cstheme="majorBidi"/>
          <w:szCs w:val="24"/>
          <w:lang w:val="en-CA" w:eastAsia="zh-CN"/>
        </w:rPr>
        <w:t>8.1</w:t>
      </w:r>
      <w:r w:rsidRPr="00D21899">
        <w:rPr>
          <w:rFonts w:asciiTheme="majorBidi" w:hAnsiTheme="majorBidi" w:cstheme="majorBidi"/>
          <w:szCs w:val="24"/>
          <w:lang w:val="en-CA" w:eastAsia="zh-CN"/>
        </w:rPr>
        <w:t>段收妥通知资料日期前</w:t>
      </w:r>
      <w:r w:rsidRPr="00D21899">
        <w:rPr>
          <w:rFonts w:asciiTheme="majorBidi" w:hAnsiTheme="majorBidi" w:cstheme="majorBidi"/>
          <w:szCs w:val="24"/>
          <w:lang w:val="en-CA" w:eastAsia="zh-CN"/>
        </w:rPr>
        <w:t>120</w:t>
      </w:r>
      <w:r w:rsidRPr="00D21899">
        <w:rPr>
          <w:rFonts w:asciiTheme="majorBidi" w:hAnsiTheme="majorBidi" w:cstheme="majorBidi"/>
          <w:szCs w:val="24"/>
          <w:lang w:val="en-CA" w:eastAsia="zh-CN"/>
        </w:rPr>
        <w:t>天。</w:t>
      </w:r>
      <w:r w:rsidRPr="00D21899">
        <w:rPr>
          <w:rFonts w:asciiTheme="majorBidi" w:hAnsiTheme="majorBidi" w:cstheme="majorBidi" w:hint="eastAsia"/>
          <w:szCs w:val="24"/>
          <w:lang w:val="en-CA" w:eastAsia="zh-CN"/>
        </w:rPr>
        <w:t>这便在</w:t>
      </w:r>
      <w:r w:rsidR="00E84DEE" w:rsidRPr="00D21899">
        <w:rPr>
          <w:rFonts w:asciiTheme="majorBidi" w:hAnsiTheme="majorBidi" w:cstheme="majorBidi" w:hint="eastAsia"/>
          <w:szCs w:val="24"/>
          <w:lang w:val="en-CA" w:eastAsia="zh-CN"/>
        </w:rPr>
        <w:t>一个卫星网络</w:t>
      </w:r>
      <w:r w:rsidRPr="00D21899">
        <w:rPr>
          <w:rFonts w:asciiTheme="majorBidi" w:hAnsiTheme="majorBidi" w:cstheme="majorBidi" w:hint="eastAsia"/>
          <w:szCs w:val="24"/>
          <w:lang w:val="en-CA" w:eastAsia="zh-CN"/>
        </w:rPr>
        <w:t>启用</w:t>
      </w:r>
      <w:r w:rsidRPr="00D21899">
        <w:rPr>
          <w:rFonts w:asciiTheme="majorBidi" w:hAnsiTheme="majorBidi" w:cstheme="majorBidi"/>
          <w:szCs w:val="24"/>
          <w:lang w:val="en-CA" w:eastAsia="zh-CN"/>
        </w:rPr>
        <w:t>期和通知</w:t>
      </w:r>
      <w:r w:rsidR="00E84DEE" w:rsidRPr="00D21899">
        <w:rPr>
          <w:rFonts w:asciiTheme="majorBidi" w:hAnsiTheme="majorBidi" w:cstheme="majorBidi" w:hint="eastAsia"/>
          <w:szCs w:val="24"/>
          <w:lang w:val="en-CA" w:eastAsia="zh-CN"/>
        </w:rPr>
        <w:t>资料接收日期</w:t>
      </w:r>
      <w:r w:rsidRPr="00D21899">
        <w:rPr>
          <w:rFonts w:asciiTheme="majorBidi" w:hAnsiTheme="majorBidi" w:cstheme="majorBidi" w:hint="eastAsia"/>
          <w:szCs w:val="24"/>
          <w:lang w:val="en-CA" w:eastAsia="zh-CN"/>
        </w:rPr>
        <w:t>之间建立了联系。</w:t>
      </w:r>
      <w:r w:rsidR="00E84DEE" w:rsidRPr="00D21899">
        <w:rPr>
          <w:rFonts w:asciiTheme="majorBidi" w:hAnsiTheme="majorBidi" w:cstheme="majorBidi" w:hint="eastAsia"/>
          <w:szCs w:val="24"/>
          <w:lang w:val="en-CA" w:eastAsia="zh-CN"/>
        </w:rPr>
        <w:t>但是，</w:t>
      </w:r>
      <w:r w:rsidRPr="00D21899">
        <w:rPr>
          <w:rFonts w:hint="eastAsia"/>
          <w:lang w:val="en-CA" w:eastAsia="zh-CN"/>
          <w:rPrChange w:id="31" w:author="Liu, Sanping" w:date="2015-03-11T14:37:00Z">
            <w:rPr>
              <w:rFonts w:hint="eastAsia"/>
              <w:szCs w:val="24"/>
              <w:lang w:val="en-CA" w:eastAsia="zh-CN"/>
            </w:rPr>
          </w:rPrChange>
        </w:rPr>
        <w:t>各主管部门</w:t>
      </w:r>
      <w:r w:rsidR="00E84DEE" w:rsidRPr="00D21899">
        <w:rPr>
          <w:rFonts w:hint="eastAsia"/>
          <w:lang w:val="en-CA" w:eastAsia="zh-CN"/>
        </w:rPr>
        <w:t>普遍</w:t>
      </w:r>
      <w:r w:rsidRPr="00D21899">
        <w:rPr>
          <w:rFonts w:hint="eastAsia"/>
          <w:lang w:val="en-CA" w:eastAsia="zh-CN"/>
          <w:rPrChange w:id="32" w:author="Liu, Sanping" w:date="2015-03-11T14:37:00Z">
            <w:rPr>
              <w:rFonts w:hint="eastAsia"/>
              <w:szCs w:val="24"/>
              <w:lang w:val="en-CA" w:eastAsia="zh-CN"/>
            </w:rPr>
          </w:rPrChange>
        </w:rPr>
        <w:t>认为</w:t>
      </w:r>
      <w:r w:rsidRPr="00D21899">
        <w:rPr>
          <w:lang w:val="en-CA" w:eastAsia="zh-CN"/>
          <w:rPrChange w:id="33" w:author="Liu, Sanping" w:date="2015-03-11T14:37:00Z">
            <w:rPr>
              <w:szCs w:val="24"/>
              <w:lang w:val="en-CA" w:eastAsia="zh-CN"/>
            </w:rPr>
          </w:rPrChange>
        </w:rPr>
        <w:t>WRC-12</w:t>
      </w:r>
      <w:r w:rsidRPr="00D21899">
        <w:rPr>
          <w:rFonts w:hint="eastAsia"/>
          <w:lang w:val="en-CA" w:eastAsia="zh-CN"/>
          <w:rPrChange w:id="34" w:author="Liu, Sanping" w:date="2015-03-11T14:37:00Z">
            <w:rPr>
              <w:rFonts w:hint="eastAsia"/>
              <w:szCs w:val="24"/>
              <w:lang w:val="en-CA" w:eastAsia="zh-CN"/>
            </w:rPr>
          </w:rPrChange>
        </w:rPr>
        <w:t>并未明确决定引入这一联系。</w:t>
      </w:r>
    </w:p>
    <w:p w:rsidR="006B6CB8" w:rsidRPr="00D21899" w:rsidRDefault="00E84DEE">
      <w:pPr>
        <w:ind w:firstLineChars="200" w:firstLine="480"/>
        <w:rPr>
          <w:lang w:eastAsia="zh-CN"/>
        </w:rPr>
        <w:pPrChange w:id="35" w:author="Meng, Fanhua " w:date="2015-10-22T14:35:00Z">
          <w:pPr>
            <w:spacing w:line="480" w:lineRule="auto"/>
            <w:ind w:firstLineChars="200" w:firstLine="480"/>
          </w:pPr>
        </w:pPrChange>
      </w:pPr>
      <w:r w:rsidRPr="00D21899">
        <w:rPr>
          <w:rFonts w:hint="eastAsia"/>
          <w:lang w:eastAsia="zh-CN"/>
        </w:rPr>
        <w:t>因此，欧洲建议引入一条第</w:t>
      </w:r>
      <w:r w:rsidRPr="00D21899">
        <w:rPr>
          <w:lang w:eastAsia="zh-CN"/>
        </w:rPr>
        <w:t>11.44B</w:t>
      </w:r>
      <w:r w:rsidRPr="00D21899">
        <w:rPr>
          <w:rFonts w:hint="eastAsia"/>
          <w:lang w:eastAsia="zh-CN"/>
        </w:rPr>
        <w:t>款的脚注，明确去除这一意料之外的联系，以便</w:t>
      </w:r>
      <w:r w:rsidR="00C527AA" w:rsidRPr="00D21899">
        <w:rPr>
          <w:rFonts w:hint="eastAsia"/>
          <w:lang w:eastAsia="zh-CN"/>
        </w:rPr>
        <w:t>对于任何对地静止卫星轨道空间电台频率指配</w:t>
      </w:r>
      <w:r w:rsidRPr="00D21899">
        <w:rPr>
          <w:rFonts w:hint="eastAsia"/>
          <w:lang w:eastAsia="zh-CN"/>
        </w:rPr>
        <w:t>的</w:t>
      </w:r>
      <w:r w:rsidR="00C527AA" w:rsidRPr="00D21899">
        <w:rPr>
          <w:rFonts w:hint="eastAsia"/>
          <w:lang w:eastAsia="zh-CN"/>
        </w:rPr>
        <w:t>通知资料，如其启用日期在该通知单收妥日期前</w:t>
      </w:r>
      <w:r w:rsidR="00C527AA" w:rsidRPr="00D21899">
        <w:rPr>
          <w:lang w:eastAsia="zh-CN"/>
        </w:rPr>
        <w:t>120</w:t>
      </w:r>
      <w:r w:rsidR="00C527AA" w:rsidRPr="00D21899">
        <w:rPr>
          <w:rFonts w:hint="eastAsia"/>
          <w:lang w:eastAsia="zh-CN"/>
        </w:rPr>
        <w:t>天以上，只要其主管部门在提交通知资料时确认对地静止卫星轨道中的空间电台自通知的启用日期至该通知资料收妥日期已部署并连续保持在所通知轨道位置上，则该频率指配须被视为已启用。对于其他情形，第</w:t>
      </w:r>
      <w:r w:rsidR="00C527AA" w:rsidRPr="00D21899">
        <w:rPr>
          <w:lang w:eastAsia="zh-CN"/>
        </w:rPr>
        <w:t>11.44B</w:t>
      </w:r>
      <w:r w:rsidR="00C527AA" w:rsidRPr="00D21899">
        <w:rPr>
          <w:rFonts w:hint="eastAsia"/>
          <w:lang w:eastAsia="zh-CN"/>
        </w:rPr>
        <w:t>款可照常适用。</w:t>
      </w:r>
    </w:p>
    <w:p w:rsidR="006B6CB8" w:rsidRDefault="0072528B">
      <w:pPr>
        <w:ind w:firstLineChars="200" w:firstLine="480"/>
        <w:rPr>
          <w:lang w:eastAsia="zh-CN"/>
        </w:rPr>
        <w:pPrChange w:id="36" w:author="Meng, Fanhua " w:date="2015-10-22T14:35:00Z">
          <w:pPr>
            <w:spacing w:line="480" w:lineRule="auto"/>
            <w:ind w:firstLineChars="200" w:firstLine="480"/>
          </w:pPr>
        </w:pPrChange>
      </w:pPr>
      <w:r>
        <w:rPr>
          <w:rFonts w:hint="eastAsia"/>
          <w:lang w:eastAsia="zh-CN"/>
        </w:rPr>
        <w:t>这些欧洲提案符合</w:t>
      </w:r>
      <w:r>
        <w:rPr>
          <w:rFonts w:hint="eastAsia"/>
          <w:lang w:eastAsia="zh-CN"/>
        </w:rPr>
        <w:t>CPM</w:t>
      </w:r>
      <w:r>
        <w:rPr>
          <w:rFonts w:hint="eastAsia"/>
          <w:lang w:eastAsia="zh-CN"/>
        </w:rPr>
        <w:t>报告所述方法</w:t>
      </w:r>
      <w:r>
        <w:rPr>
          <w:lang w:eastAsia="zh-CN"/>
        </w:rPr>
        <w:t>J1</w:t>
      </w:r>
      <w:r>
        <w:rPr>
          <w:rFonts w:hint="eastAsia"/>
          <w:lang w:eastAsia="zh-CN"/>
        </w:rPr>
        <w:t>。</w:t>
      </w:r>
    </w:p>
    <w:p w:rsidR="006B6CB8" w:rsidRPr="000D5981" w:rsidRDefault="0072528B">
      <w:pPr>
        <w:pStyle w:val="Headingb"/>
        <w:rPr>
          <w:lang w:val="en-US" w:eastAsia="zh-CN"/>
        </w:rPr>
        <w:pPrChange w:id="37" w:author="Meng, Fanhua " w:date="2015-10-22T14:35:00Z">
          <w:pPr>
            <w:pStyle w:val="headingb0"/>
            <w:spacing w:line="480" w:lineRule="auto"/>
          </w:pPr>
        </w:pPrChange>
      </w:pPr>
      <w:r>
        <w:rPr>
          <w:rFonts w:hint="eastAsia"/>
          <w:lang w:eastAsia="zh-CN"/>
        </w:rPr>
        <w:lastRenderedPageBreak/>
        <w:t>提案</w:t>
      </w:r>
    </w:p>
    <w:p w:rsidR="00DB1CAC" w:rsidRPr="00F439B1" w:rsidRDefault="00BC0CAA">
      <w:pPr>
        <w:pStyle w:val="ArtNo"/>
        <w:rPr>
          <w:lang w:eastAsia="zh-CN"/>
        </w:rPr>
        <w:pPrChange w:id="38" w:author="Meng, Fanhua " w:date="2015-10-22T14:35:00Z">
          <w:pPr>
            <w:pStyle w:val="ArtNo"/>
            <w:spacing w:line="480" w:lineRule="auto"/>
          </w:pPr>
        </w:pPrChange>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DB1CAC" w:rsidRDefault="00BC0CAA">
      <w:pPr>
        <w:pStyle w:val="Arttitle"/>
        <w:rPr>
          <w:bCs/>
          <w:sz w:val="16"/>
          <w:szCs w:val="16"/>
          <w:lang w:val="en-US" w:eastAsia="zh-CN"/>
        </w:rPr>
        <w:pPrChange w:id="39" w:author="Meng, Fanhua " w:date="2015-10-22T14:35:00Z">
          <w:pPr>
            <w:pStyle w:val="Arttitle"/>
            <w:spacing w:line="480" w:lineRule="auto"/>
          </w:pPr>
        </w:pPrChange>
      </w:pPr>
      <w:bookmarkStart w:id="40"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40"/>
    </w:p>
    <w:p w:rsidR="00DB1CAC" w:rsidRPr="00B20B08" w:rsidRDefault="00BC0CAA">
      <w:pPr>
        <w:pStyle w:val="Section1"/>
        <w:rPr>
          <w:lang w:eastAsia="zh-CN"/>
        </w:rPr>
        <w:pPrChange w:id="41" w:author="Meng, Fanhua " w:date="2015-10-22T14:35:00Z">
          <w:pPr>
            <w:pStyle w:val="Section1"/>
            <w:spacing w:line="480" w:lineRule="auto"/>
          </w:pPr>
        </w:pPrChange>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696497" w:rsidRDefault="00BC0CAA">
      <w:pPr>
        <w:pStyle w:val="Proposal"/>
        <w:rPr>
          <w:lang w:eastAsia="zh-CN"/>
        </w:rPr>
        <w:pPrChange w:id="42" w:author="Meng, Fanhua " w:date="2015-10-22T14:35:00Z">
          <w:pPr>
            <w:pStyle w:val="Proposal"/>
            <w:spacing w:line="480" w:lineRule="auto"/>
          </w:pPr>
        </w:pPrChange>
      </w:pPr>
      <w:r>
        <w:rPr>
          <w:lang w:eastAsia="zh-CN"/>
        </w:rPr>
        <w:t>MOD</w:t>
      </w:r>
      <w:r>
        <w:rPr>
          <w:lang w:eastAsia="zh-CN"/>
        </w:rPr>
        <w:tab/>
        <w:t>EUR/9A21A10/1</w:t>
      </w:r>
    </w:p>
    <w:p w:rsidR="00DB1CAC" w:rsidRDefault="00BC0CAA">
      <w:pPr>
        <w:rPr>
          <w:lang w:eastAsia="zh-CN"/>
        </w:rPr>
        <w:pPrChange w:id="43" w:author="Meng, Fanhua " w:date="2015-10-22T14:35:00Z">
          <w:pPr>
            <w:spacing w:line="480" w:lineRule="auto"/>
          </w:pPr>
        </w:pPrChange>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44" w:author="Tao, Yingsheng" w:date="2015-10-21T16:46:00Z">
        <w:r w:rsidR="00EC545A" w:rsidRPr="0037251C">
          <w:rPr>
            <w:rStyle w:val="FootnoteReference"/>
          </w:rPr>
          <w:t>21</w:t>
        </w:r>
        <w:proofErr w:type="spellStart"/>
        <w:r w:rsidR="00EC545A" w:rsidRPr="0037251C">
          <w:rPr>
            <w:rStyle w:val="FootnoteReference"/>
            <w:rFonts w:ascii="STKaiti" w:eastAsia="STKaiti" w:hAnsi="STKaiti" w:hint="eastAsia"/>
          </w:rPr>
          <w:t>之</w:t>
        </w:r>
        <w:r w:rsidR="00EC545A" w:rsidRPr="0037251C">
          <w:rPr>
            <w:rStyle w:val="FootnoteReference"/>
            <w:rFonts w:ascii="STKaiti" w:eastAsia="STKaiti" w:hAnsi="STKaiti"/>
          </w:rPr>
          <w:t>二</w:t>
        </w:r>
      </w:ins>
      <w:proofErr w:type="spellEnd"/>
      <w:r w:rsidRPr="005829E7">
        <w:rPr>
          <w:rFonts w:hint="eastAsia"/>
          <w:lang w:eastAsia="zh-CN"/>
        </w:rPr>
        <w:t>。</w:t>
      </w:r>
      <w:r w:rsidRPr="005829E7">
        <w:rPr>
          <w:rFonts w:hint="eastAsia"/>
          <w:sz w:val="16"/>
          <w:szCs w:val="16"/>
          <w:lang w:val="en-US" w:eastAsia="zh-CN"/>
        </w:rPr>
        <w:t>（</w:t>
      </w:r>
      <w:r w:rsidRPr="005829E7">
        <w:rPr>
          <w:sz w:val="16"/>
          <w:szCs w:val="16"/>
          <w:lang w:val="en-US" w:eastAsia="zh-CN"/>
        </w:rPr>
        <w:t>WRC-</w:t>
      </w:r>
      <w:del w:id="45" w:author="Tao, Yingsheng" w:date="2015-10-21T16:46:00Z">
        <w:r w:rsidRPr="005829E7" w:rsidDel="002D73CA">
          <w:rPr>
            <w:sz w:val="16"/>
            <w:szCs w:val="16"/>
            <w:lang w:val="en-US" w:eastAsia="zh-CN"/>
          </w:rPr>
          <w:delText>12</w:delText>
        </w:r>
      </w:del>
      <w:ins w:id="46" w:author="Tao, Yingsheng" w:date="2015-10-21T16:46:00Z">
        <w:r w:rsidR="002D73CA">
          <w:rPr>
            <w:rFonts w:hint="eastAsia"/>
            <w:sz w:val="16"/>
            <w:szCs w:val="16"/>
            <w:lang w:val="en-US" w:eastAsia="zh-CN"/>
          </w:rPr>
          <w:t>15</w:t>
        </w:r>
      </w:ins>
      <w:r w:rsidRPr="005829E7">
        <w:rPr>
          <w:rFonts w:hint="eastAsia"/>
          <w:sz w:val="16"/>
          <w:szCs w:val="16"/>
          <w:lang w:val="en-US" w:eastAsia="zh-CN"/>
        </w:rPr>
        <w:t>）</w:t>
      </w:r>
    </w:p>
    <w:p w:rsidR="00696497" w:rsidRDefault="00696497">
      <w:pPr>
        <w:pStyle w:val="Reasons"/>
        <w:rPr>
          <w:lang w:eastAsia="zh-CN"/>
        </w:rPr>
        <w:pPrChange w:id="47" w:author="Meng, Fanhua " w:date="2015-10-22T14:35:00Z">
          <w:pPr>
            <w:pStyle w:val="Reasons"/>
            <w:spacing w:line="480" w:lineRule="auto"/>
          </w:pPr>
        </w:pPrChange>
      </w:pPr>
    </w:p>
    <w:p w:rsidR="00696497" w:rsidRDefault="00BC0CAA">
      <w:pPr>
        <w:pStyle w:val="Proposal"/>
        <w:rPr>
          <w:lang w:eastAsia="zh-CN"/>
        </w:rPr>
        <w:pPrChange w:id="48" w:author="Meng, Fanhua " w:date="2015-10-22T14:35:00Z">
          <w:pPr>
            <w:pStyle w:val="Proposal"/>
            <w:spacing w:line="480" w:lineRule="auto"/>
          </w:pPr>
        </w:pPrChange>
      </w:pPr>
      <w:r>
        <w:rPr>
          <w:lang w:eastAsia="zh-CN"/>
        </w:rPr>
        <w:t>ADD</w:t>
      </w:r>
      <w:r>
        <w:rPr>
          <w:lang w:eastAsia="zh-CN"/>
        </w:rPr>
        <w:tab/>
        <w:t>EUR/9A21A10/2</w:t>
      </w:r>
    </w:p>
    <w:p w:rsidR="006B6CB8" w:rsidRDefault="006B6CB8">
      <w:pPr>
        <w:rPr>
          <w:lang w:eastAsia="zh-CN"/>
        </w:rPr>
        <w:pPrChange w:id="49" w:author="Meng, Fanhua " w:date="2015-10-22T14:35:00Z">
          <w:pPr>
            <w:spacing w:line="480" w:lineRule="auto"/>
          </w:pPr>
        </w:pPrChange>
      </w:pPr>
      <w:r>
        <w:rPr>
          <w:lang w:eastAsia="zh-CN"/>
        </w:rPr>
        <w:t>_______________</w:t>
      </w:r>
    </w:p>
    <w:p w:rsidR="006B6CB8" w:rsidRDefault="006B6CB8">
      <w:pPr>
        <w:rPr>
          <w:lang w:eastAsia="zh-CN"/>
        </w:rPr>
        <w:pPrChange w:id="50" w:author="Meng, Fanhua " w:date="2015-10-22T14:35:00Z">
          <w:pPr>
            <w:spacing w:line="480" w:lineRule="auto"/>
          </w:pPr>
        </w:pPrChange>
      </w:pPr>
      <w:r w:rsidRPr="00E90BC1">
        <w:rPr>
          <w:rStyle w:val="Artdef"/>
          <w:vertAlign w:val="superscript"/>
          <w:lang w:eastAsia="zh-CN"/>
        </w:rPr>
        <w:t>21</w:t>
      </w:r>
      <w:r w:rsidR="00C527AA" w:rsidRPr="001D4529">
        <w:rPr>
          <w:rStyle w:val="FootnoteReference"/>
          <w:rFonts w:ascii="STKaiti" w:eastAsia="STKaiti" w:hAnsi="STKaiti" w:hint="eastAsia"/>
          <w:sz w:val="16"/>
          <w:szCs w:val="16"/>
          <w:lang w:eastAsia="zh-CN"/>
        </w:rPr>
        <w:t>之</w:t>
      </w:r>
      <w:r w:rsidR="00C527AA" w:rsidRPr="001D4529">
        <w:rPr>
          <w:rStyle w:val="FootnoteReference"/>
          <w:rFonts w:ascii="STKaiti" w:eastAsia="STKaiti" w:hAnsi="STKaiti"/>
          <w:sz w:val="16"/>
          <w:szCs w:val="16"/>
          <w:lang w:eastAsia="zh-CN"/>
        </w:rPr>
        <w:t>二</w:t>
      </w:r>
      <w:r>
        <w:rPr>
          <w:rStyle w:val="Artdef"/>
          <w:lang w:eastAsia="zh-CN"/>
        </w:rPr>
        <w:t xml:space="preserve">  11.44B.1</w:t>
      </w:r>
      <w:r>
        <w:rPr>
          <w:lang w:eastAsia="zh-CN"/>
        </w:rPr>
        <w:tab/>
      </w:r>
      <w:r w:rsidR="00C527AA" w:rsidRPr="008B63D9">
        <w:rPr>
          <w:rFonts w:hint="eastAsia"/>
          <w:lang w:eastAsia="zh-CN"/>
        </w:rPr>
        <w:t>当某对地静止卫星轨道空间电台频率指配的启用通知日期早于通知资料收妥日期</w:t>
      </w:r>
      <w:r w:rsidR="00C527AA" w:rsidRPr="008B63D9">
        <w:rPr>
          <w:rFonts w:hint="eastAsia"/>
          <w:lang w:eastAsia="zh-CN"/>
        </w:rPr>
        <w:t>120</w:t>
      </w:r>
      <w:r w:rsidR="00C527AA" w:rsidRPr="008B63D9">
        <w:rPr>
          <w:rFonts w:hint="eastAsia"/>
          <w:lang w:eastAsia="zh-CN"/>
        </w:rPr>
        <w:t>天以上时，如果其通知主管部门在为此指配提交通知资料时确认某一具有发射或接收频率指配能力的对地静止卫星轨道中的空间电台已被部署在所通知的轨道位置并自启用通知日期至该频率指配通知资料收妥日期在该轨位连续保持，则该频率指配须视为已启用。</w:t>
      </w:r>
    </w:p>
    <w:p w:rsidR="0072528B" w:rsidRDefault="0072528B">
      <w:pPr>
        <w:pStyle w:val="Reasons"/>
        <w:rPr>
          <w:lang w:eastAsia="zh-CN"/>
        </w:rPr>
        <w:pPrChange w:id="51" w:author="Meng, Fanhua " w:date="2015-10-22T14:35:00Z">
          <w:pPr>
            <w:pStyle w:val="Reasons"/>
            <w:spacing w:line="480" w:lineRule="auto"/>
          </w:pPr>
        </w:pPrChange>
      </w:pPr>
    </w:p>
    <w:p w:rsidR="0072528B" w:rsidRDefault="0072528B">
      <w:pPr>
        <w:jc w:val="center"/>
        <w:pPrChange w:id="52" w:author="Meng, Fanhua " w:date="2015-10-22T14:35:00Z">
          <w:pPr>
            <w:spacing w:line="480" w:lineRule="auto"/>
            <w:jc w:val="center"/>
          </w:pPr>
        </w:pPrChange>
      </w:pPr>
      <w:r>
        <w:t>______________</w:t>
      </w:r>
    </w:p>
    <w:sectPr w:rsidR="0072528B">
      <w:headerReference w:type="even" r:id="rId11"/>
      <w:headerReference w:type="default" r:id="rId12"/>
      <w:footerReference w:type="even" r:id="rId13"/>
      <w:footerReference w:type="default" r:id="rId14"/>
      <w:headerReference w:type="firs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D69" w:rsidRDefault="00F21D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2A69B0" w:rsidRDefault="002A69B0" w:rsidP="002A69B0">
    <w:pPr>
      <w:pStyle w:val="Footer"/>
      <w:rPr>
        <w:lang w:val="en-US"/>
      </w:rPr>
    </w:pPr>
    <w:r>
      <w:fldChar w:fldCharType="begin"/>
    </w:r>
    <w:r w:rsidRPr="00DA0469">
      <w:rPr>
        <w:lang w:val="en-US"/>
      </w:rPr>
      <w:instrText xml:space="preserve"> FILENAME \p \* MERGEFORMAT </w:instrText>
    </w:r>
    <w:r>
      <w:fldChar w:fldCharType="separate"/>
    </w:r>
    <w:r w:rsidR="00686782">
      <w:rPr>
        <w:lang w:val="en-US"/>
      </w:rPr>
      <w:t>P:\CHI\ITU-R\CONF-R\CMR15\000\009ADD21ADD10C.docx</w:t>
    </w:r>
    <w:r>
      <w:fldChar w:fldCharType="end"/>
    </w:r>
    <w:r>
      <w:t xml:space="preserve"> (388335)</w:t>
    </w:r>
    <w:r w:rsidRPr="00DA0469">
      <w:rPr>
        <w:lang w:val="en-US"/>
      </w:rPr>
      <w:tab/>
    </w:r>
    <w:r>
      <w:fldChar w:fldCharType="begin"/>
    </w:r>
    <w:r>
      <w:instrText xml:space="preserve"> savedate \@ dd.MM.yy </w:instrText>
    </w:r>
    <w:r>
      <w:fldChar w:fldCharType="separate"/>
    </w:r>
    <w:r w:rsidR="00686782">
      <w:t>26.10.15</w:t>
    </w:r>
    <w:r>
      <w:fldChar w:fldCharType="end"/>
    </w:r>
    <w:r w:rsidRPr="00DA0469">
      <w:rPr>
        <w:lang w:val="en-US"/>
      </w:rPr>
      <w:tab/>
    </w:r>
    <w:r>
      <w:fldChar w:fldCharType="begin"/>
    </w:r>
    <w:r>
      <w:instrText xml:space="preserve"> printdate \@ dd.MM.yy </w:instrText>
    </w:r>
    <w:r>
      <w:fldChar w:fldCharType="separate"/>
    </w:r>
    <w:r w:rsidR="00686782">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686782">
      <w:rPr>
        <w:lang w:val="en-US"/>
      </w:rPr>
      <w:t>P:\CHI\ITU-R\CONF-R\CMR15\000\009ADD21ADD10C.docx</w:t>
    </w:r>
    <w:r>
      <w:fldChar w:fldCharType="end"/>
    </w:r>
    <w:r w:rsidR="002A69B0">
      <w:t xml:space="preserve"> (388335)</w:t>
    </w:r>
    <w:r w:rsidRPr="00DA0469">
      <w:rPr>
        <w:lang w:val="en-US"/>
      </w:rPr>
      <w:tab/>
    </w:r>
    <w:r>
      <w:fldChar w:fldCharType="begin"/>
    </w:r>
    <w:r>
      <w:instrText xml:space="preserve"> savedate \@ dd.MM.yy </w:instrText>
    </w:r>
    <w:r>
      <w:fldChar w:fldCharType="separate"/>
    </w:r>
    <w:r w:rsidR="00686782">
      <w:t>26.10.15</w:t>
    </w:r>
    <w:r>
      <w:fldChar w:fldCharType="end"/>
    </w:r>
    <w:r w:rsidRPr="00DA0469">
      <w:rPr>
        <w:lang w:val="en-US"/>
      </w:rPr>
      <w:tab/>
    </w:r>
    <w:r>
      <w:fldChar w:fldCharType="begin"/>
    </w:r>
    <w:r>
      <w:instrText xml:space="preserve"> printdate \@ dd.MM.yy </w:instrText>
    </w:r>
    <w:r>
      <w:fldChar w:fldCharType="separate"/>
    </w:r>
    <w:r w:rsidR="00686782">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D69" w:rsidRDefault="00F21D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86782">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9(Add.21)(Add.10)-</w:t>
    </w:r>
    <w:r w:rsidR="00C929E0"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D69" w:rsidRDefault="00F21D69">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g, Fanhua ">
    <w15:presenceInfo w15:providerId="AD" w15:userId="S-1-5-21-8740799-900759487-1415713722-52068"/>
  </w15:person>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D5981"/>
    <w:rsid w:val="000E26F6"/>
    <w:rsid w:val="00123C07"/>
    <w:rsid w:val="00166859"/>
    <w:rsid w:val="001765EC"/>
    <w:rsid w:val="001853E8"/>
    <w:rsid w:val="001B6360"/>
    <w:rsid w:val="001F4EA6"/>
    <w:rsid w:val="00214959"/>
    <w:rsid w:val="002260A6"/>
    <w:rsid w:val="002742B3"/>
    <w:rsid w:val="002A42AF"/>
    <w:rsid w:val="002A4C9C"/>
    <w:rsid w:val="002A69B0"/>
    <w:rsid w:val="002B509B"/>
    <w:rsid w:val="002D73CA"/>
    <w:rsid w:val="002E2A59"/>
    <w:rsid w:val="002E4507"/>
    <w:rsid w:val="00305254"/>
    <w:rsid w:val="003169D2"/>
    <w:rsid w:val="0037251C"/>
    <w:rsid w:val="003B4BEF"/>
    <w:rsid w:val="003C6B45"/>
    <w:rsid w:val="0041282E"/>
    <w:rsid w:val="00437869"/>
    <w:rsid w:val="00465A34"/>
    <w:rsid w:val="004C4554"/>
    <w:rsid w:val="004D2DEC"/>
    <w:rsid w:val="004D6EC3"/>
    <w:rsid w:val="004F2BE6"/>
    <w:rsid w:val="00527E8A"/>
    <w:rsid w:val="00542E85"/>
    <w:rsid w:val="00562479"/>
    <w:rsid w:val="00576849"/>
    <w:rsid w:val="005A0ACB"/>
    <w:rsid w:val="005E08D2"/>
    <w:rsid w:val="005E7FD8"/>
    <w:rsid w:val="00622560"/>
    <w:rsid w:val="00644391"/>
    <w:rsid w:val="00647712"/>
    <w:rsid w:val="00662E12"/>
    <w:rsid w:val="00686782"/>
    <w:rsid w:val="00691142"/>
    <w:rsid w:val="00696497"/>
    <w:rsid w:val="006B67CE"/>
    <w:rsid w:val="006B6CB8"/>
    <w:rsid w:val="006C38ED"/>
    <w:rsid w:val="006E6182"/>
    <w:rsid w:val="006F3C60"/>
    <w:rsid w:val="0072528B"/>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3536"/>
    <w:rsid w:val="009C72B7"/>
    <w:rsid w:val="00A0052C"/>
    <w:rsid w:val="00A31B14"/>
    <w:rsid w:val="00A323DC"/>
    <w:rsid w:val="00A466E6"/>
    <w:rsid w:val="00A815BE"/>
    <w:rsid w:val="00A90A2A"/>
    <w:rsid w:val="00AA5DA1"/>
    <w:rsid w:val="00AB0044"/>
    <w:rsid w:val="00AE369F"/>
    <w:rsid w:val="00B026CB"/>
    <w:rsid w:val="00B711CC"/>
    <w:rsid w:val="00B851D4"/>
    <w:rsid w:val="00B868FC"/>
    <w:rsid w:val="00B95072"/>
    <w:rsid w:val="00BA2C6B"/>
    <w:rsid w:val="00BB26CD"/>
    <w:rsid w:val="00BC0CAA"/>
    <w:rsid w:val="00C07239"/>
    <w:rsid w:val="00C364B1"/>
    <w:rsid w:val="00C47D87"/>
    <w:rsid w:val="00C527AA"/>
    <w:rsid w:val="00C627F9"/>
    <w:rsid w:val="00C6584D"/>
    <w:rsid w:val="00C929E0"/>
    <w:rsid w:val="00CB4E5A"/>
    <w:rsid w:val="00CC73D7"/>
    <w:rsid w:val="00CF0AD7"/>
    <w:rsid w:val="00CF0BE1"/>
    <w:rsid w:val="00D21899"/>
    <w:rsid w:val="00D52A14"/>
    <w:rsid w:val="00D6206A"/>
    <w:rsid w:val="00D74599"/>
    <w:rsid w:val="00DA0469"/>
    <w:rsid w:val="00DB7E75"/>
    <w:rsid w:val="00DD13B7"/>
    <w:rsid w:val="00DF3B0C"/>
    <w:rsid w:val="00E14984"/>
    <w:rsid w:val="00E22A25"/>
    <w:rsid w:val="00E560F1"/>
    <w:rsid w:val="00E84DEE"/>
    <w:rsid w:val="00E92319"/>
    <w:rsid w:val="00EC545A"/>
    <w:rsid w:val="00F21D69"/>
    <w:rsid w:val="00F62699"/>
    <w:rsid w:val="00F837F4"/>
    <w:rsid w:val="00FC59C4"/>
    <w:rsid w:val="00FE7B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59E95F0-323C-4389-85F4-60FA8E88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headingb0">
    <w:name w:val="heading_b"/>
    <w:basedOn w:val="Heading3"/>
    <w:next w:val="Normal"/>
    <w:rsid w:val="006B6CB8"/>
    <w:pPr>
      <w:tabs>
        <w:tab w:val="left" w:pos="567"/>
        <w:tab w:val="left" w:pos="1701"/>
        <w:tab w:val="left" w:pos="2835"/>
      </w:tabs>
      <w:spacing w:before="160"/>
      <w:ind w:left="0" w:firstLine="0"/>
      <w:outlineLvl w:val="9"/>
    </w:pPr>
    <w:rPr>
      <w:rFonts w:eastAsia="Times New Roman"/>
      <w:bCs/>
      <w:lang w:val="fr-FR"/>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B7E7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R15-WRC15-C-0009!A21-A10!MSW-C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93ABAD39-98D6-4C64-85A4-D0E8F18691BC}">
  <ds:schemaRefs>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996b2e75-67fd-4955-a3b0-5ab9934cb50b"/>
    <ds:schemaRef ds:uri="http://www.w3.org/XML/1998/namespace"/>
    <ds:schemaRef ds:uri="http://schemas.microsoft.com/office/infopath/2007/PartnerControl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972</Words>
  <Characters>1181</Characters>
  <Application>Microsoft Office Word</Application>
  <DocSecurity>0</DocSecurity>
  <Lines>57</Lines>
  <Paragraphs>26</Paragraphs>
  <ScaleCrop>false</ScaleCrop>
  <HeadingPairs>
    <vt:vector size="2" baseType="variant">
      <vt:variant>
        <vt:lpstr>Title</vt:lpstr>
      </vt:variant>
      <vt:variant>
        <vt:i4>1</vt:i4>
      </vt:variant>
    </vt:vector>
  </HeadingPairs>
  <TitlesOfParts>
    <vt:vector size="1" baseType="lpstr">
      <vt:lpstr>R15-WRC15-C-0009!A21-A10!MSW-C</vt:lpstr>
    </vt:vector>
  </TitlesOfParts>
  <Manager>General Secretariat - Pool</Manager>
  <Company>International Telecommunication Union (ITU)</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R15-WRC15-C-0009!A21-A10!MSW-C</dc:title>
  <dc:subject>World Radiocommunication Conference - 2015</dc:subject>
  <dc:creator>Documents Proposals Manager (DPM)</dc:creator>
  <cp:keywords>DPM_v5.2015.10.15_prod</cp:keywords>
  <dc:description/>
  <cp:lastModifiedBy>Wang, Yujia</cp:lastModifiedBy>
  <cp:revision>9</cp:revision>
  <cp:lastPrinted>2015-10-26T12:06:00Z</cp:lastPrinted>
  <dcterms:created xsi:type="dcterms:W3CDTF">2015-10-22T12:34:00Z</dcterms:created>
  <dcterms:modified xsi:type="dcterms:W3CDTF">2015-10-26T12:06:00Z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