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02014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02014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2014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02014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20145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20145">
              <w:rPr>
                <w:rFonts w:ascii="Verdana" w:hAnsi="Verdana"/>
                <w:rtl/>
              </w:rPr>
              <w:t xml:space="preserve">الإضافة </w:t>
            </w:r>
            <w:r w:rsidRPr="00020145">
              <w:rPr>
                <w:rFonts w:ascii="Verdana" w:hAnsi="Verdana"/>
              </w:rPr>
              <w:t>11</w:t>
            </w:r>
            <w:r w:rsidRPr="00020145">
              <w:rPr>
                <w:rFonts w:ascii="Verdana" w:hAnsi="Verdana"/>
              </w:rPr>
              <w:br/>
            </w:r>
            <w:r w:rsidRPr="00020145">
              <w:rPr>
                <w:rFonts w:ascii="Verdana" w:hAnsi="Verdana"/>
                <w:rtl/>
              </w:rPr>
              <w:t xml:space="preserve">للوثيقة </w:t>
            </w:r>
            <w:r w:rsidRPr="00020145">
              <w:rPr>
                <w:rFonts w:ascii="Verdana" w:hAnsi="Verdana"/>
              </w:rPr>
              <w:t>9(Add.21)-</w:t>
            </w:r>
            <w:r w:rsidR="00020145" w:rsidRPr="00020145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2014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2014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20145">
              <w:rPr>
                <w:rFonts w:ascii="Verdana" w:eastAsia="SimSun" w:hAnsi="Verdana"/>
              </w:rPr>
              <w:t>15</w:t>
            </w:r>
            <w:r w:rsidRPr="00020145">
              <w:rPr>
                <w:rFonts w:ascii="Verdana" w:eastAsia="SimSun" w:hAnsi="Verdana"/>
                <w:rtl/>
              </w:rPr>
              <w:t xml:space="preserve"> أكتوبر </w:t>
            </w:r>
            <w:r w:rsidRPr="00020145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2014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2014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2014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2014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20145" w:rsidP="00020145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2014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20145">
              <w:t>(K)7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733F5" w:rsidP="0070715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</w:t>
      </w:r>
      <w:r w:rsidR="00707159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فيها مدار </w:t>
      </w:r>
      <w:proofErr w:type="spellStart"/>
      <w:r w:rsidRPr="00431196">
        <w:rPr>
          <w:rFonts w:eastAsia="SimSun" w:hint="cs"/>
          <w:rtl/>
        </w:rPr>
        <w:t>السواتل</w:t>
      </w:r>
      <w:proofErr w:type="spellEnd"/>
      <w:r w:rsidRPr="00431196">
        <w:rPr>
          <w:rFonts w:eastAsia="SimSun" w:hint="cs"/>
          <w:rtl/>
        </w:rPr>
        <w:t xml:space="preserve"> المستقرة بالنسبة إلى الأرض؛</w:t>
      </w:r>
    </w:p>
    <w:p w:rsidR="00534840" w:rsidRPr="00431196" w:rsidRDefault="008733F5" w:rsidP="00156EC9">
      <w:pPr>
        <w:rPr>
          <w:rFonts w:eastAsia="SimSun"/>
          <w:spacing w:val="2"/>
          <w:lang w:bidi="ar-EG"/>
        </w:rPr>
      </w:pPr>
      <w:r w:rsidRPr="00431196">
        <w:rPr>
          <w:rFonts w:eastAsia="SimSun"/>
        </w:rPr>
        <w:t>(K)7</w:t>
      </w:r>
      <w:r w:rsidRPr="00431196">
        <w:rPr>
          <w:rFonts w:eastAsia="SimSun"/>
          <w:lang w:bidi="ar-EG"/>
        </w:rPr>
        <w:tab/>
      </w:r>
      <w:r w:rsidRPr="00431196">
        <w:rPr>
          <w:rFonts w:eastAsia="SimSun" w:hint="cs"/>
          <w:spacing w:val="2"/>
          <w:rtl/>
          <w:lang w:bidi="ar-EG"/>
        </w:rPr>
        <w:t>المسألة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/>
          <w:spacing w:val="2"/>
          <w:lang w:bidi="ar-SY"/>
        </w:rPr>
        <w:t>K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-</w:t>
      </w:r>
      <w:r w:rsidRPr="00431196">
        <w:rPr>
          <w:rFonts w:eastAsia="SimSun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 xml:space="preserve">إضافة حكم تنظيمي إلى المادة </w:t>
      </w:r>
      <w:r w:rsidR="00156EC9" w:rsidRPr="00156EC9">
        <w:rPr>
          <w:rFonts w:eastAsia="SimSun"/>
          <w:b/>
          <w:bCs/>
          <w:spacing w:val="2"/>
          <w:lang w:bidi="ar-EG"/>
        </w:rPr>
        <w:t>11</w:t>
      </w:r>
      <w:r w:rsidR="00156EC9">
        <w:rPr>
          <w:rFonts w:eastAsia="SimSun" w:hint="cs"/>
          <w:spacing w:val="2"/>
          <w:rtl/>
          <w:lang w:bidi="ar-EG"/>
        </w:rPr>
        <w:t xml:space="preserve"> </w:t>
      </w:r>
      <w:r w:rsidRPr="00431196">
        <w:rPr>
          <w:rFonts w:eastAsia="SimSun" w:hint="cs"/>
          <w:spacing w:val="2"/>
          <w:rtl/>
          <w:lang w:bidi="ar-EG"/>
        </w:rPr>
        <w:t>من لوائح الراديو فيما يتعلق بحالة فشل الإطلاق</w:t>
      </w:r>
    </w:p>
    <w:p w:rsidR="00F16602" w:rsidRDefault="00020145" w:rsidP="0002014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20145" w:rsidRDefault="00156EC9" w:rsidP="007F1783">
      <w:pPr>
        <w:rPr>
          <w:lang w:bidi="ar-EG"/>
        </w:rPr>
      </w:pPr>
      <w:r>
        <w:rPr>
          <w:rFonts w:hint="cs"/>
          <w:rtl/>
          <w:lang w:bidi="ar-EG"/>
        </w:rPr>
        <w:t xml:space="preserve">أدخلت هذه المسألة لأول مرة في الدورة الدراسية هذه خلال الاجتماع التحضيري الثاني للمؤتمر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(CMP15-2)</w:t>
      </w:r>
      <w:r>
        <w:rPr>
          <w:rFonts w:hint="cs"/>
          <w:rtl/>
          <w:lang w:bidi="ar-EG"/>
        </w:rPr>
        <w:t xml:space="preserve"> لاقتراح أحكام تنظيمية يمكن أن تغطي حالة فشل إطلاق يجعل</w:t>
      </w:r>
      <w:r w:rsidR="006649A4">
        <w:rPr>
          <w:rFonts w:hint="cs"/>
          <w:rtl/>
          <w:lang w:bidi="ar-EG"/>
        </w:rPr>
        <w:t xml:space="preserve"> محطة </w:t>
      </w:r>
      <w:r>
        <w:rPr>
          <w:rFonts w:hint="cs"/>
          <w:rtl/>
          <w:lang w:bidi="ar-EG"/>
        </w:rPr>
        <w:t xml:space="preserve">فضائية </w:t>
      </w:r>
      <w:r w:rsidR="006649A4">
        <w:rPr>
          <w:rFonts w:hint="cs"/>
          <w:rtl/>
          <w:lang w:bidi="ar-EG"/>
        </w:rPr>
        <w:t xml:space="preserve">غير قادرة </w:t>
      </w:r>
      <w:r>
        <w:rPr>
          <w:color w:val="000000"/>
          <w:rtl/>
        </w:rPr>
        <w:t>على وضع تخصيص تردد غير مخطط في الخدمة أو إعادة وضعه في الخدمة</w:t>
      </w:r>
      <w:r w:rsidR="006649A4">
        <w:rPr>
          <w:rFonts w:hint="cs"/>
          <w:color w:val="000000"/>
          <w:rtl/>
        </w:rPr>
        <w:t>، وذلك</w:t>
      </w:r>
      <w:r w:rsidR="006649A4">
        <w:rPr>
          <w:rFonts w:hint="cs"/>
          <w:rtl/>
          <w:lang w:bidi="ar-EG"/>
        </w:rPr>
        <w:t xml:space="preserve"> عن طريق اعتماد </w:t>
      </w:r>
      <w:r>
        <w:rPr>
          <w:rFonts w:hint="cs"/>
          <w:rtl/>
          <w:lang w:bidi="ar-EG"/>
        </w:rPr>
        <w:t>أحكام مماثلة في النطاقات غير المخطط</w:t>
      </w:r>
      <w:r w:rsidR="006649A4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كتلك التي توجد حالياً في </w:t>
      </w:r>
      <w:r w:rsidRPr="00707159">
        <w:rPr>
          <w:rFonts w:hint="cs"/>
          <w:rtl/>
          <w:lang w:bidi="ar-EG"/>
        </w:rPr>
        <w:t xml:space="preserve">التذييلات </w:t>
      </w:r>
      <w:r w:rsidR="007F1783" w:rsidRPr="00707159">
        <w:t>30</w:t>
      </w:r>
      <w:r w:rsidR="007F1783" w:rsidRPr="00707159">
        <w:rPr>
          <w:rtl/>
        </w:rPr>
        <w:t xml:space="preserve"> و</w:t>
      </w:r>
      <w:r w:rsidR="007F1783" w:rsidRPr="00707159">
        <w:t>30A</w:t>
      </w:r>
      <w:r w:rsidR="007F1783" w:rsidRPr="00707159">
        <w:rPr>
          <w:rtl/>
        </w:rPr>
        <w:t xml:space="preserve"> </w:t>
      </w:r>
      <w:r w:rsidR="007F1783" w:rsidRPr="00707159">
        <w:rPr>
          <w:rFonts w:hint="cs"/>
          <w:rtl/>
        </w:rPr>
        <w:t>و</w:t>
      </w:r>
      <w:r w:rsidR="007F1783" w:rsidRPr="00707159">
        <w:t>30B</w:t>
      </w:r>
      <w:r w:rsidRPr="00707159">
        <w:rPr>
          <w:rFonts w:hint="cs"/>
          <w:rtl/>
          <w:lang w:bidi="ar-EG"/>
        </w:rPr>
        <w:t xml:space="preserve"> للوائح الراديو</w:t>
      </w:r>
      <w:r>
        <w:rPr>
          <w:rFonts w:hint="cs"/>
          <w:rtl/>
          <w:lang w:bidi="ar-EG"/>
        </w:rPr>
        <w:t>.</w:t>
      </w:r>
      <w:r w:rsidR="006649A4">
        <w:rPr>
          <w:rFonts w:hint="cs"/>
          <w:rtl/>
          <w:lang w:bidi="ar-EG"/>
        </w:rPr>
        <w:t xml:space="preserve"> ومع ذلك فقد أبرزت المنقاشات التي دارت خلال الاجتماع </w:t>
      </w:r>
      <w:r w:rsidR="006649A4">
        <w:rPr>
          <w:lang w:bidi="ar-EG"/>
        </w:rPr>
        <w:t>CMP15-2</w:t>
      </w:r>
      <w:r w:rsidR="006649A4">
        <w:rPr>
          <w:rFonts w:hint="cs"/>
          <w:rtl/>
          <w:lang w:bidi="ar-EG"/>
        </w:rPr>
        <w:t xml:space="preserve"> بعض الفروقات بين النطاقات التي لا زالت تحتاج إلى مزيد من الدراسة المفصلة</w:t>
      </w:r>
      <w:r w:rsidR="00687A5D" w:rsidRPr="00687A5D">
        <w:rPr>
          <w:rFonts w:hint="cs"/>
          <w:rtl/>
          <w:lang w:bidi="ar-EG"/>
        </w:rPr>
        <w:t xml:space="preserve"> </w:t>
      </w:r>
      <w:r w:rsidR="00687A5D">
        <w:rPr>
          <w:rFonts w:hint="cs"/>
          <w:rtl/>
          <w:lang w:bidi="ar-EG"/>
        </w:rPr>
        <w:t>لتجن</w:t>
      </w:r>
      <w:r w:rsidR="00707159">
        <w:rPr>
          <w:rFonts w:hint="cs"/>
          <w:rtl/>
          <w:lang w:bidi="ar-EG"/>
        </w:rPr>
        <w:t>ّ</w:t>
      </w:r>
      <w:r w:rsidR="00687A5D">
        <w:rPr>
          <w:rFonts w:hint="cs"/>
          <w:rtl/>
          <w:lang w:bidi="ar-EG"/>
        </w:rPr>
        <w:t>ب التجاوزات المحتملة</w:t>
      </w:r>
      <w:r w:rsidR="006649A4">
        <w:rPr>
          <w:rFonts w:hint="cs"/>
          <w:rtl/>
          <w:lang w:bidi="ar-EG"/>
        </w:rPr>
        <w:t xml:space="preserve"> قبل اتخاذ</w:t>
      </w:r>
      <w:r w:rsidR="00687A5D">
        <w:rPr>
          <w:rFonts w:hint="cs"/>
          <w:rtl/>
          <w:lang w:bidi="ar-EG"/>
        </w:rPr>
        <w:t xml:space="preserve"> مثل هذا القرار في</w:t>
      </w:r>
      <w:r w:rsidR="006649A4">
        <w:rPr>
          <w:rFonts w:hint="cs"/>
          <w:rtl/>
          <w:lang w:bidi="ar-EG"/>
        </w:rPr>
        <w:t xml:space="preserve"> المؤتمر </w:t>
      </w:r>
      <w:r w:rsidR="006649A4">
        <w:rPr>
          <w:lang w:bidi="ar-EG"/>
        </w:rPr>
        <w:t>WRC-15</w:t>
      </w:r>
      <w:r w:rsidR="006649A4">
        <w:rPr>
          <w:rFonts w:hint="cs"/>
          <w:rtl/>
          <w:lang w:bidi="ar-EG"/>
        </w:rPr>
        <w:t>.</w:t>
      </w:r>
    </w:p>
    <w:p w:rsidR="00687A5D" w:rsidRDefault="00687A5D" w:rsidP="00707159">
      <w:pPr>
        <w:rPr>
          <w:color w:val="000000"/>
          <w:rtl/>
          <w:lang w:bidi="ar-EG"/>
        </w:rPr>
      </w:pPr>
      <w:r w:rsidRPr="004F602D">
        <w:rPr>
          <w:rFonts w:hint="cs"/>
          <w:rtl/>
          <w:lang w:bidi="ar-EG"/>
        </w:rPr>
        <w:t>تجدر الإشارة إلى أن الإد</w:t>
      </w:r>
      <w:r w:rsidR="00707159">
        <w:rPr>
          <w:rFonts w:hint="cs"/>
          <w:rtl/>
          <w:lang w:bidi="ar-EG"/>
        </w:rPr>
        <w:t>ا</w:t>
      </w:r>
      <w:r w:rsidRPr="004F602D">
        <w:rPr>
          <w:rFonts w:hint="cs"/>
          <w:rtl/>
          <w:lang w:bidi="ar-EG"/>
        </w:rPr>
        <w:t xml:space="preserve">رات </w:t>
      </w:r>
      <w:r w:rsidR="004F602D">
        <w:rPr>
          <w:rFonts w:hint="cs"/>
          <w:rtl/>
          <w:lang w:bidi="ar-EG"/>
        </w:rPr>
        <w:t xml:space="preserve">تستطيع في حال فشل إطلاق </w:t>
      </w:r>
      <w:r>
        <w:rPr>
          <w:color w:val="000000"/>
          <w:rtl/>
        </w:rPr>
        <w:t>التقدم بالتماس إلى لجنة لوائح الراديو للإبراء بموجب الإجراءات الحالية</w:t>
      </w:r>
      <w:r w:rsidR="004F602D">
        <w:rPr>
          <w:rFonts w:hint="cs"/>
          <w:color w:val="000000"/>
          <w:rtl/>
        </w:rPr>
        <w:t>،</w:t>
      </w:r>
      <w:r w:rsidR="004F602D">
        <w:rPr>
          <w:color w:val="000000"/>
          <w:rtl/>
        </w:rPr>
        <w:t xml:space="preserve"> وإذا لم تنجح في</w:t>
      </w:r>
      <w:r w:rsidR="004F602D">
        <w:rPr>
          <w:rFonts w:hint="cs"/>
          <w:color w:val="000000"/>
          <w:rtl/>
        </w:rPr>
        <w:t xml:space="preserve"> ذلك</w:t>
      </w:r>
      <w:r>
        <w:rPr>
          <w:color w:val="000000"/>
          <w:rtl/>
        </w:rPr>
        <w:t xml:space="preserve"> تتقدم بالتماس إلى المؤتمر العالمي للاتصالات الراديوية</w:t>
      </w:r>
      <w:r w:rsidR="004F602D" w:rsidRPr="004F602D">
        <w:rPr>
          <w:color w:val="000000"/>
          <w:rtl/>
        </w:rPr>
        <w:t xml:space="preserve"> </w:t>
      </w:r>
      <w:r w:rsidR="004F602D">
        <w:rPr>
          <w:color w:val="000000"/>
          <w:rtl/>
        </w:rPr>
        <w:t xml:space="preserve">في حالة وقوع حدث كهذا، </w:t>
      </w:r>
      <w:r w:rsidR="004F602D">
        <w:rPr>
          <w:rFonts w:hint="cs"/>
          <w:color w:val="000000"/>
          <w:rtl/>
        </w:rPr>
        <w:t>و</w:t>
      </w:r>
      <w:r w:rsidR="004F602D">
        <w:rPr>
          <w:color w:val="000000"/>
          <w:rtl/>
        </w:rPr>
        <w:t>تقترح أوروبا عدم إدخال تغييرات على لوائح الراديو</w:t>
      </w:r>
      <w:r w:rsidR="00707159">
        <w:rPr>
          <w:rFonts w:hint="cs"/>
          <w:color w:val="000000"/>
          <w:rtl/>
        </w:rPr>
        <w:t xml:space="preserve"> </w:t>
      </w:r>
      <w:r w:rsidR="004F602D">
        <w:rPr>
          <w:color w:val="000000"/>
          <w:rtl/>
        </w:rPr>
        <w:t>لمعالجة هذه المسأل</w:t>
      </w:r>
      <w:r w:rsidR="004F602D">
        <w:rPr>
          <w:rFonts w:hint="cs"/>
          <w:color w:val="000000"/>
          <w:rtl/>
        </w:rPr>
        <w:t xml:space="preserve">ة في المؤتمر </w:t>
      </w:r>
      <w:r w:rsidR="004F602D">
        <w:rPr>
          <w:color w:val="000000"/>
        </w:rPr>
        <w:t>WRC-15</w:t>
      </w:r>
      <w:r w:rsidR="004F602D">
        <w:rPr>
          <w:rFonts w:hint="cs"/>
          <w:color w:val="000000"/>
          <w:rtl/>
          <w:lang w:bidi="ar-EG"/>
        </w:rPr>
        <w:t>.</w:t>
      </w:r>
    </w:p>
    <w:p w:rsidR="00020145" w:rsidRPr="006D1EFD" w:rsidRDefault="004F602D" w:rsidP="00707159">
      <w:pPr>
        <w:rPr>
          <w:highlight w:val="yellow"/>
          <w:lang w:bidi="ar-EG"/>
        </w:rPr>
      </w:pPr>
      <w:r>
        <w:rPr>
          <w:rFonts w:hint="cs"/>
          <w:color w:val="000000"/>
          <w:rtl/>
          <w:lang w:bidi="ar-EG"/>
        </w:rPr>
        <w:lastRenderedPageBreak/>
        <w:t>وترى أوروبا أن الممارسات الحالية مناسبة وتدعم بالتالي استمرار إحالة أي</w:t>
      </w:r>
      <w:r w:rsidR="0079066C">
        <w:rPr>
          <w:rFonts w:hint="cs"/>
          <w:color w:val="000000"/>
          <w:rtl/>
          <w:lang w:bidi="ar-EG"/>
        </w:rPr>
        <w:t xml:space="preserve"> من حالات</w:t>
      </w:r>
      <w:r>
        <w:rPr>
          <w:rFonts w:hint="cs"/>
          <w:color w:val="000000"/>
          <w:rtl/>
          <w:lang w:bidi="ar-EG"/>
        </w:rPr>
        <w:t xml:space="preserve"> فشل </w:t>
      </w:r>
      <w:r w:rsidR="0079066C">
        <w:rPr>
          <w:rFonts w:hint="cs"/>
          <w:color w:val="000000"/>
          <w:rtl/>
          <w:lang w:bidi="ar-EG"/>
        </w:rPr>
        <w:t>ال</w:t>
      </w:r>
      <w:r>
        <w:rPr>
          <w:rFonts w:hint="cs"/>
          <w:color w:val="000000"/>
          <w:rtl/>
          <w:lang w:bidi="ar-EG"/>
        </w:rPr>
        <w:t xml:space="preserve">إطلاق إلى لجنة لوائح الراديو للنظر فيها واتخاذ قرار بشأنها بحيث يمكن اتخاذ معظم </w:t>
      </w:r>
      <w:r w:rsidR="0079066C">
        <w:rPr>
          <w:rFonts w:hint="cs"/>
          <w:color w:val="000000"/>
          <w:rtl/>
          <w:lang w:bidi="ar-EG"/>
        </w:rPr>
        <w:t>الإجرا</w:t>
      </w:r>
      <w:r>
        <w:rPr>
          <w:rFonts w:hint="cs"/>
          <w:color w:val="000000"/>
          <w:rtl/>
          <w:lang w:bidi="ar-EG"/>
        </w:rPr>
        <w:t>ءات التنظيمية المناسبة على أساس كل حالة على حدة. بالإضافة إلى ذلك، تلاحظ أوروبا أن تقرير الاجتماع التحضيري للمؤتمر</w:t>
      </w:r>
      <w:r w:rsidR="007F1783">
        <w:rPr>
          <w:rFonts w:hint="cs"/>
          <w:color w:val="000000"/>
          <w:rtl/>
          <w:lang w:bidi="ar-EG"/>
        </w:rPr>
        <w:t xml:space="preserve"> ينص على أن الدراسات التي أجريت حتى اليوم لم تتناول جميع المسائل </w:t>
      </w:r>
      <w:r w:rsidR="007F1783" w:rsidRPr="007F1783">
        <w:rPr>
          <w:rFonts w:hint="cs"/>
          <w:color w:val="000000"/>
          <w:rtl/>
          <w:lang w:bidi="ar-EG"/>
        </w:rPr>
        <w:t>المحتملة، بما فيها تلك المتعلقة بتطبيق أحكام فشل الإطلاق على الأنظمة العاملة في مدار غير مستقر بالنسبة إلى</w:t>
      </w:r>
      <w:r w:rsidR="00707159">
        <w:rPr>
          <w:rFonts w:hint="eastAsia"/>
          <w:color w:val="000000"/>
          <w:rtl/>
          <w:lang w:bidi="ar-EG"/>
        </w:rPr>
        <w:t> </w:t>
      </w:r>
      <w:r w:rsidR="007F1783" w:rsidRPr="007F1783">
        <w:rPr>
          <w:rFonts w:hint="cs"/>
          <w:color w:val="000000"/>
          <w:rtl/>
          <w:lang w:bidi="ar-EG"/>
        </w:rPr>
        <w:t>الأرض، سواء ك</w:t>
      </w:r>
      <w:r w:rsidR="0079066C">
        <w:rPr>
          <w:rFonts w:hint="cs"/>
          <w:color w:val="000000"/>
          <w:rtl/>
          <w:lang w:bidi="ar-EG"/>
        </w:rPr>
        <w:t>ا</w:t>
      </w:r>
      <w:r w:rsidR="007F1783" w:rsidRPr="007F1783">
        <w:rPr>
          <w:rFonts w:hint="cs"/>
          <w:color w:val="000000"/>
          <w:rtl/>
          <w:lang w:bidi="ar-EG"/>
        </w:rPr>
        <w:t xml:space="preserve">ن ينبغي تطبيق </w:t>
      </w:r>
      <w:r w:rsidR="007F1783" w:rsidRPr="007F1783">
        <w:rPr>
          <w:rtl/>
        </w:rPr>
        <w:t>أحكام فشل الإطلاق في حالة إعادة الوضع في الخدمة</w:t>
      </w:r>
      <w:r w:rsidR="007F1783" w:rsidRPr="007F1783">
        <w:rPr>
          <w:rFonts w:hint="cs"/>
          <w:rtl/>
        </w:rPr>
        <w:t>،</w:t>
      </w:r>
      <w:r w:rsidR="007F1783" w:rsidRPr="007F1783">
        <w:rPr>
          <w:rtl/>
        </w:rPr>
        <w:t xml:space="preserve"> أو ما إذا كان ينبغي مواءمة الأحكام مع الأحكام الواردة بالفعل في التذييلا</w:t>
      </w:r>
      <w:r w:rsidR="007F1783" w:rsidRPr="00707159">
        <w:rPr>
          <w:rtl/>
        </w:rPr>
        <w:t xml:space="preserve">ت </w:t>
      </w:r>
      <w:r w:rsidR="007F1783" w:rsidRPr="00707159">
        <w:t>30</w:t>
      </w:r>
      <w:r w:rsidR="007F1783" w:rsidRPr="00707159">
        <w:rPr>
          <w:rtl/>
        </w:rPr>
        <w:t xml:space="preserve"> و</w:t>
      </w:r>
      <w:r w:rsidR="007F1783" w:rsidRPr="00707159">
        <w:t>30A</w:t>
      </w:r>
      <w:r w:rsidR="007F1783" w:rsidRPr="00707159">
        <w:rPr>
          <w:rtl/>
        </w:rPr>
        <w:t xml:space="preserve"> </w:t>
      </w:r>
      <w:r w:rsidR="007F1783" w:rsidRPr="00707159">
        <w:rPr>
          <w:rFonts w:hint="cs"/>
          <w:rtl/>
        </w:rPr>
        <w:t>و</w:t>
      </w:r>
      <w:r w:rsidR="007F1783" w:rsidRPr="00707159">
        <w:t>30B</w:t>
      </w:r>
      <w:r w:rsidR="007F1783" w:rsidRPr="00707159">
        <w:rPr>
          <w:rtl/>
        </w:rPr>
        <w:t xml:space="preserve"> </w:t>
      </w:r>
      <w:r w:rsidR="007F1783" w:rsidRPr="007F1783">
        <w:rPr>
          <w:rFonts w:hint="cs"/>
          <w:rtl/>
        </w:rPr>
        <w:t>ل</w:t>
      </w:r>
      <w:r w:rsidR="007F1783" w:rsidRPr="007F1783">
        <w:rPr>
          <w:rtl/>
        </w:rPr>
        <w:t>لوائح الراديو.</w:t>
      </w:r>
    </w:p>
    <w:p w:rsidR="00020145" w:rsidRDefault="00020145" w:rsidP="007F1783">
      <w:pPr>
        <w:rPr>
          <w:lang w:bidi="ar-EG"/>
        </w:rPr>
      </w:pPr>
      <w:r w:rsidRPr="007F1783">
        <w:rPr>
          <w:rFonts w:hint="cs"/>
          <w:rtl/>
        </w:rPr>
        <w:t>ويقابل المقترح الأوروبي الذي يقض</w:t>
      </w:r>
      <w:bookmarkStart w:id="1" w:name="_GoBack"/>
      <w:bookmarkEnd w:id="1"/>
      <w:r w:rsidRPr="007F1783">
        <w:rPr>
          <w:rFonts w:hint="cs"/>
          <w:rtl/>
        </w:rPr>
        <w:t>ي بعدم إدخال تغييرات على لوائح الراديو الأسلوب</w:t>
      </w:r>
      <w:r w:rsidRPr="007F1783">
        <w:rPr>
          <w:rFonts w:hint="eastAsia"/>
          <w:color w:val="000000"/>
          <w:rtl/>
        </w:rPr>
        <w:t> </w:t>
      </w:r>
      <w:r w:rsidR="007F1783" w:rsidRPr="007F1783">
        <w:t>K</w:t>
      </w:r>
      <w:r w:rsidRPr="007F1783">
        <w:t>3</w:t>
      </w:r>
      <w:r w:rsidRPr="007F1783">
        <w:rPr>
          <w:rFonts w:hint="cs"/>
          <w:rtl/>
          <w:lang w:bidi="ar-EG"/>
        </w:rPr>
        <w:t xml:space="preserve"> الوارد في تقرير الاجتماع</w:t>
      </w:r>
      <w:r w:rsidRPr="007F1783">
        <w:rPr>
          <w:rFonts w:hint="eastAsia"/>
          <w:color w:val="000000"/>
          <w:rtl/>
        </w:rPr>
        <w:t> </w:t>
      </w:r>
      <w:r w:rsidRPr="007F1783">
        <w:rPr>
          <w:rFonts w:hint="cs"/>
          <w:rtl/>
          <w:lang w:bidi="ar-EG"/>
        </w:rPr>
        <w:t>التحضيري</w:t>
      </w:r>
      <w:r w:rsidR="007F1783" w:rsidRPr="007F1783">
        <w:rPr>
          <w:rFonts w:hint="cs"/>
          <w:rtl/>
          <w:lang w:bidi="ar-EG"/>
        </w:rPr>
        <w:t xml:space="preserve"> بشأن البند </w:t>
      </w:r>
      <w:r w:rsidR="007F1783" w:rsidRPr="007F1783">
        <w:rPr>
          <w:lang w:bidi="ar-EG"/>
        </w:rPr>
        <w:t>7</w:t>
      </w:r>
      <w:r w:rsidR="007F1783" w:rsidRPr="007F1783">
        <w:rPr>
          <w:rFonts w:hint="cs"/>
          <w:rtl/>
          <w:lang w:bidi="ar-EG"/>
        </w:rPr>
        <w:t xml:space="preserve"> من جدول أعمال المؤتمر </w:t>
      </w:r>
      <w:r w:rsidR="007F1783" w:rsidRPr="007F1783">
        <w:rPr>
          <w:lang w:bidi="ar-EG"/>
        </w:rPr>
        <w:t>WRC-15</w:t>
      </w:r>
      <w:r w:rsidR="007F1783" w:rsidRPr="007F1783">
        <w:rPr>
          <w:rFonts w:hint="cs"/>
          <w:rtl/>
          <w:lang w:bidi="ar-EG"/>
        </w:rPr>
        <w:t xml:space="preserve">، المسألة </w:t>
      </w:r>
      <w:r w:rsidR="007F1783" w:rsidRPr="007F1783">
        <w:rPr>
          <w:lang w:bidi="ar-EG"/>
        </w:rPr>
        <w:t>K</w:t>
      </w:r>
      <w:r w:rsidRPr="007F1783">
        <w:rPr>
          <w:rFonts w:hint="cs"/>
          <w:rtl/>
          <w:lang w:bidi="ar-EG"/>
        </w:rPr>
        <w:t>.</w:t>
      </w:r>
    </w:p>
    <w:p w:rsidR="006D1EFD" w:rsidRDefault="006D1EFD" w:rsidP="007F178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المقترح</w:t>
      </w:r>
    </w:p>
    <w:p w:rsidR="00F900C5" w:rsidRDefault="008733F5">
      <w:pPr>
        <w:pStyle w:val="Proposal"/>
      </w:pPr>
      <w:r>
        <w:rPr>
          <w:u w:val="single"/>
        </w:rPr>
        <w:t>NOC</w:t>
      </w:r>
      <w:r>
        <w:tab/>
        <w:t>EUR/9A21A11/1</w:t>
      </w:r>
    </w:p>
    <w:p w:rsidR="009F37C9" w:rsidRPr="00707159" w:rsidRDefault="008733F5" w:rsidP="00707159">
      <w:pPr>
        <w:pStyle w:val="ArtNo"/>
        <w:rPr>
          <w:szCs w:val="28"/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8733F5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</w:t>
      </w:r>
      <w:r w:rsidRPr="00BE28C0">
        <w:rPr>
          <w:rtl/>
        </w:rPr>
        <w:t>ا</w:t>
      </w:r>
      <w:r w:rsidRPr="00BE28C0">
        <w:rPr>
          <w:rStyle w:val="FootnoteReference"/>
          <w:rtl/>
        </w:rPr>
        <w:t>1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rFonts w:hint="cs"/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2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rFonts w:hint="cs"/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3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rFonts w:hint="cs"/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4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5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6</w:t>
      </w:r>
      <w:r w:rsidRPr="00BE28C0">
        <w:rPr>
          <w:rFonts w:hint="cs"/>
          <w:position w:val="-4"/>
          <w:szCs w:val="28"/>
          <w:vertAlign w:val="superscript"/>
          <w:rtl/>
        </w:rPr>
        <w:t>،</w:t>
      </w:r>
      <w:r w:rsidRPr="00BE28C0">
        <w:rPr>
          <w:rFonts w:hint="cs"/>
          <w:position w:val="6"/>
          <w:sz w:val="18"/>
          <w:szCs w:val="24"/>
          <w:rtl/>
        </w:rPr>
        <w:t xml:space="preserve"> </w:t>
      </w:r>
      <w:r w:rsidRPr="00BE28C0">
        <w:rPr>
          <w:rStyle w:val="FootnoteReference"/>
          <w:rtl/>
        </w:rPr>
        <w:t>7</w:t>
      </w:r>
      <w:r w:rsidRPr="00BE28C0">
        <w:rPr>
          <w:rFonts w:hint="cs"/>
          <w:position w:val="-4"/>
          <w:szCs w:val="28"/>
          <w:vertAlign w:val="superscript"/>
          <w:rtl/>
        </w:rPr>
        <w:t xml:space="preserve">، </w:t>
      </w:r>
      <w:r w:rsidRPr="00BE28C0">
        <w:rPr>
          <w:rStyle w:val="FootnoteReference"/>
          <w:rtl/>
        </w:rPr>
        <w:t>7</w:t>
      </w:r>
      <w:r w:rsidRPr="00BE28C0">
        <w:rPr>
          <w:rStyle w:val="FootnoteReference"/>
          <w:rFonts w:ascii="Times New Roman Bold" w:hAnsi="Times New Roman Bold" w:cs="Traditional Arabic"/>
          <w:i/>
          <w:iCs/>
          <w:sz w:val="24"/>
          <w:szCs w:val="24"/>
          <w:rtl/>
        </w:rPr>
        <w:t>مكرراً</w:t>
      </w:r>
      <w:r w:rsidRPr="008733F5">
        <w:rPr>
          <w:rFonts w:hint="cs"/>
          <w:b w:val="0"/>
          <w:bCs w:val="0"/>
          <w:i/>
          <w:iCs/>
          <w:position w:val="6"/>
          <w:sz w:val="24"/>
          <w:szCs w:val="30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F900C5" w:rsidRDefault="00F900C5">
      <w:pPr>
        <w:pStyle w:val="Reasons"/>
      </w:pPr>
    </w:p>
    <w:p w:rsidR="00020145" w:rsidRPr="00020145" w:rsidRDefault="00020145" w:rsidP="0002014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20145" w:rsidRPr="0002014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20145" w:rsidRDefault="00281F5F" w:rsidP="00020145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020145">
      <w:instrText xml:space="preserve"> FILENAME \p \* MERGEFORMAT </w:instrText>
    </w:r>
    <w:r w:rsidRPr="00CB4300">
      <w:fldChar w:fldCharType="separate"/>
    </w:r>
    <w:r w:rsidR="00020145" w:rsidRPr="00020145">
      <w:rPr>
        <w:noProof/>
      </w:rPr>
      <w:t>P:\TRAD\A\ITU-R\CONF-R\CMR15\000\009ADD21ADD11A.docx</w:t>
    </w:r>
    <w:r w:rsidRPr="00CB4300">
      <w:fldChar w:fldCharType="end"/>
    </w:r>
    <w:r w:rsidRPr="00020145">
      <w:t xml:space="preserve">  (</w:t>
    </w:r>
    <w:r w:rsidR="00020145" w:rsidRPr="00020145">
      <w:t>388336</w:t>
    </w:r>
    <w:r w:rsidRPr="00020145">
      <w:t>)</w:t>
    </w:r>
    <w:r w:rsidRPr="0002014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E28C0">
      <w:rPr>
        <w:noProof/>
      </w:rPr>
      <w:t>25.10.15</w:t>
    </w:r>
    <w:r w:rsidRPr="00CB4300">
      <w:fldChar w:fldCharType="end"/>
    </w:r>
    <w:r w:rsidRPr="0002014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20145" w:rsidRDefault="00281F5F" w:rsidP="00020145">
    <w:pPr>
      <w:pStyle w:val="Footer"/>
      <w:tabs>
        <w:tab w:val="clear" w:pos="5812"/>
        <w:tab w:val="left" w:pos="6379"/>
      </w:tabs>
    </w:pPr>
    <w:r>
      <w:fldChar w:fldCharType="begin"/>
    </w:r>
    <w:r w:rsidRPr="00020145">
      <w:instrText xml:space="preserve"> FILENAME \p \* MERGEFORMAT </w:instrText>
    </w:r>
    <w:r>
      <w:fldChar w:fldCharType="separate"/>
    </w:r>
    <w:r w:rsidR="00020145" w:rsidRPr="00020145">
      <w:rPr>
        <w:noProof/>
      </w:rPr>
      <w:t>P:\TRAD\A\ITU-R\CONF-R\CMR15\000\009ADD21ADD11A.docx</w:t>
    </w:r>
    <w:r>
      <w:fldChar w:fldCharType="end"/>
    </w:r>
    <w:r w:rsidRPr="00020145">
      <w:t xml:space="preserve">   (</w:t>
    </w:r>
    <w:r w:rsidR="00020145" w:rsidRPr="00020145">
      <w:t>388336</w:t>
    </w:r>
    <w:r w:rsidRPr="00020145">
      <w:t>)</w:t>
    </w:r>
    <w:r w:rsidRPr="0002014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E28C0">
      <w:rPr>
        <w:noProof/>
      </w:rPr>
      <w:t>25.10.15</w:t>
    </w:r>
    <w:r w:rsidRPr="00B12661">
      <w:fldChar w:fldCharType="end"/>
    </w:r>
    <w:r w:rsidRPr="0002014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E28C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9(Add.21)(Add.11)-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145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6EC9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2C7D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602D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49A4"/>
    <w:rsid w:val="00680A66"/>
    <w:rsid w:val="00681391"/>
    <w:rsid w:val="00687A5D"/>
    <w:rsid w:val="006A12AC"/>
    <w:rsid w:val="006A2162"/>
    <w:rsid w:val="006B0D94"/>
    <w:rsid w:val="006B4B90"/>
    <w:rsid w:val="006B658C"/>
    <w:rsid w:val="006D1EFD"/>
    <w:rsid w:val="006D2674"/>
    <w:rsid w:val="006E38D0"/>
    <w:rsid w:val="006E465B"/>
    <w:rsid w:val="006F70BF"/>
    <w:rsid w:val="00707159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066C"/>
    <w:rsid w:val="007A0802"/>
    <w:rsid w:val="007B1FCA"/>
    <w:rsid w:val="007C2C12"/>
    <w:rsid w:val="007C3CFA"/>
    <w:rsid w:val="007E0E8B"/>
    <w:rsid w:val="007F08CA"/>
    <w:rsid w:val="007F1783"/>
    <w:rsid w:val="007F6AC4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33F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86C7A"/>
    <w:rsid w:val="00B9727C"/>
    <w:rsid w:val="00BA610A"/>
    <w:rsid w:val="00BA7D44"/>
    <w:rsid w:val="00BC6E13"/>
    <w:rsid w:val="00BD6EF3"/>
    <w:rsid w:val="00BE28C0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5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3604198-0BF0-4C30-B73F-70C20EF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R15-WRC15-C-0009!A21-A11!MSW-A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EB866-13EF-41E4-BB95-40FBBFB7D549}">
  <ds:schemaRefs>
    <ds:schemaRef ds:uri="http://www.w3.org/XML/1998/namespace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A343549-F192-4847-939C-2FD43FE5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R15-WRC15-C-0009!A21-A11!MSW-A</vt:lpstr>
    </vt:vector>
  </TitlesOfParts>
  <Manager>General Secretariat - Pool</Manager>
  <Company>International Telecommunication Union (ITU)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R15-WRC15-C-0009!A21-A11!MSW-A</dc:title>
  <dc:creator>Documents Proposals Manager (DPM)</dc:creator>
  <cp:keywords>DPM_v5.2015.10.15_prod</cp:keywords>
  <cp:lastModifiedBy>Eltawabti, Ibrahim</cp:lastModifiedBy>
  <cp:revision>4</cp:revision>
  <cp:lastPrinted>2011-11-07T13:53:00Z</cp:lastPrinted>
  <dcterms:created xsi:type="dcterms:W3CDTF">2015-10-25T09:06:00Z</dcterms:created>
  <dcterms:modified xsi:type="dcterms:W3CDTF">2015-10-28T18:53:00Z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