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22CFA">
        <w:trPr>
          <w:cantSplit/>
        </w:trPr>
        <w:tc>
          <w:tcPr>
            <w:tcW w:w="6911" w:type="dxa"/>
          </w:tcPr>
          <w:p w:rsidR="00A066F1" w:rsidRPr="00422CFA" w:rsidRDefault="00241FA2" w:rsidP="003B2284">
            <w:pPr>
              <w:spacing w:before="400" w:after="48" w:line="240" w:lineRule="atLeast"/>
              <w:rPr>
                <w:rFonts w:ascii="Verdana" w:hAnsi="Verdana"/>
                <w:position w:val="6"/>
              </w:rPr>
            </w:pPr>
            <w:r w:rsidRPr="00422CFA">
              <w:rPr>
                <w:rFonts w:ascii="Verdana" w:hAnsi="Verdana" w:cs="Times"/>
                <w:b/>
                <w:position w:val="6"/>
                <w:sz w:val="22"/>
                <w:szCs w:val="22"/>
              </w:rPr>
              <w:t>World Radiocommunication Conference (WRC-15)</w:t>
            </w:r>
            <w:r w:rsidRPr="00422CFA">
              <w:rPr>
                <w:rFonts w:ascii="Verdana" w:hAnsi="Verdana" w:cs="Times"/>
                <w:b/>
                <w:position w:val="6"/>
                <w:sz w:val="26"/>
                <w:szCs w:val="26"/>
              </w:rPr>
              <w:br/>
            </w:r>
            <w:r w:rsidRPr="00422CFA">
              <w:rPr>
                <w:rFonts w:ascii="Verdana" w:hAnsi="Verdana"/>
                <w:b/>
                <w:bCs/>
                <w:position w:val="6"/>
                <w:sz w:val="18"/>
                <w:szCs w:val="18"/>
              </w:rPr>
              <w:t>Geneva, 2–27 November 2015</w:t>
            </w:r>
          </w:p>
        </w:tc>
        <w:tc>
          <w:tcPr>
            <w:tcW w:w="3120" w:type="dxa"/>
          </w:tcPr>
          <w:p w:rsidR="00A066F1" w:rsidRPr="00422CFA" w:rsidRDefault="003B2284" w:rsidP="003B2284">
            <w:pPr>
              <w:spacing w:before="0" w:line="240" w:lineRule="atLeast"/>
              <w:jc w:val="right"/>
            </w:pPr>
            <w:bookmarkStart w:id="0" w:name="ditulogo"/>
            <w:bookmarkEnd w:id="0"/>
            <w:r w:rsidRPr="00422CF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22CFA">
        <w:trPr>
          <w:cantSplit/>
        </w:trPr>
        <w:tc>
          <w:tcPr>
            <w:tcW w:w="6911" w:type="dxa"/>
            <w:tcBorders>
              <w:bottom w:val="single" w:sz="12" w:space="0" w:color="auto"/>
            </w:tcBorders>
          </w:tcPr>
          <w:p w:rsidR="00A066F1" w:rsidRPr="00422CFA" w:rsidRDefault="003B2284" w:rsidP="00A066F1">
            <w:pPr>
              <w:spacing w:before="0" w:after="48" w:line="240" w:lineRule="atLeast"/>
              <w:rPr>
                <w:rFonts w:ascii="Verdana" w:hAnsi="Verdana"/>
                <w:b/>
                <w:smallCaps/>
                <w:sz w:val="20"/>
              </w:rPr>
            </w:pPr>
            <w:bookmarkStart w:id="1" w:name="dhead"/>
            <w:r w:rsidRPr="00422CFA">
              <w:rPr>
                <w:rFonts w:ascii="Verdana" w:hAnsi="Verdana"/>
                <w:b/>
                <w:smallCaps/>
                <w:sz w:val="20"/>
              </w:rPr>
              <w:t>INTERNATIONAL TELECOMMUNICATION UNION</w:t>
            </w:r>
          </w:p>
        </w:tc>
        <w:tc>
          <w:tcPr>
            <w:tcW w:w="3120" w:type="dxa"/>
            <w:tcBorders>
              <w:bottom w:val="single" w:sz="12" w:space="0" w:color="auto"/>
            </w:tcBorders>
          </w:tcPr>
          <w:p w:rsidR="00A066F1" w:rsidRPr="00422CFA" w:rsidRDefault="00A066F1" w:rsidP="00A066F1">
            <w:pPr>
              <w:spacing w:before="0" w:line="240" w:lineRule="atLeast"/>
              <w:rPr>
                <w:rFonts w:ascii="Verdana" w:hAnsi="Verdana"/>
                <w:szCs w:val="24"/>
              </w:rPr>
            </w:pPr>
          </w:p>
        </w:tc>
      </w:tr>
      <w:tr w:rsidR="00A066F1" w:rsidRPr="00422CFA">
        <w:trPr>
          <w:cantSplit/>
        </w:trPr>
        <w:tc>
          <w:tcPr>
            <w:tcW w:w="6911" w:type="dxa"/>
            <w:tcBorders>
              <w:top w:val="single" w:sz="12" w:space="0" w:color="auto"/>
            </w:tcBorders>
          </w:tcPr>
          <w:p w:rsidR="00A066F1" w:rsidRPr="00422CF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22CFA" w:rsidRDefault="00A066F1" w:rsidP="00A066F1">
            <w:pPr>
              <w:spacing w:before="0" w:line="240" w:lineRule="atLeast"/>
              <w:rPr>
                <w:rFonts w:ascii="Verdana" w:hAnsi="Verdana"/>
                <w:sz w:val="20"/>
              </w:rPr>
            </w:pPr>
          </w:p>
        </w:tc>
      </w:tr>
      <w:tr w:rsidR="00A066F1" w:rsidRPr="00422CFA">
        <w:trPr>
          <w:cantSplit/>
          <w:trHeight w:val="23"/>
        </w:trPr>
        <w:tc>
          <w:tcPr>
            <w:tcW w:w="6911" w:type="dxa"/>
            <w:shd w:val="clear" w:color="auto" w:fill="auto"/>
          </w:tcPr>
          <w:p w:rsidR="00A066F1" w:rsidRPr="00422CF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22CFA">
              <w:rPr>
                <w:rFonts w:ascii="Verdana" w:hAnsi="Verdana"/>
                <w:sz w:val="20"/>
                <w:szCs w:val="20"/>
              </w:rPr>
              <w:t>PLENARY MEETING</w:t>
            </w:r>
          </w:p>
        </w:tc>
        <w:tc>
          <w:tcPr>
            <w:tcW w:w="3120" w:type="dxa"/>
            <w:shd w:val="clear" w:color="auto" w:fill="auto"/>
          </w:tcPr>
          <w:p w:rsidR="00A066F1" w:rsidRPr="00422CFA" w:rsidRDefault="00E55816" w:rsidP="00AA666F">
            <w:pPr>
              <w:tabs>
                <w:tab w:val="left" w:pos="851"/>
              </w:tabs>
              <w:spacing w:before="0" w:line="240" w:lineRule="atLeast"/>
              <w:rPr>
                <w:rFonts w:ascii="Verdana" w:hAnsi="Verdana"/>
                <w:sz w:val="20"/>
              </w:rPr>
            </w:pPr>
            <w:r w:rsidRPr="00422CFA">
              <w:rPr>
                <w:rFonts w:ascii="Verdana" w:eastAsia="SimSun" w:hAnsi="Verdana" w:cs="Traditional Arabic"/>
                <w:b/>
                <w:sz w:val="20"/>
              </w:rPr>
              <w:t>Addendum 12 to</w:t>
            </w:r>
            <w:r w:rsidRPr="00422CFA">
              <w:rPr>
                <w:rFonts w:ascii="Verdana" w:eastAsia="SimSun" w:hAnsi="Verdana" w:cs="Traditional Arabic"/>
                <w:b/>
                <w:sz w:val="20"/>
              </w:rPr>
              <w:br/>
              <w:t>Document 9(Add.21)</w:t>
            </w:r>
            <w:r w:rsidR="00A066F1" w:rsidRPr="00422CFA">
              <w:rPr>
                <w:rFonts w:ascii="Verdana" w:hAnsi="Verdana"/>
                <w:b/>
                <w:sz w:val="20"/>
              </w:rPr>
              <w:t>-</w:t>
            </w:r>
            <w:r w:rsidR="005E10C9" w:rsidRPr="00422CFA">
              <w:rPr>
                <w:rFonts w:ascii="Verdana" w:hAnsi="Verdana"/>
                <w:b/>
                <w:sz w:val="20"/>
              </w:rPr>
              <w:t>E</w:t>
            </w:r>
          </w:p>
        </w:tc>
      </w:tr>
      <w:tr w:rsidR="00A066F1" w:rsidRPr="00422CFA">
        <w:trPr>
          <w:cantSplit/>
          <w:trHeight w:val="23"/>
        </w:trPr>
        <w:tc>
          <w:tcPr>
            <w:tcW w:w="6911" w:type="dxa"/>
            <w:shd w:val="clear" w:color="auto" w:fill="auto"/>
          </w:tcPr>
          <w:p w:rsidR="00A066F1" w:rsidRPr="00422CF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22CFA" w:rsidRDefault="00420873" w:rsidP="00A066F1">
            <w:pPr>
              <w:tabs>
                <w:tab w:val="left" w:pos="993"/>
              </w:tabs>
              <w:spacing w:before="0"/>
              <w:rPr>
                <w:rFonts w:ascii="Verdana" w:hAnsi="Verdana"/>
                <w:sz w:val="20"/>
              </w:rPr>
            </w:pPr>
            <w:r w:rsidRPr="00422CFA">
              <w:rPr>
                <w:rFonts w:ascii="Verdana" w:hAnsi="Verdana"/>
                <w:b/>
                <w:sz w:val="20"/>
              </w:rPr>
              <w:t>15 October 2015</w:t>
            </w:r>
          </w:p>
        </w:tc>
      </w:tr>
      <w:tr w:rsidR="00A066F1" w:rsidRPr="00422CFA">
        <w:trPr>
          <w:cantSplit/>
          <w:trHeight w:val="23"/>
        </w:trPr>
        <w:tc>
          <w:tcPr>
            <w:tcW w:w="6911" w:type="dxa"/>
            <w:shd w:val="clear" w:color="auto" w:fill="auto"/>
          </w:tcPr>
          <w:p w:rsidR="00A066F1" w:rsidRPr="00422CF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22CFA" w:rsidRDefault="00E55816" w:rsidP="00A066F1">
            <w:pPr>
              <w:tabs>
                <w:tab w:val="left" w:pos="993"/>
              </w:tabs>
              <w:spacing w:before="0"/>
              <w:rPr>
                <w:rFonts w:ascii="Verdana" w:hAnsi="Verdana"/>
                <w:b/>
                <w:sz w:val="20"/>
              </w:rPr>
            </w:pPr>
            <w:r w:rsidRPr="00422CFA">
              <w:rPr>
                <w:rFonts w:ascii="Verdana" w:hAnsi="Verdana"/>
                <w:b/>
                <w:sz w:val="20"/>
              </w:rPr>
              <w:t>Original: English</w:t>
            </w:r>
          </w:p>
        </w:tc>
      </w:tr>
      <w:tr w:rsidR="00A066F1" w:rsidRPr="00422CFA" w:rsidTr="00025864">
        <w:trPr>
          <w:cantSplit/>
          <w:trHeight w:val="23"/>
        </w:trPr>
        <w:tc>
          <w:tcPr>
            <w:tcW w:w="10031" w:type="dxa"/>
            <w:gridSpan w:val="2"/>
            <w:shd w:val="clear" w:color="auto" w:fill="auto"/>
          </w:tcPr>
          <w:p w:rsidR="00A066F1" w:rsidRPr="00422CFA" w:rsidRDefault="00A066F1" w:rsidP="00A066F1">
            <w:pPr>
              <w:tabs>
                <w:tab w:val="left" w:pos="993"/>
              </w:tabs>
              <w:spacing w:before="0"/>
              <w:rPr>
                <w:rFonts w:ascii="Verdana" w:hAnsi="Verdana"/>
                <w:b/>
                <w:sz w:val="20"/>
              </w:rPr>
            </w:pPr>
          </w:p>
        </w:tc>
      </w:tr>
      <w:tr w:rsidR="00E55816" w:rsidRPr="00422CFA" w:rsidTr="00025864">
        <w:trPr>
          <w:cantSplit/>
          <w:trHeight w:val="23"/>
        </w:trPr>
        <w:tc>
          <w:tcPr>
            <w:tcW w:w="10031" w:type="dxa"/>
            <w:gridSpan w:val="2"/>
            <w:shd w:val="clear" w:color="auto" w:fill="auto"/>
          </w:tcPr>
          <w:p w:rsidR="00E55816" w:rsidRPr="00422CFA" w:rsidRDefault="00884D60" w:rsidP="00E55816">
            <w:pPr>
              <w:pStyle w:val="Source"/>
            </w:pPr>
            <w:r w:rsidRPr="00422CFA">
              <w:t>European Common Proposals</w:t>
            </w:r>
          </w:p>
        </w:tc>
      </w:tr>
      <w:tr w:rsidR="00E55816" w:rsidRPr="00422CFA" w:rsidTr="00025864">
        <w:trPr>
          <w:cantSplit/>
          <w:trHeight w:val="23"/>
        </w:trPr>
        <w:tc>
          <w:tcPr>
            <w:tcW w:w="10031" w:type="dxa"/>
            <w:gridSpan w:val="2"/>
            <w:shd w:val="clear" w:color="auto" w:fill="auto"/>
          </w:tcPr>
          <w:p w:rsidR="00E55816" w:rsidRPr="00422CFA" w:rsidRDefault="007D5320" w:rsidP="00E55816">
            <w:pPr>
              <w:pStyle w:val="Title1"/>
            </w:pPr>
            <w:r w:rsidRPr="00422CFA">
              <w:t>Proposals for the work of the conference</w:t>
            </w:r>
          </w:p>
        </w:tc>
      </w:tr>
      <w:tr w:rsidR="00E55816" w:rsidRPr="00422CFA" w:rsidTr="00025864">
        <w:trPr>
          <w:cantSplit/>
          <w:trHeight w:val="23"/>
        </w:trPr>
        <w:tc>
          <w:tcPr>
            <w:tcW w:w="10031" w:type="dxa"/>
            <w:gridSpan w:val="2"/>
            <w:shd w:val="clear" w:color="auto" w:fill="auto"/>
          </w:tcPr>
          <w:p w:rsidR="00E55816" w:rsidRPr="00422CFA" w:rsidRDefault="00E55816" w:rsidP="00E55816">
            <w:pPr>
              <w:pStyle w:val="Title2"/>
            </w:pPr>
          </w:p>
        </w:tc>
      </w:tr>
      <w:tr w:rsidR="00A538A6" w:rsidRPr="00422CFA" w:rsidTr="00025864">
        <w:trPr>
          <w:cantSplit/>
          <w:trHeight w:val="23"/>
        </w:trPr>
        <w:tc>
          <w:tcPr>
            <w:tcW w:w="10031" w:type="dxa"/>
            <w:gridSpan w:val="2"/>
            <w:shd w:val="clear" w:color="auto" w:fill="auto"/>
          </w:tcPr>
          <w:p w:rsidR="00A538A6" w:rsidRPr="00422CFA" w:rsidRDefault="004B13CB" w:rsidP="004B13CB">
            <w:pPr>
              <w:pStyle w:val="Agendaitem"/>
              <w:rPr>
                <w:lang w:val="en-GB"/>
              </w:rPr>
            </w:pPr>
            <w:r w:rsidRPr="00422CFA">
              <w:rPr>
                <w:lang w:val="en-GB"/>
              </w:rPr>
              <w:t>Agenda item 7(L)</w:t>
            </w:r>
          </w:p>
        </w:tc>
      </w:tr>
    </w:tbl>
    <w:bookmarkEnd w:id="6"/>
    <w:bookmarkEnd w:id="7"/>
    <w:p w:rsidR="00B02325" w:rsidRPr="00422CFA" w:rsidRDefault="00B131A0" w:rsidP="001C7D70">
      <w:pPr>
        <w:overflowPunct/>
        <w:autoSpaceDE/>
        <w:autoSpaceDN/>
        <w:adjustRightInd/>
        <w:textAlignment w:val="auto"/>
      </w:pPr>
      <w:r w:rsidRPr="00422CFA">
        <w:t>7</w:t>
      </w:r>
      <w:r w:rsidRPr="00422CF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22CFA">
        <w:rPr>
          <w:b/>
          <w:bCs/>
        </w:rPr>
        <w:t>86 (Rev.WRC</w:t>
      </w:r>
      <w:r w:rsidRPr="00422CFA">
        <w:rPr>
          <w:b/>
          <w:bCs/>
        </w:rPr>
        <w:noBreakHyphen/>
        <w:t>07)</w:t>
      </w:r>
      <w:r w:rsidRPr="00422CFA">
        <w:t xml:space="preserve"> to facilitate rational, efficient, and economical use of radio frequencies and any associated orbits, including the geostationary</w:t>
      </w:r>
      <w:r w:rsidRPr="00422CFA">
        <w:noBreakHyphen/>
        <w:t>satellite orbit;</w:t>
      </w:r>
    </w:p>
    <w:p w:rsidR="00B02325" w:rsidRPr="00422CFA" w:rsidRDefault="00B131A0" w:rsidP="002B3A37">
      <w:r w:rsidRPr="00422CFA">
        <w:t>7(L)</w:t>
      </w:r>
      <w:r w:rsidRPr="00422CFA">
        <w:tab/>
        <w:t xml:space="preserve">Issue L – Modification of certain provisions of Article 4 of RR Appendices </w:t>
      </w:r>
      <w:r w:rsidRPr="00422CFA">
        <w:rPr>
          <w:b/>
          <w:bCs/>
        </w:rPr>
        <w:t>30</w:t>
      </w:r>
      <w:r w:rsidRPr="00422CFA">
        <w:t xml:space="preserve"> and </w:t>
      </w:r>
      <w:r w:rsidRPr="00422CFA">
        <w:rPr>
          <w:b/>
          <w:bCs/>
        </w:rPr>
        <w:t xml:space="preserve">30A </w:t>
      </w:r>
      <w:r w:rsidRPr="00422CFA">
        <w:t xml:space="preserve">for Regions 1 and 3 namely replacement of tacit agreement with explicit agreement or alignment of those provisions of RR Appendices </w:t>
      </w:r>
      <w:r w:rsidRPr="00422CFA">
        <w:rPr>
          <w:b/>
          <w:bCs/>
        </w:rPr>
        <w:t>30</w:t>
      </w:r>
      <w:r w:rsidRPr="00422CFA">
        <w:t xml:space="preserve"> and </w:t>
      </w:r>
      <w:r w:rsidRPr="00422CFA">
        <w:rPr>
          <w:b/>
          <w:bCs/>
        </w:rPr>
        <w:t>30A</w:t>
      </w:r>
      <w:r w:rsidRPr="00422CFA">
        <w:t xml:space="preserve"> for Regions 1 and 3 with those of Appendix </w:t>
      </w:r>
      <w:r w:rsidRPr="00422CFA">
        <w:rPr>
          <w:b/>
          <w:bCs/>
        </w:rPr>
        <w:t>30B</w:t>
      </w:r>
    </w:p>
    <w:p w:rsidR="007A22D1" w:rsidRPr="00422CFA" w:rsidRDefault="007A22D1" w:rsidP="00422CFA">
      <w:pPr>
        <w:pStyle w:val="Headingb"/>
        <w:rPr>
          <w:lang w:val="en-GB"/>
        </w:rPr>
      </w:pPr>
      <w:r w:rsidRPr="00422CFA">
        <w:rPr>
          <w:lang w:val="en-GB"/>
        </w:rPr>
        <w:t>Introduction</w:t>
      </w:r>
    </w:p>
    <w:p w:rsidR="007A22D1" w:rsidRPr="00422CFA" w:rsidRDefault="007A22D1" w:rsidP="007A22D1">
      <w:r w:rsidRPr="00422CFA">
        <w:t xml:space="preserve">Tacit agreement from administrations whose services are considered to be affected has been the basis for RR Appendices 30 and 30A ever since their establishment by WARC-77 and WARC-83. Since then, the issue of agreement from administrations and their corresponding consequences has been extensively discussed at previous WRCs, leading to different regulatory implementations in RR Appendices 30/30A and 30B respectively, reflecting delicate compromises reached at those Conferences. </w:t>
      </w:r>
    </w:p>
    <w:p w:rsidR="007A22D1" w:rsidRPr="00422CFA" w:rsidRDefault="007A22D1" w:rsidP="007A22D1">
      <w:r w:rsidRPr="00422CFA">
        <w:t>Europe notes that tacit agreement was adopted in Appendices 30 and 30A together with a set of coordination triggers. Changing such a regulatory procedure cannot therefore be done without considering different technical coordination triggers. From a broader perspective, Europe also notes that there may be other preferable methods to achieve harmonization of the provisions in Article 6 of Appendix 30B with the corresponding provisions of Article 4 of Appendices 30 and 30A than the methods included in the CPM Report for WRC-15 Agenda item 7, Issue L. Hence, Europe proposes No Change to the RR to address this issue.</w:t>
      </w:r>
    </w:p>
    <w:p w:rsidR="00422CFA" w:rsidRDefault="007A22D1" w:rsidP="00422CFA">
      <w:r w:rsidRPr="00422CFA">
        <w:t>This European proposal of No Change to the RR corresponds to Method L3 of the CPM Report for WRC-15 agenda item 7, Issue L.</w:t>
      </w:r>
    </w:p>
    <w:p w:rsidR="00CC0B96" w:rsidRPr="00422CFA" w:rsidRDefault="00CC0B96" w:rsidP="00CC0B96">
      <w:pPr>
        <w:pStyle w:val="Headingb"/>
      </w:pPr>
      <w:r>
        <w:t>Proposals</w:t>
      </w:r>
      <w:bookmarkStart w:id="8" w:name="_GoBack"/>
      <w:bookmarkEnd w:id="8"/>
    </w:p>
    <w:p w:rsidR="007A22D1" w:rsidRPr="00422CFA" w:rsidRDefault="007A22D1" w:rsidP="00422CFA">
      <w:r w:rsidRPr="00422CFA">
        <w:br w:type="page"/>
      </w:r>
    </w:p>
    <w:p w:rsidR="000462D6" w:rsidRPr="00CC0B96" w:rsidRDefault="00B131A0">
      <w:pPr>
        <w:pStyle w:val="Proposal"/>
        <w:rPr>
          <w:lang w:val="fr-CH"/>
        </w:rPr>
      </w:pPr>
      <w:r w:rsidRPr="00CC0B96">
        <w:rPr>
          <w:u w:val="single"/>
          <w:lang w:val="fr-CH"/>
        </w:rPr>
        <w:lastRenderedPageBreak/>
        <w:t>NOC</w:t>
      </w:r>
      <w:r w:rsidRPr="00CC0B96">
        <w:rPr>
          <w:lang w:val="fr-CH"/>
        </w:rPr>
        <w:tab/>
        <w:t>EUR/9A21A12/1</w:t>
      </w:r>
    </w:p>
    <w:p w:rsidR="00D54825" w:rsidRPr="00CC0B96" w:rsidRDefault="00B131A0" w:rsidP="00B131A0">
      <w:pPr>
        <w:pStyle w:val="AppendixNo"/>
        <w:spacing w:before="240"/>
        <w:rPr>
          <w:vertAlign w:val="superscript"/>
          <w:lang w:val="fr-CH"/>
        </w:rPr>
      </w:pPr>
      <w:bookmarkStart w:id="9" w:name="_Toc330560546"/>
      <w:r w:rsidRPr="00CC0B96">
        <w:rPr>
          <w:lang w:val="fr-CH"/>
        </w:rPr>
        <w:t xml:space="preserve">APPENDIX </w:t>
      </w:r>
      <w:r w:rsidRPr="00CC0B96">
        <w:rPr>
          <w:rStyle w:val="href"/>
          <w:lang w:val="fr-CH"/>
        </w:rPr>
        <w:t>30</w:t>
      </w:r>
      <w:r w:rsidRPr="00CC0B96">
        <w:rPr>
          <w:lang w:val="fr-CH"/>
        </w:rPr>
        <w:t xml:space="preserve"> (REV.WRC</w:t>
      </w:r>
      <w:r w:rsidRPr="00CC0B96">
        <w:rPr>
          <w:lang w:val="fr-CH"/>
        </w:rPr>
        <w:noBreakHyphen/>
        <w:t>12)</w:t>
      </w:r>
      <w:bookmarkEnd w:id="9"/>
      <w:r w:rsidRPr="00CC0B96">
        <w:rPr>
          <w:rStyle w:val="FootnoteReference"/>
          <w:lang w:val="fr-CH"/>
        </w:rPr>
        <w:t>*</w:t>
      </w:r>
    </w:p>
    <w:p w:rsidR="00D54825" w:rsidRPr="00422CFA" w:rsidRDefault="00B131A0" w:rsidP="00422CFA">
      <w:pPr>
        <w:pStyle w:val="Appendixtitle"/>
        <w:rPr>
          <w:rFonts w:ascii="Times New Roman"/>
          <w:b w:val="0"/>
          <w:bCs/>
          <w:color w:val="000000"/>
          <w:sz w:val="16"/>
        </w:rPr>
      </w:pPr>
      <w:bookmarkStart w:id="10" w:name="_Toc330560547"/>
      <w:r w:rsidRPr="00422CFA">
        <w:t>Provisions for all services and associated Plans and List</w:t>
      </w:r>
      <w:r w:rsidRPr="00422CFA">
        <w:rPr>
          <w:rStyle w:val="FootnoteReference"/>
          <w:b w:val="0"/>
          <w:bCs/>
        </w:rPr>
        <w:t>1</w:t>
      </w:r>
      <w:r w:rsidRPr="00422CFA">
        <w:t xml:space="preserve"> for</w:t>
      </w:r>
      <w:r w:rsidR="00422CFA" w:rsidRPr="00422CFA">
        <w:t xml:space="preserve"> </w:t>
      </w:r>
      <w:r w:rsidRPr="00422CFA">
        <w:br/>
        <w:t>the broadcasting-satellite service in the frequency bands</w:t>
      </w:r>
      <w:r w:rsidR="00422CFA" w:rsidRPr="00422CFA">
        <w:t xml:space="preserve"> </w:t>
      </w:r>
      <w:r w:rsidRPr="00422CFA">
        <w:br/>
        <w:t>11.7-12.2 GHz (in Region 3), 11.7-12.5 GHz (in Region 1)</w:t>
      </w:r>
      <w:r w:rsidR="00422CFA" w:rsidRPr="00422CFA">
        <w:t xml:space="preserve"> </w:t>
      </w:r>
      <w:r w:rsidR="00422CFA" w:rsidRPr="00422CFA">
        <w:br/>
      </w:r>
      <w:r w:rsidRPr="00422CFA">
        <w:t>and 12.2-12.7 GHz (in Region 2)</w:t>
      </w:r>
      <w:r w:rsidRPr="00422CFA">
        <w:rPr>
          <w:b w:val="0"/>
          <w:bCs/>
          <w:color w:val="000000"/>
          <w:sz w:val="16"/>
        </w:rPr>
        <w:t>    </w:t>
      </w:r>
      <w:r w:rsidRPr="00422CFA">
        <w:rPr>
          <w:rFonts w:ascii="Times New Roman"/>
          <w:b w:val="0"/>
          <w:bCs/>
          <w:color w:val="000000"/>
          <w:sz w:val="16"/>
        </w:rPr>
        <w:t>(WRC</w:t>
      </w:r>
      <w:r w:rsidRPr="00422CFA">
        <w:rPr>
          <w:rFonts w:ascii="Times New Roman"/>
          <w:b w:val="0"/>
          <w:bCs/>
          <w:color w:val="000000"/>
          <w:sz w:val="16"/>
        </w:rPr>
        <w:noBreakHyphen/>
        <w:t>03)</w:t>
      </w:r>
      <w:bookmarkEnd w:id="10"/>
    </w:p>
    <w:p w:rsidR="000462D6" w:rsidRPr="00422CFA" w:rsidRDefault="00B131A0">
      <w:pPr>
        <w:pStyle w:val="Reasons"/>
      </w:pPr>
      <w:r w:rsidRPr="00422CFA">
        <w:rPr>
          <w:b/>
        </w:rPr>
        <w:t>Reasons:</w:t>
      </w:r>
      <w:r w:rsidRPr="00422CFA">
        <w:tab/>
        <w:t>Tacit agreement has been adopted in Appendix 30 as part of an overall compromise during the establishment and subsequent revision of this Appendix at previous WRC.</w:t>
      </w:r>
    </w:p>
    <w:p w:rsidR="000462D6" w:rsidRPr="00422CFA" w:rsidRDefault="00B131A0">
      <w:pPr>
        <w:pStyle w:val="Proposal"/>
      </w:pPr>
      <w:r w:rsidRPr="00422CFA">
        <w:rPr>
          <w:u w:val="single"/>
        </w:rPr>
        <w:t>NOC</w:t>
      </w:r>
      <w:r w:rsidRPr="00422CFA">
        <w:tab/>
        <w:t>EUR/9A21A12/2</w:t>
      </w:r>
    </w:p>
    <w:p w:rsidR="00D54825" w:rsidRPr="00422CFA" w:rsidRDefault="00B131A0" w:rsidP="00B131A0">
      <w:pPr>
        <w:pStyle w:val="AppendixNo"/>
      </w:pPr>
      <w:bookmarkStart w:id="11" w:name="_Toc330560562"/>
      <w:r w:rsidRPr="00422CFA">
        <w:t xml:space="preserve">APPENDIX </w:t>
      </w:r>
      <w:r w:rsidRPr="00422CFA">
        <w:rPr>
          <w:rStyle w:val="href"/>
        </w:rPr>
        <w:t>30A</w:t>
      </w:r>
      <w:r w:rsidRPr="00422CFA">
        <w:t> (REV.WRC</w:t>
      </w:r>
      <w:r w:rsidRPr="00422CFA">
        <w:noBreakHyphen/>
        <w:t>12)</w:t>
      </w:r>
      <w:bookmarkEnd w:id="11"/>
      <w:r w:rsidRPr="00422CFA">
        <w:rPr>
          <w:rStyle w:val="FootnoteReference"/>
        </w:rPr>
        <w:t>*</w:t>
      </w:r>
    </w:p>
    <w:p w:rsidR="00D54825" w:rsidRPr="00422CFA" w:rsidRDefault="00B131A0" w:rsidP="00B131A0">
      <w:pPr>
        <w:pStyle w:val="Appendixtitle"/>
        <w:rPr>
          <w:b w:val="0"/>
          <w:bCs/>
          <w:sz w:val="16"/>
        </w:rPr>
      </w:pPr>
      <w:bookmarkStart w:id="12" w:name="_Toc330560563"/>
      <w:r w:rsidRPr="00422CFA">
        <w:t>Provisions and associated Plans and List</w:t>
      </w:r>
      <w:r w:rsidRPr="00422CFA">
        <w:rPr>
          <w:rStyle w:val="FootnoteReference"/>
          <w:b w:val="0"/>
          <w:bCs/>
        </w:rPr>
        <w:t>1</w:t>
      </w:r>
      <w:r w:rsidRPr="00422CFA">
        <w:t xml:space="preserve"> for feeder links for the broadcasting-satellite service (11.7-12.5 GHz in Region 1, 12.2-12.7 GHz</w:t>
      </w:r>
      <w:r w:rsidR="00422CFA" w:rsidRPr="00422CFA">
        <w:t xml:space="preserve"> </w:t>
      </w:r>
      <w:r w:rsidRPr="00422CFA">
        <w:br/>
        <w:t>in Region 2 and 11.7-12.2 GHz in Region 3) in the frequency bands</w:t>
      </w:r>
      <w:r w:rsidR="00422CFA" w:rsidRPr="00422CFA">
        <w:t xml:space="preserve"> </w:t>
      </w:r>
      <w:r w:rsidRPr="00422CFA">
        <w:br/>
        <w:t>14.5-14.8 GHz</w:t>
      </w:r>
      <w:r w:rsidRPr="00422CFA">
        <w:rPr>
          <w:vertAlign w:val="superscript"/>
        </w:rPr>
        <w:t>2</w:t>
      </w:r>
      <w:r w:rsidRPr="00422CFA">
        <w:t xml:space="preserve"> and 17.3-18.1 GHz in Regions 1 and 3,</w:t>
      </w:r>
      <w:r w:rsidR="00422CFA" w:rsidRPr="00422CFA">
        <w:t xml:space="preserve"> </w:t>
      </w:r>
      <w:r w:rsidRPr="00422CFA">
        <w:br/>
        <w:t>and 17.3-17.8 GHz in Region 2</w:t>
      </w:r>
      <w:r w:rsidRPr="00422CFA">
        <w:rPr>
          <w:b w:val="0"/>
          <w:bCs/>
          <w:sz w:val="16"/>
        </w:rPr>
        <w:t>     (</w:t>
      </w:r>
      <w:r w:rsidRPr="00422CFA">
        <w:rPr>
          <w:rFonts w:asciiTheme="majorBidi" w:hAnsiTheme="majorBidi" w:cstheme="majorBidi"/>
          <w:b w:val="0"/>
          <w:bCs/>
          <w:sz w:val="16"/>
        </w:rPr>
        <w:t>WRC</w:t>
      </w:r>
      <w:r w:rsidRPr="00422CFA">
        <w:rPr>
          <w:rFonts w:asciiTheme="majorBidi" w:hAnsiTheme="majorBidi" w:cstheme="majorBidi"/>
          <w:b w:val="0"/>
          <w:bCs/>
          <w:sz w:val="16"/>
        </w:rPr>
        <w:noBreakHyphen/>
        <w:t>03)</w:t>
      </w:r>
      <w:bookmarkEnd w:id="12"/>
    </w:p>
    <w:p w:rsidR="000462D6" w:rsidRPr="00422CFA" w:rsidRDefault="00B131A0">
      <w:pPr>
        <w:pStyle w:val="Reasons"/>
      </w:pPr>
      <w:r w:rsidRPr="00422CFA">
        <w:rPr>
          <w:b/>
        </w:rPr>
        <w:t>Reasons:</w:t>
      </w:r>
      <w:r w:rsidRPr="00422CFA">
        <w:tab/>
        <w:t>Tacit agreement has been adopted in Appendix 30 as part of an overall compromise during the establishment and subsequent revision of this Appendix at previous WRC.</w:t>
      </w:r>
    </w:p>
    <w:p w:rsidR="00422CFA" w:rsidRPr="00422CFA" w:rsidRDefault="00422CFA" w:rsidP="0032202E">
      <w:pPr>
        <w:pStyle w:val="Reasons"/>
      </w:pPr>
    </w:p>
    <w:p w:rsidR="00422CFA" w:rsidRPr="00422CFA" w:rsidRDefault="00422CFA">
      <w:pPr>
        <w:jc w:val="center"/>
      </w:pPr>
      <w:r w:rsidRPr="00422CFA">
        <w:t>______________</w:t>
      </w:r>
    </w:p>
    <w:sectPr w:rsidR="00422CFA" w:rsidRPr="00422CFA" w:rsidSect="00422CF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C0B96">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Default="00422CFA" w:rsidP="00422CFA">
    <w:pPr>
      <w:pStyle w:val="Footer"/>
    </w:pPr>
    <w:fldSimple w:instr=" FILENAME \p  \* MERGEFORMAT ">
      <w:r>
        <w:t>P:\ENG\ITU-R\CONF-R\CMR15\000\009ADD21ADD12E.docx</w:t>
      </w:r>
    </w:fldSimple>
    <w:r>
      <w:t xml:space="preserve"> (388337)</w:t>
    </w:r>
    <w:r>
      <w:tab/>
    </w:r>
    <w:r>
      <w:fldChar w:fldCharType="begin"/>
    </w:r>
    <w:r>
      <w:instrText xml:space="preserve"> SAVEDATE \@ DD.MM.YY </w:instrText>
    </w:r>
    <w:r>
      <w:fldChar w:fldCharType="separate"/>
    </w:r>
    <w:r w:rsidR="00CC0B96">
      <w:t>18.10.15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Default="00CC0B96">
    <w:pPr>
      <w:pStyle w:val="Footer"/>
    </w:pPr>
    <w:r>
      <w:fldChar w:fldCharType="begin"/>
    </w:r>
    <w:r>
      <w:instrText xml:space="preserve"> FILENAME \p  \* MERGEFORMAT </w:instrText>
    </w:r>
    <w:r>
      <w:fldChar w:fldCharType="separate"/>
    </w:r>
    <w:r w:rsidR="00422CFA">
      <w:t>P:\ENG\ITU-R\CONF-R\CMR15\000\009ADD21ADD12E.docx</w:t>
    </w:r>
    <w:r>
      <w:fldChar w:fldCharType="end"/>
    </w:r>
    <w:r w:rsidR="00422CFA">
      <w:t xml:space="preserve"> (388337)</w:t>
    </w:r>
    <w:r w:rsidR="00422CFA">
      <w:tab/>
    </w:r>
    <w:r w:rsidR="00422CFA">
      <w:fldChar w:fldCharType="begin"/>
    </w:r>
    <w:r w:rsidR="00422CFA">
      <w:instrText xml:space="preserve"> SAVEDATE \@ DD.MM.YY </w:instrText>
    </w:r>
    <w:r w:rsidR="00422CFA">
      <w:fldChar w:fldCharType="separate"/>
    </w:r>
    <w:r>
      <w:t>18.10.15</w:t>
    </w:r>
    <w:r w:rsidR="00422CFA">
      <w:fldChar w:fldCharType="end"/>
    </w:r>
    <w:r w:rsidR="00422CFA">
      <w:tab/>
    </w:r>
    <w:r w:rsidR="00422CFA">
      <w:fldChar w:fldCharType="begin"/>
    </w:r>
    <w:r w:rsidR="00422CFA">
      <w:instrText xml:space="preserve"> PRINTDATE \@ DD.MM.YY </w:instrText>
    </w:r>
    <w:r w:rsidR="00422CFA">
      <w:fldChar w:fldCharType="separate"/>
    </w:r>
    <w:r w:rsidR="00422CFA">
      <w:t>10.02.14</w:t>
    </w:r>
    <w:r w:rsidR="00422C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C0B96">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9(Add.21)(Add.12)</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2D6"/>
    <w:rsid w:val="00051E39"/>
    <w:rsid w:val="000705F2"/>
    <w:rsid w:val="00077239"/>
    <w:rsid w:val="00086491"/>
    <w:rsid w:val="00091346"/>
    <w:rsid w:val="0009706C"/>
    <w:rsid w:val="000D154B"/>
    <w:rsid w:val="000F73FF"/>
    <w:rsid w:val="00114CF7"/>
    <w:rsid w:val="0011572C"/>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2CFA"/>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22D1"/>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31A0"/>
    <w:rsid w:val="00B639E9"/>
    <w:rsid w:val="00B817CD"/>
    <w:rsid w:val="00B81A7D"/>
    <w:rsid w:val="00B94AD0"/>
    <w:rsid w:val="00BB3A95"/>
    <w:rsid w:val="00BD6CCE"/>
    <w:rsid w:val="00C0018F"/>
    <w:rsid w:val="00C16A5A"/>
    <w:rsid w:val="00C20466"/>
    <w:rsid w:val="00C214ED"/>
    <w:rsid w:val="00C234E6"/>
    <w:rsid w:val="00C324A8"/>
    <w:rsid w:val="00C54517"/>
    <w:rsid w:val="00C55760"/>
    <w:rsid w:val="00C64CD8"/>
    <w:rsid w:val="00C97C68"/>
    <w:rsid w:val="00CA1A47"/>
    <w:rsid w:val="00CB44E5"/>
    <w:rsid w:val="00CC0B96"/>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AE07EBE-1A2B-4A39-B323-E36A71DF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F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22CFA"/>
    <w:rPr>
      <w:rFonts w:ascii="Times New Roman" w:hAnsi="Times New Roman"/>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Strong">
    <w:name w:val="Strong"/>
    <w:aliases w:val="ECC HL bold"/>
    <w:basedOn w:val="DefaultParagraphFont"/>
    <w:uiPriority w:val="1"/>
    <w:qFormat/>
    <w:rsid w:val="007A2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7D3FB-FC11-4383-8EEA-0690BB0EC947}">
  <ds:schemaRefs>
    <ds:schemaRef ds:uri="http://purl.org/dc/terms/"/>
    <ds:schemaRef ds:uri="996b2e75-67fd-4955-a3b0-5ab9934cb50b"/>
    <ds:schemaRef ds:uri="32a1a8c5-2265-4ebc-b7a0-2071e2c5c9bb"/>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B7025E4-B377-47F4-9502-11A1D168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Pages>
  <Words>487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R15-WRC15-C-0009!A21-A12!MSW-E</vt:lpstr>
    </vt:vector>
  </TitlesOfParts>
  <Manager>General Secretariat - Pool</Manager>
  <Company>International Telecommunication Union (ITU)</Company>
  <LinksUpToDate>false</LinksUpToDate>
  <CharactersWithSpaces>3276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R15-WRC15-C-0009!A21-A12!MSW-E</dc:title>
  <dc:subject>World Radiocommunication Conference - 2015</dc:subject>
  <dc:creator>Documents Proposals Manager (DPM)</dc:creator>
  <cp:keywords>DPM_v5.2015.10.15_prod</cp:keywords>
  <dc:description>Uploaded on 2015.07.06</dc:description>
  <cp:lastModifiedBy>Neal, Sharon</cp:lastModifiedBy>
  <cp:revision>4</cp:revision>
  <cp:lastPrinted>2014-02-10T09:49:00Z</cp:lastPrinted>
  <dcterms:created xsi:type="dcterms:W3CDTF">2015-10-18T12:37:00Z</dcterms:created>
  <dcterms:modified xsi:type="dcterms:W3CDTF">2015-10-22T12:10:00Z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