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CB4A95" w:rsidTr="0050008E">
        <w:trPr>
          <w:cantSplit/>
        </w:trPr>
        <w:tc>
          <w:tcPr>
            <w:tcW w:w="6911" w:type="dxa"/>
          </w:tcPr>
          <w:p w:rsidR="00BB1D82" w:rsidRPr="00CB4A95" w:rsidRDefault="00851625" w:rsidP="002A6F8F">
            <w:pPr>
              <w:spacing w:before="400" w:after="48" w:line="240" w:lineRule="atLeast"/>
              <w:rPr>
                <w:rFonts w:ascii="Verdana" w:hAnsi="Verdana"/>
                <w:b/>
                <w:bCs/>
                <w:sz w:val="20"/>
                <w:lang w:val="fr-CH"/>
              </w:rPr>
            </w:pPr>
            <w:bookmarkStart w:id="0" w:name="_GoBack"/>
            <w:bookmarkEnd w:id="0"/>
            <w:r w:rsidRPr="00CB4A95">
              <w:rPr>
                <w:rFonts w:ascii="Verdana" w:hAnsi="Verdana"/>
                <w:b/>
                <w:bCs/>
                <w:sz w:val="20"/>
                <w:lang w:val="fr-CH"/>
              </w:rPr>
              <w:t>Conférence mondiale des radiocommunications (CMR-15)</w:t>
            </w:r>
            <w:r w:rsidRPr="00CB4A95">
              <w:rPr>
                <w:rFonts w:ascii="Verdana" w:hAnsi="Verdana"/>
                <w:b/>
                <w:bCs/>
                <w:sz w:val="20"/>
                <w:lang w:val="fr-CH"/>
              </w:rPr>
              <w:br/>
            </w:r>
            <w:r w:rsidRPr="00CB4A95">
              <w:rPr>
                <w:rFonts w:ascii="Verdana" w:hAnsi="Verdana"/>
                <w:b/>
                <w:bCs/>
                <w:sz w:val="18"/>
                <w:szCs w:val="18"/>
                <w:lang w:val="fr-CH"/>
              </w:rPr>
              <w:t>Genève,</w:t>
            </w:r>
            <w:r w:rsidR="00E537FF" w:rsidRPr="00CB4A95">
              <w:rPr>
                <w:rFonts w:ascii="Verdana" w:hAnsi="Verdana"/>
                <w:b/>
                <w:bCs/>
                <w:sz w:val="18"/>
                <w:szCs w:val="18"/>
                <w:lang w:val="fr-CH"/>
              </w:rPr>
              <w:t xml:space="preserve"> </w:t>
            </w:r>
            <w:r w:rsidRPr="00CB4A95">
              <w:rPr>
                <w:rFonts w:ascii="Verdana" w:hAnsi="Verdana"/>
                <w:b/>
                <w:bCs/>
                <w:sz w:val="18"/>
                <w:szCs w:val="18"/>
                <w:lang w:val="fr-CH"/>
              </w:rPr>
              <w:t>2-27 novembre 2015</w:t>
            </w:r>
          </w:p>
        </w:tc>
        <w:tc>
          <w:tcPr>
            <w:tcW w:w="3120" w:type="dxa"/>
          </w:tcPr>
          <w:p w:rsidR="00BB1D82" w:rsidRPr="00CB4A95" w:rsidRDefault="002C28A4" w:rsidP="002C28A4">
            <w:pPr>
              <w:spacing w:before="0" w:line="240" w:lineRule="atLeast"/>
              <w:jc w:val="right"/>
              <w:rPr>
                <w:lang w:val="fr-CH"/>
              </w:rPr>
            </w:pPr>
            <w:bookmarkStart w:id="1" w:name="ditulogo"/>
            <w:bookmarkEnd w:id="1"/>
            <w:r w:rsidRPr="00CB4A95">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CB4A95" w:rsidTr="0050008E">
        <w:trPr>
          <w:cantSplit/>
        </w:trPr>
        <w:tc>
          <w:tcPr>
            <w:tcW w:w="6911" w:type="dxa"/>
            <w:tcBorders>
              <w:bottom w:val="single" w:sz="12" w:space="0" w:color="auto"/>
            </w:tcBorders>
          </w:tcPr>
          <w:p w:rsidR="00BB1D82" w:rsidRPr="00CB4A95" w:rsidRDefault="002C28A4" w:rsidP="00BB1D82">
            <w:pPr>
              <w:spacing w:before="0" w:after="48" w:line="240" w:lineRule="atLeast"/>
              <w:rPr>
                <w:b/>
                <w:smallCaps/>
                <w:szCs w:val="24"/>
                <w:lang w:val="fr-CH"/>
              </w:rPr>
            </w:pPr>
            <w:bookmarkStart w:id="2" w:name="dhead"/>
            <w:r w:rsidRPr="00CB4A95">
              <w:rPr>
                <w:rFonts w:ascii="Verdana" w:hAnsi="Verdana"/>
                <w:b/>
                <w:bCs/>
                <w:sz w:val="20"/>
                <w:lang w:val="fr-CH"/>
              </w:rPr>
              <w:t>UNION INTERNATIONALE DES TÉLÉCOMMUNICATIONS</w:t>
            </w:r>
          </w:p>
        </w:tc>
        <w:tc>
          <w:tcPr>
            <w:tcW w:w="3120" w:type="dxa"/>
            <w:tcBorders>
              <w:bottom w:val="single" w:sz="12" w:space="0" w:color="auto"/>
            </w:tcBorders>
          </w:tcPr>
          <w:p w:rsidR="00BB1D82" w:rsidRPr="00CB4A95" w:rsidRDefault="00BB1D82" w:rsidP="00BB1D82">
            <w:pPr>
              <w:spacing w:before="0" w:line="240" w:lineRule="atLeast"/>
              <w:rPr>
                <w:rFonts w:ascii="Verdana" w:hAnsi="Verdana"/>
                <w:szCs w:val="24"/>
                <w:lang w:val="fr-CH"/>
              </w:rPr>
            </w:pPr>
          </w:p>
        </w:tc>
      </w:tr>
      <w:tr w:rsidR="00BB1D82" w:rsidRPr="00CB4A95" w:rsidTr="00BB1D82">
        <w:trPr>
          <w:cantSplit/>
        </w:trPr>
        <w:tc>
          <w:tcPr>
            <w:tcW w:w="6911" w:type="dxa"/>
            <w:tcBorders>
              <w:top w:val="single" w:sz="12" w:space="0" w:color="auto"/>
            </w:tcBorders>
          </w:tcPr>
          <w:p w:rsidR="00BB1D82" w:rsidRPr="00CB4A95" w:rsidRDefault="00BB1D82" w:rsidP="00BB1D82">
            <w:pPr>
              <w:spacing w:before="0" w:after="48" w:line="240" w:lineRule="atLeast"/>
              <w:rPr>
                <w:rFonts w:ascii="Verdana" w:hAnsi="Verdana"/>
                <w:b/>
                <w:smallCaps/>
                <w:sz w:val="20"/>
                <w:lang w:val="fr-CH"/>
              </w:rPr>
            </w:pPr>
          </w:p>
        </w:tc>
        <w:tc>
          <w:tcPr>
            <w:tcW w:w="3120" w:type="dxa"/>
            <w:tcBorders>
              <w:top w:val="single" w:sz="12" w:space="0" w:color="auto"/>
            </w:tcBorders>
          </w:tcPr>
          <w:p w:rsidR="00BB1D82" w:rsidRPr="00CB4A95" w:rsidRDefault="00BB1D82" w:rsidP="00BB1D82">
            <w:pPr>
              <w:spacing w:before="0" w:line="240" w:lineRule="atLeast"/>
              <w:rPr>
                <w:rFonts w:ascii="Verdana" w:hAnsi="Verdana"/>
                <w:sz w:val="20"/>
                <w:lang w:val="fr-CH"/>
              </w:rPr>
            </w:pPr>
          </w:p>
        </w:tc>
      </w:tr>
      <w:tr w:rsidR="00BB1D82" w:rsidRPr="00CB4A95" w:rsidTr="00BB1D82">
        <w:trPr>
          <w:cantSplit/>
        </w:trPr>
        <w:tc>
          <w:tcPr>
            <w:tcW w:w="6911" w:type="dxa"/>
            <w:shd w:val="clear" w:color="auto" w:fill="auto"/>
          </w:tcPr>
          <w:p w:rsidR="00BB1D82" w:rsidRPr="00CB4A95" w:rsidRDefault="006D4724" w:rsidP="00BA5BD0">
            <w:pPr>
              <w:spacing w:before="0"/>
              <w:rPr>
                <w:rFonts w:ascii="Verdana" w:hAnsi="Verdana"/>
                <w:b/>
                <w:sz w:val="20"/>
                <w:lang w:val="fr-CH"/>
              </w:rPr>
            </w:pPr>
            <w:r w:rsidRPr="00CB4A95">
              <w:rPr>
                <w:rFonts w:ascii="Verdana" w:hAnsi="Verdana"/>
                <w:b/>
                <w:sz w:val="20"/>
                <w:lang w:val="fr-CH"/>
              </w:rPr>
              <w:t>SÉANCE PLÉNIÈRE</w:t>
            </w:r>
          </w:p>
        </w:tc>
        <w:tc>
          <w:tcPr>
            <w:tcW w:w="3120" w:type="dxa"/>
            <w:shd w:val="clear" w:color="auto" w:fill="auto"/>
          </w:tcPr>
          <w:p w:rsidR="00BB1D82" w:rsidRPr="00CB4A95" w:rsidRDefault="006D4724" w:rsidP="00BA5BD0">
            <w:pPr>
              <w:spacing w:before="0"/>
              <w:rPr>
                <w:rFonts w:ascii="Verdana" w:hAnsi="Verdana"/>
                <w:sz w:val="20"/>
                <w:lang w:val="fr-CH"/>
              </w:rPr>
            </w:pPr>
            <w:r w:rsidRPr="00CB4A95">
              <w:rPr>
                <w:rFonts w:ascii="Verdana" w:eastAsia="SimSun" w:hAnsi="Verdana" w:cs="Traditional Arabic"/>
                <w:b/>
                <w:sz w:val="20"/>
                <w:lang w:val="fr-CH"/>
              </w:rPr>
              <w:t>Addendum 12 au</w:t>
            </w:r>
            <w:r w:rsidRPr="00CB4A95">
              <w:rPr>
                <w:rFonts w:ascii="Verdana" w:eastAsia="SimSun" w:hAnsi="Verdana" w:cs="Traditional Arabic"/>
                <w:b/>
                <w:sz w:val="20"/>
                <w:lang w:val="fr-CH"/>
              </w:rPr>
              <w:br/>
              <w:t>Document 9(Add.21)</w:t>
            </w:r>
            <w:r w:rsidR="00BB1D82" w:rsidRPr="00CB4A95">
              <w:rPr>
                <w:rFonts w:ascii="Verdana" w:hAnsi="Verdana"/>
                <w:b/>
                <w:sz w:val="20"/>
                <w:lang w:val="fr-CH"/>
              </w:rPr>
              <w:t>-</w:t>
            </w:r>
            <w:r w:rsidRPr="00CB4A95">
              <w:rPr>
                <w:rFonts w:ascii="Verdana" w:hAnsi="Verdana"/>
                <w:b/>
                <w:sz w:val="20"/>
                <w:lang w:val="fr-CH"/>
              </w:rPr>
              <w:t>F</w:t>
            </w:r>
          </w:p>
        </w:tc>
      </w:tr>
      <w:bookmarkEnd w:id="2"/>
      <w:tr w:rsidR="00690C7B" w:rsidRPr="00CB4A95" w:rsidTr="00BB1D82">
        <w:trPr>
          <w:cantSplit/>
        </w:trPr>
        <w:tc>
          <w:tcPr>
            <w:tcW w:w="6911" w:type="dxa"/>
            <w:shd w:val="clear" w:color="auto" w:fill="auto"/>
          </w:tcPr>
          <w:p w:rsidR="00690C7B" w:rsidRPr="00CB4A95" w:rsidRDefault="00690C7B" w:rsidP="00BA5BD0">
            <w:pPr>
              <w:spacing w:before="0"/>
              <w:rPr>
                <w:rFonts w:ascii="Verdana" w:hAnsi="Verdana"/>
                <w:b/>
                <w:sz w:val="20"/>
                <w:lang w:val="fr-CH"/>
              </w:rPr>
            </w:pPr>
          </w:p>
        </w:tc>
        <w:tc>
          <w:tcPr>
            <w:tcW w:w="3120" w:type="dxa"/>
            <w:shd w:val="clear" w:color="auto" w:fill="auto"/>
          </w:tcPr>
          <w:p w:rsidR="00690C7B" w:rsidRPr="00CB4A95" w:rsidRDefault="00690C7B" w:rsidP="00BA5BD0">
            <w:pPr>
              <w:spacing w:before="0"/>
              <w:rPr>
                <w:rFonts w:ascii="Verdana" w:hAnsi="Verdana"/>
                <w:b/>
                <w:sz w:val="20"/>
                <w:lang w:val="fr-CH"/>
              </w:rPr>
            </w:pPr>
            <w:r w:rsidRPr="00CB4A95">
              <w:rPr>
                <w:rFonts w:ascii="Verdana" w:hAnsi="Verdana"/>
                <w:b/>
                <w:sz w:val="20"/>
                <w:lang w:val="fr-CH"/>
              </w:rPr>
              <w:t>15 octobre 2015</w:t>
            </w:r>
          </w:p>
        </w:tc>
      </w:tr>
      <w:tr w:rsidR="00690C7B" w:rsidRPr="00CB4A95" w:rsidTr="00BB1D82">
        <w:trPr>
          <w:cantSplit/>
        </w:trPr>
        <w:tc>
          <w:tcPr>
            <w:tcW w:w="6911" w:type="dxa"/>
          </w:tcPr>
          <w:p w:rsidR="00690C7B" w:rsidRPr="00CB4A95" w:rsidRDefault="00690C7B" w:rsidP="00BA5BD0">
            <w:pPr>
              <w:spacing w:before="0" w:after="48"/>
              <w:rPr>
                <w:rFonts w:ascii="Verdana" w:hAnsi="Verdana"/>
                <w:b/>
                <w:smallCaps/>
                <w:sz w:val="20"/>
                <w:lang w:val="fr-CH"/>
              </w:rPr>
            </w:pPr>
          </w:p>
        </w:tc>
        <w:tc>
          <w:tcPr>
            <w:tcW w:w="3120" w:type="dxa"/>
          </w:tcPr>
          <w:p w:rsidR="00690C7B" w:rsidRPr="00CB4A95" w:rsidRDefault="00690C7B" w:rsidP="00BA5BD0">
            <w:pPr>
              <w:spacing w:before="0"/>
              <w:rPr>
                <w:rFonts w:ascii="Verdana" w:hAnsi="Verdana"/>
                <w:b/>
                <w:sz w:val="20"/>
                <w:lang w:val="fr-CH"/>
              </w:rPr>
            </w:pPr>
            <w:r w:rsidRPr="00CB4A95">
              <w:rPr>
                <w:rFonts w:ascii="Verdana" w:hAnsi="Verdana"/>
                <w:b/>
                <w:sz w:val="20"/>
                <w:lang w:val="fr-CH"/>
              </w:rPr>
              <w:t>Original: anglais</w:t>
            </w:r>
          </w:p>
        </w:tc>
      </w:tr>
      <w:tr w:rsidR="00690C7B" w:rsidRPr="00CB4A95" w:rsidTr="00C11970">
        <w:trPr>
          <w:cantSplit/>
        </w:trPr>
        <w:tc>
          <w:tcPr>
            <w:tcW w:w="10031" w:type="dxa"/>
            <w:gridSpan w:val="2"/>
          </w:tcPr>
          <w:p w:rsidR="00690C7B" w:rsidRPr="00CB4A95" w:rsidRDefault="00690C7B" w:rsidP="00BA5BD0">
            <w:pPr>
              <w:spacing w:before="0"/>
              <w:rPr>
                <w:rFonts w:ascii="Verdana" w:hAnsi="Verdana"/>
                <w:b/>
                <w:sz w:val="20"/>
                <w:lang w:val="fr-CH"/>
              </w:rPr>
            </w:pPr>
          </w:p>
        </w:tc>
      </w:tr>
      <w:tr w:rsidR="00690C7B" w:rsidRPr="00CB4A95" w:rsidTr="0050008E">
        <w:trPr>
          <w:cantSplit/>
        </w:trPr>
        <w:tc>
          <w:tcPr>
            <w:tcW w:w="10031" w:type="dxa"/>
            <w:gridSpan w:val="2"/>
          </w:tcPr>
          <w:p w:rsidR="00690C7B" w:rsidRPr="00CB4A95" w:rsidRDefault="00690C7B" w:rsidP="00690C7B">
            <w:pPr>
              <w:pStyle w:val="Source"/>
              <w:rPr>
                <w:lang w:val="fr-CH"/>
              </w:rPr>
            </w:pPr>
            <w:bookmarkStart w:id="3" w:name="dsource" w:colFirst="0" w:colLast="0"/>
            <w:r w:rsidRPr="00CB4A95">
              <w:rPr>
                <w:lang w:val="fr-CH"/>
              </w:rPr>
              <w:t>Propositions européennes communes</w:t>
            </w:r>
          </w:p>
        </w:tc>
      </w:tr>
      <w:tr w:rsidR="00690C7B" w:rsidRPr="00CB4A95" w:rsidTr="0050008E">
        <w:trPr>
          <w:cantSplit/>
        </w:trPr>
        <w:tc>
          <w:tcPr>
            <w:tcW w:w="10031" w:type="dxa"/>
            <w:gridSpan w:val="2"/>
          </w:tcPr>
          <w:p w:rsidR="00690C7B" w:rsidRPr="00CB4A95" w:rsidRDefault="00690C7B" w:rsidP="00F02392">
            <w:pPr>
              <w:pStyle w:val="Title1"/>
              <w:rPr>
                <w:lang w:val="fr-CH"/>
              </w:rPr>
            </w:pPr>
            <w:bookmarkStart w:id="4" w:name="dtitle1" w:colFirst="0" w:colLast="0"/>
            <w:bookmarkEnd w:id="3"/>
            <w:r w:rsidRPr="00CB4A95">
              <w:rPr>
                <w:lang w:val="fr-CH"/>
              </w:rPr>
              <w:t>Propos</w:t>
            </w:r>
            <w:r w:rsidR="00F02392" w:rsidRPr="00CB4A95">
              <w:rPr>
                <w:lang w:val="fr-CH"/>
              </w:rPr>
              <w:t>itions pour les travaux de la conférence</w:t>
            </w:r>
          </w:p>
        </w:tc>
      </w:tr>
      <w:tr w:rsidR="00690C7B" w:rsidRPr="00CB4A95" w:rsidTr="0050008E">
        <w:trPr>
          <w:cantSplit/>
        </w:trPr>
        <w:tc>
          <w:tcPr>
            <w:tcW w:w="10031" w:type="dxa"/>
            <w:gridSpan w:val="2"/>
          </w:tcPr>
          <w:p w:rsidR="00690C7B" w:rsidRPr="00CB4A95" w:rsidRDefault="00690C7B" w:rsidP="00690C7B">
            <w:pPr>
              <w:pStyle w:val="Title2"/>
              <w:rPr>
                <w:lang w:val="fr-CH"/>
              </w:rPr>
            </w:pPr>
            <w:bookmarkStart w:id="5" w:name="dtitle2" w:colFirst="0" w:colLast="0"/>
            <w:bookmarkEnd w:id="4"/>
          </w:p>
        </w:tc>
      </w:tr>
      <w:tr w:rsidR="00690C7B" w:rsidRPr="00CB4A95" w:rsidTr="0050008E">
        <w:trPr>
          <w:cantSplit/>
        </w:trPr>
        <w:tc>
          <w:tcPr>
            <w:tcW w:w="10031" w:type="dxa"/>
            <w:gridSpan w:val="2"/>
          </w:tcPr>
          <w:p w:rsidR="00690C7B" w:rsidRPr="00CB4A95" w:rsidRDefault="00690C7B" w:rsidP="00690C7B">
            <w:pPr>
              <w:pStyle w:val="Agendaitem"/>
            </w:pPr>
            <w:bookmarkStart w:id="6" w:name="dtitle3" w:colFirst="0" w:colLast="0"/>
            <w:bookmarkEnd w:id="5"/>
            <w:r w:rsidRPr="00CB4A95">
              <w:t>Point 7(L) de l'ordre du jour</w:t>
            </w:r>
          </w:p>
        </w:tc>
      </w:tr>
    </w:tbl>
    <w:bookmarkEnd w:id="6"/>
    <w:p w:rsidR="001C0E40" w:rsidRPr="00CB4A95" w:rsidRDefault="009B1F7D" w:rsidP="003B21FB">
      <w:pPr>
        <w:rPr>
          <w:lang w:val="fr-CH"/>
        </w:rPr>
      </w:pPr>
      <w:r w:rsidRPr="00CB4A95">
        <w:rPr>
          <w:lang w:val="fr-CH"/>
        </w:rPr>
        <w:t>7</w:t>
      </w:r>
      <w:r w:rsidRPr="00CB4A95">
        <w:rPr>
          <w:lang w:val="fr-CH"/>
        </w:rPr>
        <w:tab/>
        <w:t>examiner d'éventuels changements à apporter, et d'autres options à mettre en œuvre,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CB4A95">
        <w:rPr>
          <w:b/>
          <w:bCs/>
          <w:lang w:val="fr-CH"/>
        </w:rPr>
        <w:t>86 (Rév.CMR-07)</w:t>
      </w:r>
      <w:r w:rsidRPr="00CB4A95">
        <w:rPr>
          <w:lang w:val="fr-CH"/>
        </w:rPr>
        <w:t>, afin de faciliter l'utilisation rationnelle, efficace et économique des fréquences radioélectriques et des orbites associées, y compris de l'orbite des satellites géostationnaires;</w:t>
      </w:r>
    </w:p>
    <w:p w:rsidR="001053EB" w:rsidRPr="00CB4A95" w:rsidRDefault="009B1F7D" w:rsidP="003B21FB">
      <w:pPr>
        <w:rPr>
          <w:lang w:val="fr-CH"/>
        </w:rPr>
      </w:pPr>
      <w:r w:rsidRPr="00CB4A95">
        <w:rPr>
          <w:lang w:val="fr-CH"/>
        </w:rPr>
        <w:t xml:space="preserve">F(L) </w:t>
      </w:r>
      <w:r w:rsidRPr="00CB4A95">
        <w:rPr>
          <w:lang w:val="fr-CH"/>
        </w:rPr>
        <w:tab/>
        <w:t xml:space="preserve">Question L – Modification de certaines dispositions de l'Article 4 des Appendices </w:t>
      </w:r>
      <w:r w:rsidRPr="00CB4A95">
        <w:rPr>
          <w:b/>
          <w:bCs/>
          <w:lang w:val="fr-CH"/>
        </w:rPr>
        <w:t>30</w:t>
      </w:r>
      <w:r w:rsidRPr="00CB4A95">
        <w:rPr>
          <w:lang w:val="fr-CH"/>
        </w:rPr>
        <w:t xml:space="preserve"> et </w:t>
      </w:r>
      <w:r w:rsidRPr="00CB4A95">
        <w:rPr>
          <w:b/>
          <w:bCs/>
          <w:lang w:val="fr-CH"/>
        </w:rPr>
        <w:t>30A</w:t>
      </w:r>
      <w:r w:rsidRPr="00CB4A95">
        <w:rPr>
          <w:lang w:val="fr-CH"/>
        </w:rPr>
        <w:t xml:space="preserve"> du RR relatives aux Régions 1 et 3, à savoir le remplacement de l'accord tacite par l'accord exprès, ou alignement desdites dispositions des Appendices </w:t>
      </w:r>
      <w:r w:rsidRPr="00CB4A95">
        <w:rPr>
          <w:b/>
          <w:bCs/>
          <w:lang w:val="fr-CH"/>
        </w:rPr>
        <w:t>30</w:t>
      </w:r>
      <w:r w:rsidRPr="00CB4A95">
        <w:rPr>
          <w:lang w:val="fr-CH"/>
        </w:rPr>
        <w:t xml:space="preserve"> et </w:t>
      </w:r>
      <w:r w:rsidRPr="00CB4A95">
        <w:rPr>
          <w:b/>
          <w:bCs/>
          <w:lang w:val="fr-CH"/>
        </w:rPr>
        <w:t>30A</w:t>
      </w:r>
      <w:r w:rsidRPr="00CB4A95">
        <w:rPr>
          <w:lang w:val="fr-CH"/>
        </w:rPr>
        <w:t xml:space="preserve"> du RR relatives aux Régions 1 et 3 avec celles de l'Appendice </w:t>
      </w:r>
      <w:r w:rsidRPr="00CB4A95">
        <w:rPr>
          <w:b/>
          <w:bCs/>
          <w:lang w:val="fr-CH"/>
        </w:rPr>
        <w:t>30B</w:t>
      </w:r>
      <w:r w:rsidRPr="00CB4A95">
        <w:rPr>
          <w:lang w:val="fr-CH"/>
        </w:rPr>
        <w:t>.</w:t>
      </w:r>
    </w:p>
    <w:p w:rsidR="00F02392" w:rsidRPr="00CB4A95" w:rsidRDefault="00F02392" w:rsidP="003B21FB">
      <w:pPr>
        <w:rPr>
          <w:rStyle w:val="Strong"/>
          <w:lang w:val="fr-CH"/>
        </w:rPr>
      </w:pPr>
      <w:r w:rsidRPr="00CB4A95">
        <w:rPr>
          <w:rStyle w:val="Strong"/>
          <w:lang w:val="fr-CH"/>
        </w:rPr>
        <w:t>Introduction</w:t>
      </w:r>
    </w:p>
    <w:p w:rsidR="003A583E" w:rsidRPr="00CB4A95" w:rsidRDefault="00072AE6" w:rsidP="003B21FB">
      <w:pPr>
        <w:rPr>
          <w:lang w:val="fr-CH"/>
        </w:rPr>
      </w:pPr>
      <w:r w:rsidRPr="00CB4A95">
        <w:rPr>
          <w:lang w:val="fr-CH"/>
        </w:rPr>
        <w:t xml:space="preserve">L'accord tacite des administrations dont les services sont considérés comme étant affectés a toujours servi de base aux Appendices </w:t>
      </w:r>
      <w:r w:rsidRPr="004B6E5B">
        <w:rPr>
          <w:lang w:val="fr-CH"/>
        </w:rPr>
        <w:t>30</w:t>
      </w:r>
      <w:r w:rsidRPr="00CB4A95">
        <w:rPr>
          <w:lang w:val="fr-CH"/>
        </w:rPr>
        <w:t xml:space="preserve"> et </w:t>
      </w:r>
      <w:r w:rsidRPr="004B6E5B">
        <w:rPr>
          <w:lang w:val="fr-CH"/>
        </w:rPr>
        <w:t>30A</w:t>
      </w:r>
      <w:r w:rsidRPr="00CB4A95">
        <w:rPr>
          <w:lang w:val="fr-CH"/>
        </w:rPr>
        <w:t xml:space="preserve"> du RR depuis leur création par la CAMR-77 et la CAMR</w:t>
      </w:r>
      <w:r w:rsidRPr="00CB4A95">
        <w:rPr>
          <w:lang w:val="fr-CH"/>
        </w:rPr>
        <w:noBreakHyphen/>
        <w:t>83.</w:t>
      </w:r>
      <w:r w:rsidR="00885161" w:rsidRPr="00CB4A95">
        <w:rPr>
          <w:lang w:val="fr-CH"/>
        </w:rPr>
        <w:t xml:space="preserve"> Depuis</w:t>
      </w:r>
      <w:r w:rsidR="002D6EEE">
        <w:rPr>
          <w:lang w:val="fr-CH"/>
        </w:rPr>
        <w:t xml:space="preserve"> lors</w:t>
      </w:r>
      <w:r w:rsidR="00885161" w:rsidRPr="00CB4A95">
        <w:rPr>
          <w:lang w:val="fr-CH"/>
        </w:rPr>
        <w:t>,</w:t>
      </w:r>
      <w:r w:rsidR="00F02392" w:rsidRPr="00CB4A95">
        <w:rPr>
          <w:lang w:val="fr-CH"/>
        </w:rPr>
        <w:t xml:space="preserve"> la question de l'accord des administrations et les conséquences qui en découlent ont été largement étudiées </w:t>
      </w:r>
      <w:r w:rsidR="002D6EEE">
        <w:rPr>
          <w:lang w:val="fr-CH"/>
        </w:rPr>
        <w:t>aux</w:t>
      </w:r>
      <w:r w:rsidR="00F02392" w:rsidRPr="00CB4A95">
        <w:rPr>
          <w:lang w:val="fr-CH"/>
        </w:rPr>
        <w:t xml:space="preserve"> CMR précédentes, ce qui a donné lieu à différentes mesures réglemen</w:t>
      </w:r>
      <w:r w:rsidR="00880025" w:rsidRPr="00CB4A95">
        <w:rPr>
          <w:lang w:val="fr-CH"/>
        </w:rPr>
        <w:t>taires dans les Appendices </w:t>
      </w:r>
      <w:r w:rsidR="00F02392" w:rsidRPr="00CB4A95">
        <w:rPr>
          <w:lang w:val="fr-CH"/>
        </w:rPr>
        <w:t>30, 30A et 30B du RR, qui reflètent les compromis d</w:t>
      </w:r>
      <w:r w:rsidR="00880025" w:rsidRPr="00CB4A95">
        <w:rPr>
          <w:lang w:val="fr-CH"/>
        </w:rPr>
        <w:t xml:space="preserve">élicats auxquels sont parvenues </w:t>
      </w:r>
      <w:r w:rsidR="00F02392" w:rsidRPr="00CB4A95">
        <w:rPr>
          <w:lang w:val="fr-CH"/>
        </w:rPr>
        <w:t>ces conférences.</w:t>
      </w:r>
    </w:p>
    <w:p w:rsidR="00885161" w:rsidRPr="00CB4A95" w:rsidRDefault="00885161" w:rsidP="003B21FB">
      <w:pPr>
        <w:rPr>
          <w:lang w:val="fr-CH"/>
        </w:rPr>
      </w:pPr>
      <w:r w:rsidRPr="00CB4A95">
        <w:rPr>
          <w:lang w:val="fr-CH"/>
        </w:rPr>
        <w:t xml:space="preserve">L’Europe note que l’accord tacite a été adopté </w:t>
      </w:r>
      <w:r w:rsidR="002D6EEE">
        <w:rPr>
          <w:lang w:val="fr-CH"/>
        </w:rPr>
        <w:t>pour</w:t>
      </w:r>
      <w:r w:rsidRPr="00CB4A95">
        <w:rPr>
          <w:lang w:val="fr-CH"/>
        </w:rPr>
        <w:t xml:space="preserve"> les Appendices 30 et 30A avec un ensemble de seuils de déclenchement de la coordination</w:t>
      </w:r>
      <w:r w:rsidR="002D6EEE">
        <w:rPr>
          <w:lang w:val="fr-CH"/>
        </w:rPr>
        <w:t>. On ne peut</w:t>
      </w:r>
      <w:r w:rsidRPr="00CB4A95">
        <w:rPr>
          <w:lang w:val="fr-CH"/>
        </w:rPr>
        <w:t xml:space="preserve"> par conséquent pas modifier une telle procédure réglementaire sans examiner les différents seuils techniques de déclenchement de la coordination. D’une manière plus générale, l’Europe note en outre que d’autres méthodes que celles présentées dans le Rapport de la RPC pour traiter le point 7 (Question L) de l’ordre du jour de la CMR-15 seront peut-être </w:t>
      </w:r>
      <w:r w:rsidR="002D6EEE">
        <w:rPr>
          <w:lang w:val="fr-CH"/>
        </w:rPr>
        <w:t>préférables</w:t>
      </w:r>
      <w:r w:rsidRPr="00CB4A95">
        <w:rPr>
          <w:lang w:val="fr-CH"/>
        </w:rPr>
        <w:t xml:space="preserve"> pour parvenir à harmoniser les dispositions de l’Article 6 de l’Appendice 30B avec les dispositions correspondantes de l’Article 4 des Appendices 30 et 30A. Par conséquent, l’Europe propose de n’apporter aucune modification au RR au titre de cette question.</w:t>
      </w:r>
    </w:p>
    <w:p w:rsidR="00F02392" w:rsidRPr="00CB4A95" w:rsidRDefault="00CB4A95" w:rsidP="003B21FB">
      <w:pPr>
        <w:rPr>
          <w:lang w:val="fr-CH"/>
        </w:rPr>
      </w:pPr>
      <w:r w:rsidRPr="00CB4A95">
        <w:rPr>
          <w:lang w:val="fr-CH"/>
        </w:rPr>
        <w:lastRenderedPageBreak/>
        <w:t>La présente proposition européenne visant à n’apporter aucune modification au RR correspond à la Méthode L3 proposée dans le Rapport de la RPC pour traiter le point 7 (Question L) de l’ordre du jour de la CMR-15</w:t>
      </w:r>
      <w:r w:rsidR="00F02392" w:rsidRPr="00CB4A95">
        <w:rPr>
          <w:lang w:val="fr-CH"/>
        </w:rPr>
        <w:t xml:space="preserve">. </w:t>
      </w:r>
    </w:p>
    <w:p w:rsidR="00F02392" w:rsidRPr="00CB4A95" w:rsidRDefault="00F02392" w:rsidP="003B21FB">
      <w:pPr>
        <w:pStyle w:val="Headingb"/>
        <w:rPr>
          <w:lang w:val="fr-CH"/>
        </w:rPr>
      </w:pPr>
      <w:r w:rsidRPr="00CB4A95">
        <w:rPr>
          <w:lang w:val="fr-CH"/>
        </w:rPr>
        <w:t>Propositions</w:t>
      </w:r>
    </w:p>
    <w:p w:rsidR="00D42383" w:rsidRPr="00CB4A95" w:rsidRDefault="009B1F7D" w:rsidP="003B21FB">
      <w:pPr>
        <w:pStyle w:val="Proposal"/>
        <w:rPr>
          <w:lang w:val="fr-CH"/>
        </w:rPr>
      </w:pPr>
      <w:r w:rsidRPr="00CB4A95">
        <w:rPr>
          <w:u w:val="single"/>
          <w:lang w:val="fr-CH"/>
        </w:rPr>
        <w:t>NOC</w:t>
      </w:r>
      <w:r w:rsidRPr="00CB4A95">
        <w:rPr>
          <w:lang w:val="fr-CH"/>
        </w:rPr>
        <w:tab/>
        <w:t>EUR/9A21A12/1</w:t>
      </w:r>
    </w:p>
    <w:p w:rsidR="00AC28E0" w:rsidRPr="00CB4A95" w:rsidRDefault="009B1F7D" w:rsidP="003B21FB">
      <w:pPr>
        <w:pStyle w:val="AppendixNo"/>
        <w:rPr>
          <w:lang w:val="fr-CH"/>
        </w:rPr>
      </w:pPr>
      <w:r w:rsidRPr="00CB4A95">
        <w:rPr>
          <w:lang w:val="fr-CH"/>
        </w:rPr>
        <w:t xml:space="preserve">APPENDICE </w:t>
      </w:r>
      <w:r w:rsidRPr="00CB4A95">
        <w:rPr>
          <w:rStyle w:val="href"/>
          <w:lang w:val="fr-CH"/>
        </w:rPr>
        <w:t>30</w:t>
      </w:r>
      <w:r w:rsidRPr="00CB4A95">
        <w:rPr>
          <w:lang w:val="fr-CH"/>
        </w:rPr>
        <w:t xml:space="preserve"> (R</w:t>
      </w:r>
      <w:r w:rsidRPr="00CB4A95">
        <w:rPr>
          <w:caps w:val="0"/>
          <w:lang w:val="fr-CH"/>
        </w:rPr>
        <w:t>ÉV</w:t>
      </w:r>
      <w:r w:rsidRPr="00CB4A95">
        <w:rPr>
          <w:lang w:val="fr-CH"/>
        </w:rPr>
        <w:t>.CMR</w:t>
      </w:r>
      <w:r w:rsidRPr="00CB4A95">
        <w:rPr>
          <w:lang w:val="fr-CH"/>
        </w:rPr>
        <w:noBreakHyphen/>
        <w:t>12)</w:t>
      </w:r>
      <w:r w:rsidR="00F02392" w:rsidRPr="00CB4A95">
        <w:rPr>
          <w:vertAlign w:val="superscript"/>
          <w:lang w:val="fr-CH"/>
        </w:rPr>
        <w:t>*</w:t>
      </w:r>
    </w:p>
    <w:p w:rsidR="00AC28E0" w:rsidRPr="00CB4A95" w:rsidRDefault="009B1F7D" w:rsidP="003B21FB">
      <w:pPr>
        <w:pStyle w:val="Appendixtitle"/>
        <w:rPr>
          <w:rFonts w:asciiTheme="majorBidi" w:hAnsiTheme="majorBidi" w:cstheme="majorBidi"/>
          <w:lang w:val="fr-CH"/>
        </w:rPr>
      </w:pPr>
      <w:r w:rsidRPr="00CB4A95">
        <w:rPr>
          <w:lang w:val="fr-CH"/>
        </w:rPr>
        <w:t>Dispositions applicables à tous les services et Plans et Liste</w:t>
      </w:r>
      <w:r w:rsidR="00F02392" w:rsidRPr="00CB4A95">
        <w:rPr>
          <w:vertAlign w:val="superscript"/>
          <w:lang w:val="fr-CH"/>
        </w:rPr>
        <w:t>1</w:t>
      </w:r>
      <w:r w:rsidRPr="00CB4A95">
        <w:rPr>
          <w:lang w:val="fr-CH"/>
        </w:rPr>
        <w:t xml:space="preserve"> associés</w:t>
      </w:r>
      <w:r w:rsidRPr="00CB4A95">
        <w:rPr>
          <w:lang w:val="fr-CH"/>
        </w:rPr>
        <w:br/>
        <w:t>concernant le service de radiodiffusion par satellite dans les</w:t>
      </w:r>
      <w:r w:rsidRPr="00CB4A95">
        <w:rPr>
          <w:lang w:val="fr-CH"/>
        </w:rPr>
        <w:br/>
        <w:t>bandes 11,7-12,2 GHz (dans la Région 3), 11,7-12,5 GHz</w:t>
      </w:r>
      <w:r w:rsidRPr="00CB4A95">
        <w:rPr>
          <w:lang w:val="fr-CH"/>
        </w:rPr>
        <w:br/>
        <w:t>(dans la Région 1) et 12,2-12,7 GHz (dans la Région 2)</w:t>
      </w:r>
      <w:r w:rsidRPr="00CB4A95">
        <w:rPr>
          <w:b w:val="0"/>
          <w:sz w:val="16"/>
          <w:lang w:val="fr-CH"/>
        </w:rPr>
        <w:t>     </w:t>
      </w:r>
      <w:r w:rsidRPr="00CB4A95">
        <w:rPr>
          <w:rFonts w:asciiTheme="majorBidi" w:hAnsiTheme="majorBidi" w:cstheme="majorBidi"/>
          <w:b w:val="0"/>
          <w:sz w:val="16"/>
          <w:lang w:val="fr-CH"/>
        </w:rPr>
        <w:t>(CMR</w:t>
      </w:r>
      <w:r w:rsidRPr="00CB4A95">
        <w:rPr>
          <w:rFonts w:asciiTheme="majorBidi" w:hAnsiTheme="majorBidi" w:cstheme="majorBidi"/>
          <w:b w:val="0"/>
          <w:sz w:val="16"/>
          <w:lang w:val="fr-CH"/>
        </w:rPr>
        <w:noBreakHyphen/>
        <w:t>03)</w:t>
      </w:r>
    </w:p>
    <w:p w:rsidR="00D42383" w:rsidRPr="00CB4A95" w:rsidRDefault="009B1F7D" w:rsidP="003B21FB">
      <w:pPr>
        <w:pStyle w:val="Reasons"/>
        <w:rPr>
          <w:lang w:val="fr-CH"/>
        </w:rPr>
      </w:pPr>
      <w:r w:rsidRPr="00CB4A95">
        <w:rPr>
          <w:b/>
          <w:lang w:val="fr-CH"/>
        </w:rPr>
        <w:t>Motifs:</w:t>
      </w:r>
      <w:r w:rsidRPr="00CB4A95">
        <w:rPr>
          <w:lang w:val="fr-CH"/>
        </w:rPr>
        <w:tab/>
      </w:r>
      <w:r w:rsidR="00CB4A95" w:rsidRPr="00CB4A95">
        <w:rPr>
          <w:lang w:val="fr-CH"/>
        </w:rPr>
        <w:t>L’accord tacite a été adopté</w:t>
      </w:r>
      <w:r w:rsidR="00CB4A95">
        <w:rPr>
          <w:lang w:val="fr-CH"/>
        </w:rPr>
        <w:t xml:space="preserve"> pour l’Appendice 30 dans le cadre d’un compromis général trouvé lors de l’élaboration et des révisions ultérieures de cet </w:t>
      </w:r>
      <w:r w:rsidR="002D6EEE">
        <w:rPr>
          <w:lang w:val="fr-CH"/>
        </w:rPr>
        <w:t>A</w:t>
      </w:r>
      <w:r w:rsidR="00CB4A95">
        <w:rPr>
          <w:lang w:val="fr-CH"/>
        </w:rPr>
        <w:t xml:space="preserve">ppendice </w:t>
      </w:r>
      <w:r w:rsidR="002D6EEE">
        <w:rPr>
          <w:lang w:val="fr-CH"/>
        </w:rPr>
        <w:t>aux</w:t>
      </w:r>
      <w:r w:rsidR="00CB4A95">
        <w:rPr>
          <w:lang w:val="fr-CH"/>
        </w:rPr>
        <w:t xml:space="preserve"> CMR précédentes.</w:t>
      </w:r>
    </w:p>
    <w:p w:rsidR="00D42383" w:rsidRPr="00CB4A95" w:rsidRDefault="009B1F7D" w:rsidP="003B21FB">
      <w:pPr>
        <w:pStyle w:val="Proposal"/>
        <w:rPr>
          <w:lang w:val="fr-CH"/>
        </w:rPr>
      </w:pPr>
      <w:r w:rsidRPr="00CB4A95">
        <w:rPr>
          <w:u w:val="single"/>
          <w:lang w:val="fr-CH"/>
        </w:rPr>
        <w:t>NOC</w:t>
      </w:r>
      <w:r w:rsidRPr="00CB4A95">
        <w:rPr>
          <w:lang w:val="fr-CH"/>
        </w:rPr>
        <w:tab/>
        <w:t>EUR/9A21A12/2</w:t>
      </w:r>
    </w:p>
    <w:p w:rsidR="00992DC2" w:rsidRPr="00CB4A95" w:rsidRDefault="009B1F7D" w:rsidP="003B21FB">
      <w:pPr>
        <w:pStyle w:val="AppendixNo"/>
        <w:rPr>
          <w:lang w:val="fr-CH"/>
        </w:rPr>
      </w:pPr>
      <w:r w:rsidRPr="00CB4A95">
        <w:rPr>
          <w:lang w:val="fr-CH"/>
        </w:rPr>
        <w:t xml:space="preserve">APPENDICE </w:t>
      </w:r>
      <w:r w:rsidRPr="00CB4A95">
        <w:rPr>
          <w:rStyle w:val="href"/>
          <w:color w:val="000000"/>
          <w:lang w:val="fr-CH"/>
        </w:rPr>
        <w:t>30A  </w:t>
      </w:r>
      <w:r w:rsidRPr="00CB4A95">
        <w:rPr>
          <w:lang w:val="fr-CH"/>
        </w:rPr>
        <w:t>(R</w:t>
      </w:r>
      <w:r w:rsidRPr="00CB4A95">
        <w:rPr>
          <w:caps w:val="0"/>
          <w:lang w:val="fr-CH"/>
        </w:rPr>
        <w:t>ÉV</w:t>
      </w:r>
      <w:r w:rsidRPr="00CB4A95">
        <w:rPr>
          <w:lang w:val="fr-CH"/>
        </w:rPr>
        <w:t>.CMR-12)</w:t>
      </w:r>
      <w:r w:rsidR="00880025" w:rsidRPr="00CB4A95">
        <w:rPr>
          <w:vertAlign w:val="superscript"/>
          <w:lang w:val="fr-CH"/>
        </w:rPr>
        <w:t>*</w:t>
      </w:r>
    </w:p>
    <w:p w:rsidR="00992DC2" w:rsidRPr="00CB4A95" w:rsidRDefault="009B1F7D" w:rsidP="003B21FB">
      <w:pPr>
        <w:pStyle w:val="Appendixtitle"/>
        <w:rPr>
          <w:b w:val="0"/>
          <w:color w:val="000000"/>
          <w:sz w:val="16"/>
          <w:lang w:val="fr-CH"/>
        </w:rPr>
      </w:pPr>
      <w:r w:rsidRPr="00CB4A95">
        <w:rPr>
          <w:color w:val="000000"/>
          <w:lang w:val="fr-CH"/>
        </w:rPr>
        <w:t>Dispositions et Plans et Liste</w:t>
      </w:r>
      <w:r w:rsidR="00880025" w:rsidRPr="00CB4A95">
        <w:rPr>
          <w:color w:val="000000"/>
          <w:vertAlign w:val="superscript"/>
          <w:lang w:val="fr-CH"/>
        </w:rPr>
        <w:t>1</w:t>
      </w:r>
      <w:r w:rsidRPr="00CB4A95">
        <w:rPr>
          <w:color w:val="000000"/>
          <w:lang w:val="fr-CH"/>
        </w:rPr>
        <w:t xml:space="preserve"> des liaisons de connexion associés du service de radiodiffusion par satellite (11,7-12,5 GHz en Région 1, 12,2-12,7 GHz</w:t>
      </w:r>
      <w:r w:rsidRPr="00CB4A95">
        <w:rPr>
          <w:color w:val="000000"/>
          <w:lang w:val="fr-CH"/>
        </w:rPr>
        <w:br/>
        <w:t>en Région 2 et 11,7-12,2 GHz en Région 3) dans les bandes 14,5-14,8 GHz</w:t>
      </w:r>
      <w:r w:rsidR="00880025" w:rsidRPr="00CB4A95">
        <w:rPr>
          <w:color w:val="000000"/>
          <w:vertAlign w:val="superscript"/>
          <w:lang w:val="fr-CH"/>
        </w:rPr>
        <w:t>2</w:t>
      </w:r>
      <w:r w:rsidRPr="00CB4A95">
        <w:rPr>
          <w:b w:val="0"/>
          <w:color w:val="000000"/>
          <w:vertAlign w:val="superscript"/>
          <w:lang w:val="fr-CH"/>
        </w:rPr>
        <w:br/>
      </w:r>
      <w:r w:rsidRPr="00CB4A95">
        <w:rPr>
          <w:color w:val="000000"/>
          <w:lang w:val="fr-CH"/>
        </w:rPr>
        <w:t>et 17,3-18,1 GHz en Régions 1 et 3 et 17,3-17,8 GHz en Région 2</w:t>
      </w:r>
      <w:r w:rsidRPr="00CB4A95">
        <w:rPr>
          <w:b w:val="0"/>
          <w:color w:val="000000"/>
          <w:sz w:val="16"/>
          <w:lang w:val="fr-CH"/>
        </w:rPr>
        <w:t>     (CMR</w:t>
      </w:r>
      <w:r w:rsidRPr="00CB4A95">
        <w:rPr>
          <w:b w:val="0"/>
          <w:color w:val="000000"/>
          <w:sz w:val="16"/>
          <w:lang w:val="fr-CH"/>
        </w:rPr>
        <w:noBreakHyphen/>
        <w:t>03)</w:t>
      </w:r>
    </w:p>
    <w:p w:rsidR="00992DC2" w:rsidRPr="00CB4A95" w:rsidRDefault="00A20EE3" w:rsidP="003B21FB">
      <w:pPr>
        <w:pStyle w:val="TOC2"/>
        <w:keepLines w:val="0"/>
        <w:tabs>
          <w:tab w:val="left" w:pos="1134"/>
        </w:tabs>
        <w:rPr>
          <w:lang w:val="fr-CH"/>
        </w:rPr>
      </w:pPr>
    </w:p>
    <w:p w:rsidR="003B21FB" w:rsidRDefault="009B1F7D" w:rsidP="003B21FB">
      <w:pPr>
        <w:pStyle w:val="Reasons"/>
        <w:rPr>
          <w:lang w:val="fr-CH"/>
        </w:rPr>
      </w:pPr>
      <w:r w:rsidRPr="00CB4A95">
        <w:rPr>
          <w:b/>
          <w:lang w:val="fr-CH"/>
        </w:rPr>
        <w:t>Motifs:</w:t>
      </w:r>
      <w:r w:rsidRPr="00CB4A95">
        <w:rPr>
          <w:lang w:val="fr-CH"/>
        </w:rPr>
        <w:tab/>
      </w:r>
      <w:r w:rsidR="00DA6430" w:rsidRPr="00CB4A95">
        <w:rPr>
          <w:lang w:val="fr-CH"/>
        </w:rPr>
        <w:t>L’accord tacite a été adopté</w:t>
      </w:r>
      <w:r w:rsidR="00DA6430">
        <w:rPr>
          <w:lang w:val="fr-CH"/>
        </w:rPr>
        <w:t xml:space="preserve"> pour l’Appendice 30 dans le cadre d’un compromis général trouvé lors de l’élaboration et des révisions ultérieures de cet </w:t>
      </w:r>
      <w:r w:rsidR="002D6EEE">
        <w:rPr>
          <w:lang w:val="fr-CH"/>
        </w:rPr>
        <w:t>A</w:t>
      </w:r>
      <w:r w:rsidR="00DA6430">
        <w:rPr>
          <w:lang w:val="fr-CH"/>
        </w:rPr>
        <w:t xml:space="preserve">ppendice </w:t>
      </w:r>
      <w:r w:rsidR="002D6EEE">
        <w:rPr>
          <w:lang w:val="fr-CH"/>
        </w:rPr>
        <w:t>aux</w:t>
      </w:r>
      <w:r w:rsidR="00DA6430">
        <w:rPr>
          <w:lang w:val="fr-CH"/>
        </w:rPr>
        <w:t xml:space="preserve"> CMR précédentes</w:t>
      </w:r>
      <w:r w:rsidR="00880025" w:rsidRPr="00CB4A95">
        <w:rPr>
          <w:lang w:val="fr-CH"/>
        </w:rPr>
        <w:t>.</w:t>
      </w:r>
    </w:p>
    <w:p w:rsidR="003B21FB" w:rsidRDefault="003B21FB" w:rsidP="003B21FB">
      <w:pPr>
        <w:pStyle w:val="Reasons"/>
        <w:rPr>
          <w:lang w:val="fr-CH"/>
        </w:rPr>
      </w:pPr>
    </w:p>
    <w:p w:rsidR="003B21FB" w:rsidRDefault="003B21FB">
      <w:pPr>
        <w:jc w:val="center"/>
      </w:pPr>
      <w:r>
        <w:t>______________</w:t>
      </w:r>
    </w:p>
    <w:p w:rsidR="003B21FB" w:rsidRPr="00CB4A95" w:rsidRDefault="003B21FB" w:rsidP="003B21FB">
      <w:pPr>
        <w:pStyle w:val="Reasons"/>
        <w:rPr>
          <w:lang w:val="fr-CH"/>
        </w:rPr>
      </w:pPr>
    </w:p>
    <w:sectPr w:rsidR="003B21FB" w:rsidRPr="00CB4A95">
      <w:headerReference w:type="default" r:id="rId12"/>
      <w:footerReference w:type="even" r:id="rId13"/>
      <w:footerReference w:type="default" r:id="rId14"/>
      <w:footerReference w:type="first" r:id="rId15"/>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A20EE3">
      <w:rPr>
        <w:noProof/>
        <w:lang w:val="en-US"/>
      </w:rPr>
      <w:t>P:\FRA\ITU-R\CONF-R\CMR15\000\009ADD21ADD12F.docx</w:t>
    </w:r>
    <w:r>
      <w:fldChar w:fldCharType="end"/>
    </w:r>
    <w:r>
      <w:rPr>
        <w:lang w:val="en-US"/>
      </w:rPr>
      <w:tab/>
    </w:r>
    <w:r>
      <w:fldChar w:fldCharType="begin"/>
    </w:r>
    <w:r>
      <w:instrText xml:space="preserve"> SAVEDATE \@ DD.MM.YY </w:instrText>
    </w:r>
    <w:r>
      <w:fldChar w:fldCharType="separate"/>
    </w:r>
    <w:r w:rsidR="00A20EE3">
      <w:rPr>
        <w:noProof/>
      </w:rPr>
      <w:t>25.10.15</w:t>
    </w:r>
    <w:r>
      <w:fldChar w:fldCharType="end"/>
    </w:r>
    <w:r>
      <w:rPr>
        <w:lang w:val="en-US"/>
      </w:rPr>
      <w:tab/>
    </w:r>
    <w:r>
      <w:fldChar w:fldCharType="begin"/>
    </w:r>
    <w:r>
      <w:instrText xml:space="preserve"> PRINTDATE \@ DD.MM.YY </w:instrText>
    </w:r>
    <w:r>
      <w:fldChar w:fldCharType="separate"/>
    </w:r>
    <w:r w:rsidR="00A20EE3">
      <w:rPr>
        <w:noProof/>
      </w:rPr>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2D6EEE" w:rsidRDefault="00936D25">
    <w:pPr>
      <w:pStyle w:val="Footer"/>
      <w:rPr>
        <w:lang w:val="en-US"/>
      </w:rPr>
    </w:pPr>
    <w:r w:rsidRPr="00E144C7">
      <w:rPr>
        <w:sz w:val="15"/>
        <w:szCs w:val="15"/>
      </w:rPr>
      <w:fldChar w:fldCharType="begin"/>
    </w:r>
    <w:r w:rsidRPr="002D6EEE">
      <w:rPr>
        <w:sz w:val="15"/>
        <w:szCs w:val="15"/>
        <w:lang w:val="en-US"/>
      </w:rPr>
      <w:instrText xml:space="preserve"> FILENAME \p  \* MERGEFORMAT </w:instrText>
    </w:r>
    <w:r w:rsidRPr="00E144C7">
      <w:rPr>
        <w:sz w:val="15"/>
        <w:szCs w:val="15"/>
      </w:rPr>
      <w:fldChar w:fldCharType="separate"/>
    </w:r>
    <w:r w:rsidR="00A20EE3">
      <w:rPr>
        <w:sz w:val="15"/>
        <w:szCs w:val="15"/>
        <w:lang w:val="en-US"/>
      </w:rPr>
      <w:t>P:\FRA\ITU-R\CONF-R\CMR15\000\009ADD21ADD12F.docx</w:t>
    </w:r>
    <w:r w:rsidRPr="00E144C7">
      <w:rPr>
        <w:sz w:val="15"/>
        <w:szCs w:val="15"/>
      </w:rPr>
      <w:fldChar w:fldCharType="end"/>
    </w:r>
    <w:r w:rsidR="00E144C7" w:rsidRPr="002D6EEE">
      <w:rPr>
        <w:sz w:val="15"/>
        <w:szCs w:val="15"/>
        <w:lang w:val="en-US"/>
      </w:rPr>
      <w:t xml:space="preserve"> (388337)</w:t>
    </w:r>
    <w:r w:rsidRPr="002D6EEE">
      <w:rPr>
        <w:lang w:val="en-US"/>
      </w:rPr>
      <w:tab/>
    </w:r>
    <w:r>
      <w:fldChar w:fldCharType="begin"/>
    </w:r>
    <w:r>
      <w:instrText xml:space="preserve"> SAVEDATE \@ DD.MM.YY </w:instrText>
    </w:r>
    <w:r>
      <w:fldChar w:fldCharType="separate"/>
    </w:r>
    <w:r w:rsidR="00A20EE3">
      <w:t>25.10.15</w:t>
    </w:r>
    <w:r>
      <w:fldChar w:fldCharType="end"/>
    </w:r>
    <w:r w:rsidRPr="002D6EEE">
      <w:rPr>
        <w:lang w:val="en-US"/>
      </w:rPr>
      <w:tab/>
    </w:r>
    <w:r>
      <w:fldChar w:fldCharType="begin"/>
    </w:r>
    <w:r>
      <w:instrText xml:space="preserve"> PRINTDATE \@ DD.MM.YY </w:instrText>
    </w:r>
    <w:r>
      <w:fldChar w:fldCharType="separate"/>
    </w:r>
    <w:r w:rsidR="00A20EE3">
      <w:t>25.10.15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2D6EEE" w:rsidRDefault="00936D25">
    <w:pPr>
      <w:pStyle w:val="Footer"/>
      <w:rPr>
        <w:lang w:val="en-US"/>
      </w:rPr>
    </w:pPr>
    <w:r w:rsidRPr="00E144C7">
      <w:rPr>
        <w:sz w:val="15"/>
        <w:szCs w:val="15"/>
      </w:rPr>
      <w:fldChar w:fldCharType="begin"/>
    </w:r>
    <w:r w:rsidRPr="002D6EEE">
      <w:rPr>
        <w:sz w:val="15"/>
        <w:szCs w:val="15"/>
        <w:lang w:val="en-US"/>
      </w:rPr>
      <w:instrText xml:space="preserve"> FILENAME \p  \* MERGEFORMAT </w:instrText>
    </w:r>
    <w:r w:rsidRPr="00E144C7">
      <w:rPr>
        <w:sz w:val="15"/>
        <w:szCs w:val="15"/>
      </w:rPr>
      <w:fldChar w:fldCharType="separate"/>
    </w:r>
    <w:r w:rsidR="00A20EE3">
      <w:rPr>
        <w:sz w:val="15"/>
        <w:szCs w:val="15"/>
        <w:lang w:val="en-US"/>
      </w:rPr>
      <w:t>P:\FRA\ITU-R\CONF-R\CMR15\000\009ADD21ADD12F.docx</w:t>
    </w:r>
    <w:r w:rsidRPr="00E144C7">
      <w:rPr>
        <w:sz w:val="15"/>
        <w:szCs w:val="15"/>
      </w:rPr>
      <w:fldChar w:fldCharType="end"/>
    </w:r>
    <w:r w:rsidR="00E144C7" w:rsidRPr="002D6EEE">
      <w:rPr>
        <w:sz w:val="15"/>
        <w:szCs w:val="15"/>
        <w:lang w:val="en-US"/>
      </w:rPr>
      <w:t xml:space="preserve"> (388337)</w:t>
    </w:r>
    <w:r w:rsidRPr="002D6EEE">
      <w:rPr>
        <w:lang w:val="en-US"/>
      </w:rPr>
      <w:tab/>
    </w:r>
    <w:r>
      <w:fldChar w:fldCharType="begin"/>
    </w:r>
    <w:r>
      <w:instrText xml:space="preserve"> SAVEDATE \@ DD.MM.YY </w:instrText>
    </w:r>
    <w:r>
      <w:fldChar w:fldCharType="separate"/>
    </w:r>
    <w:r w:rsidR="00A20EE3">
      <w:t>25.10.15</w:t>
    </w:r>
    <w:r>
      <w:fldChar w:fldCharType="end"/>
    </w:r>
    <w:r w:rsidRPr="002D6EEE">
      <w:rPr>
        <w:lang w:val="en-US"/>
      </w:rPr>
      <w:tab/>
    </w:r>
    <w:r>
      <w:fldChar w:fldCharType="begin"/>
    </w:r>
    <w:r>
      <w:instrText xml:space="preserve"> PRINTDATE \@ DD.MM.YY </w:instrText>
    </w:r>
    <w:r>
      <w:fldChar w:fldCharType="separate"/>
    </w:r>
    <w:r w:rsidR="00A20EE3">
      <w:t>25.10.15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A20EE3">
      <w:rPr>
        <w:noProof/>
      </w:rPr>
      <w:t>2</w:t>
    </w:r>
    <w:r>
      <w:fldChar w:fldCharType="end"/>
    </w:r>
  </w:p>
  <w:p w:rsidR="004F1F8E" w:rsidRDefault="004F1F8E" w:rsidP="002C28A4">
    <w:pPr>
      <w:pStyle w:val="Header"/>
    </w:pPr>
    <w:r>
      <w:t>CMR1</w:t>
    </w:r>
    <w:r w:rsidR="002C28A4">
      <w:t>5</w:t>
    </w:r>
    <w:r>
      <w:t>/</w:t>
    </w:r>
    <w:r w:rsidR="006A4B45">
      <w:t>9(Add.21)(Add.12)-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1F88DD8-82EF-4C22-AEB2-F6D9108746DE}"/>
    <w:docVar w:name="dgnword-eventsink" w:val="619155040"/>
  </w:docVars>
  <w:rsids>
    <w:rsidRoot w:val="00BB1D82"/>
    <w:rsid w:val="00007EC7"/>
    <w:rsid w:val="00010B43"/>
    <w:rsid w:val="00016648"/>
    <w:rsid w:val="0003522F"/>
    <w:rsid w:val="00072AE6"/>
    <w:rsid w:val="00080E2C"/>
    <w:rsid w:val="000A4755"/>
    <w:rsid w:val="000B2E0C"/>
    <w:rsid w:val="000B3D0C"/>
    <w:rsid w:val="00113E62"/>
    <w:rsid w:val="001167B9"/>
    <w:rsid w:val="001267A0"/>
    <w:rsid w:val="0015203F"/>
    <w:rsid w:val="00160C64"/>
    <w:rsid w:val="00180B6C"/>
    <w:rsid w:val="0018169B"/>
    <w:rsid w:val="0019352B"/>
    <w:rsid w:val="001960D0"/>
    <w:rsid w:val="001F17E8"/>
    <w:rsid w:val="00204306"/>
    <w:rsid w:val="00232FD2"/>
    <w:rsid w:val="0026554E"/>
    <w:rsid w:val="002A4622"/>
    <w:rsid w:val="002A6F8F"/>
    <w:rsid w:val="002B17E5"/>
    <w:rsid w:val="002C0EBF"/>
    <w:rsid w:val="002C28A4"/>
    <w:rsid w:val="002D6EEE"/>
    <w:rsid w:val="00315AFE"/>
    <w:rsid w:val="003606A6"/>
    <w:rsid w:val="0036650C"/>
    <w:rsid w:val="00393ACD"/>
    <w:rsid w:val="003A583E"/>
    <w:rsid w:val="003B21FB"/>
    <w:rsid w:val="003E112B"/>
    <w:rsid w:val="003E1D1C"/>
    <w:rsid w:val="003E7B05"/>
    <w:rsid w:val="0040505D"/>
    <w:rsid w:val="00466211"/>
    <w:rsid w:val="004834A9"/>
    <w:rsid w:val="00486DE1"/>
    <w:rsid w:val="004B6E5B"/>
    <w:rsid w:val="004D01FC"/>
    <w:rsid w:val="004E28C3"/>
    <w:rsid w:val="004F1F8E"/>
    <w:rsid w:val="00512A32"/>
    <w:rsid w:val="00586CF2"/>
    <w:rsid w:val="005C3768"/>
    <w:rsid w:val="005C6C3F"/>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978AA"/>
    <w:rsid w:val="007A04E8"/>
    <w:rsid w:val="00851625"/>
    <w:rsid w:val="00863C0A"/>
    <w:rsid w:val="00880025"/>
    <w:rsid w:val="00885161"/>
    <w:rsid w:val="008A3120"/>
    <w:rsid w:val="008D41BE"/>
    <w:rsid w:val="008D58D3"/>
    <w:rsid w:val="00923064"/>
    <w:rsid w:val="00930FFD"/>
    <w:rsid w:val="00932072"/>
    <w:rsid w:val="00936D25"/>
    <w:rsid w:val="00941EA5"/>
    <w:rsid w:val="00964700"/>
    <w:rsid w:val="00966C16"/>
    <w:rsid w:val="0098732F"/>
    <w:rsid w:val="009A045F"/>
    <w:rsid w:val="009B1F7D"/>
    <w:rsid w:val="009C7E7C"/>
    <w:rsid w:val="00A00473"/>
    <w:rsid w:val="00A03C9B"/>
    <w:rsid w:val="00A20EE3"/>
    <w:rsid w:val="00A37105"/>
    <w:rsid w:val="00A606C3"/>
    <w:rsid w:val="00A83B09"/>
    <w:rsid w:val="00A84541"/>
    <w:rsid w:val="00AE36A0"/>
    <w:rsid w:val="00B00294"/>
    <w:rsid w:val="00B64FD0"/>
    <w:rsid w:val="00BA5BD0"/>
    <w:rsid w:val="00BB1D82"/>
    <w:rsid w:val="00BF26E7"/>
    <w:rsid w:val="00C53FCA"/>
    <w:rsid w:val="00C76BAF"/>
    <w:rsid w:val="00C814B9"/>
    <w:rsid w:val="00CB4A95"/>
    <w:rsid w:val="00CD516F"/>
    <w:rsid w:val="00D119A7"/>
    <w:rsid w:val="00D25FBA"/>
    <w:rsid w:val="00D32B28"/>
    <w:rsid w:val="00D42383"/>
    <w:rsid w:val="00D42954"/>
    <w:rsid w:val="00D66EAC"/>
    <w:rsid w:val="00D730DF"/>
    <w:rsid w:val="00D772F0"/>
    <w:rsid w:val="00D77BDC"/>
    <w:rsid w:val="00DA6430"/>
    <w:rsid w:val="00DC402B"/>
    <w:rsid w:val="00DE0932"/>
    <w:rsid w:val="00E03A27"/>
    <w:rsid w:val="00E049F1"/>
    <w:rsid w:val="00E144C7"/>
    <w:rsid w:val="00E37A25"/>
    <w:rsid w:val="00E537FF"/>
    <w:rsid w:val="00E6539B"/>
    <w:rsid w:val="00E70A31"/>
    <w:rsid w:val="00EA3F38"/>
    <w:rsid w:val="00EA5AB6"/>
    <w:rsid w:val="00EC7615"/>
    <w:rsid w:val="00ED16AA"/>
    <w:rsid w:val="00EF662E"/>
    <w:rsid w:val="00F02392"/>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37D576F-534B-4E69-81CF-0B957427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03177F"/>
  </w:style>
  <w:style w:type="character" w:styleId="Strong">
    <w:name w:val="Strong"/>
    <w:aliases w:val="ECC HL bold"/>
    <w:basedOn w:val="DefaultParagraphFont"/>
    <w:uiPriority w:val="1"/>
    <w:qFormat/>
    <w:rsid w:val="00F023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R15-WRC15-C-0009!A21-A12!MSW-F</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174E34CB-C1B4-4232-B60A-81584DD5961A}">
  <ds:schemaRefs>
    <ds:schemaRef ds:uri="http://purl.org/dc/dcmitype/"/>
    <ds:schemaRef ds:uri="http://www.w3.org/XML/1998/namespace"/>
    <ds:schemaRef ds:uri="http://purl.org/dc/elements/1.1/"/>
    <ds:schemaRef ds:uri="http://schemas.microsoft.com/office/infopath/2007/PartnerControls"/>
    <ds:schemaRef ds:uri="32a1a8c5-2265-4ebc-b7a0-2071e2c5c9bb"/>
    <ds:schemaRef ds:uri="http://purl.org/dc/terms/"/>
    <ds:schemaRef ds:uri="http://schemas.microsoft.com/office/2006/documentManagement/types"/>
    <ds:schemaRef ds:uri="http://schemas.openxmlformats.org/package/2006/metadata/core-properties"/>
    <ds:schemaRef ds:uri="996b2e75-67fd-4955-a3b0-5ab9934cb5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576</Words>
  <Characters>3215</Characters>
  <Application>Microsoft Office Word</Application>
  <DocSecurity>0</DocSecurity>
  <Lines>69</Lines>
  <Paragraphs>25</Paragraphs>
  <ScaleCrop>false</ScaleCrop>
  <HeadingPairs>
    <vt:vector size="2" baseType="variant">
      <vt:variant>
        <vt:lpstr>Title</vt:lpstr>
      </vt:variant>
      <vt:variant>
        <vt:i4>1</vt:i4>
      </vt:variant>
    </vt:vector>
  </HeadingPairs>
  <TitlesOfParts>
    <vt:vector size="1" baseType="lpstr">
      <vt:lpstr>R15-WRC15-C-0009!A21-A12!MSW-F</vt:lpstr>
    </vt:vector>
  </TitlesOfParts>
  <Manager>Secrétariat général - Pool</Manager>
  <Company>Union internationale des télécommunications (UIT)</Company>
  <LinksUpToDate>false</LinksUpToDate>
  <CharactersWithSpaces>3778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R15-WRC15-C-0009!A21-A12!MSW-F</dc:title>
  <dc:subject>Conférence mondiale des radiocommunications - 2015</dc:subject>
  <dc:creator>Documents Proposals Manager (DPM)</dc:creator>
  <cp:keywords>DPM_v5.2015.10.15_prod</cp:keywords>
  <dc:description/>
  <cp:lastModifiedBy>Jones, Jacqueline</cp:lastModifiedBy>
  <cp:revision>10</cp:revision>
  <cp:lastPrinted>2015-10-25T14:01:00Z</cp:lastPrinted>
  <dcterms:created xsi:type="dcterms:W3CDTF">2015-10-21T19:50:00Z</dcterms:created>
  <dcterms:modified xsi:type="dcterms:W3CDTF">2015-10-25T14:01:00Z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