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07735C">
            <w:pPr>
              <w:spacing w:before="400" w:after="48"/>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07735C">
            <w:pPr>
              <w:spacing w:before="0"/>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07735C">
            <w:pPr>
              <w:spacing w:before="0" w:after="48"/>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07735C">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07735C">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07735C">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07735C">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E7728C" w:rsidRDefault="006D4724" w:rsidP="0007735C">
            <w:pPr>
              <w:spacing w:before="0"/>
              <w:rPr>
                <w:rFonts w:ascii="Verdana" w:hAnsi="Verdana"/>
                <w:sz w:val="20"/>
                <w:lang w:val="fr-CH"/>
              </w:rPr>
            </w:pPr>
            <w:r w:rsidRPr="00E7728C">
              <w:rPr>
                <w:rFonts w:ascii="Verdana" w:eastAsia="SimSun" w:hAnsi="Verdana" w:cs="Traditional Arabic"/>
                <w:b/>
                <w:sz w:val="20"/>
                <w:lang w:val="fr-CH"/>
              </w:rPr>
              <w:t>Addendum 5 au</w:t>
            </w:r>
            <w:r w:rsidRPr="00E7728C">
              <w:rPr>
                <w:rFonts w:ascii="Verdana" w:eastAsia="SimSun" w:hAnsi="Verdana" w:cs="Traditional Arabic"/>
                <w:b/>
                <w:sz w:val="20"/>
                <w:lang w:val="fr-CH"/>
              </w:rPr>
              <w:br/>
              <w:t>Document 9(Add.21)</w:t>
            </w:r>
            <w:r w:rsidR="00BB1D82" w:rsidRPr="00E7728C">
              <w:rPr>
                <w:rFonts w:ascii="Verdana" w:eastAsia="SimSun" w:hAnsi="Verdana" w:cs="Traditional Arabic"/>
                <w:b/>
                <w:sz w:val="20"/>
                <w:lang w:val="fr-CH"/>
              </w:rPr>
              <w:t>-</w:t>
            </w:r>
            <w:r w:rsidRPr="00E7728C">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E7728C" w:rsidRDefault="00690C7B" w:rsidP="0007735C">
            <w:pPr>
              <w:spacing w:before="0"/>
              <w:rPr>
                <w:rFonts w:ascii="Verdana" w:hAnsi="Verdana"/>
                <w:b/>
                <w:sz w:val="20"/>
                <w:lang w:val="fr-CH"/>
              </w:rPr>
            </w:pPr>
          </w:p>
        </w:tc>
        <w:tc>
          <w:tcPr>
            <w:tcW w:w="3120" w:type="dxa"/>
            <w:shd w:val="clear" w:color="auto" w:fill="auto"/>
          </w:tcPr>
          <w:p w:rsidR="00690C7B" w:rsidRPr="002A6F8F" w:rsidRDefault="00690C7B" w:rsidP="0007735C">
            <w:pPr>
              <w:spacing w:before="0"/>
              <w:rPr>
                <w:rFonts w:ascii="Verdana" w:hAnsi="Verdana"/>
                <w:b/>
                <w:sz w:val="20"/>
                <w:lang w:val="en-US"/>
              </w:rPr>
            </w:pPr>
            <w:r w:rsidRPr="002A6F8F">
              <w:rPr>
                <w:rFonts w:ascii="Verdana" w:eastAsia="SimSun" w:hAnsi="Verdana" w:cs="Traditional Arabic"/>
                <w:b/>
                <w:sz w:val="20"/>
                <w:lang w:val="en-US"/>
              </w:rPr>
              <w:t>24 juin 2015</w:t>
            </w:r>
          </w:p>
        </w:tc>
      </w:tr>
      <w:tr w:rsidR="00690C7B" w:rsidRPr="002A6F8F" w:rsidTr="00BB1D82">
        <w:trPr>
          <w:cantSplit/>
        </w:trPr>
        <w:tc>
          <w:tcPr>
            <w:tcW w:w="6911" w:type="dxa"/>
          </w:tcPr>
          <w:p w:rsidR="00690C7B" w:rsidRPr="002A6F8F" w:rsidRDefault="00690C7B" w:rsidP="0007735C">
            <w:pPr>
              <w:spacing w:before="0" w:after="48"/>
              <w:rPr>
                <w:rFonts w:ascii="Verdana" w:hAnsi="Verdana"/>
                <w:b/>
                <w:smallCaps/>
                <w:sz w:val="20"/>
                <w:lang w:val="en-US"/>
              </w:rPr>
            </w:pPr>
          </w:p>
        </w:tc>
        <w:tc>
          <w:tcPr>
            <w:tcW w:w="3120" w:type="dxa"/>
          </w:tcPr>
          <w:p w:rsidR="00690C7B" w:rsidRPr="002A6F8F" w:rsidRDefault="00690C7B" w:rsidP="0007735C">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C11970">
        <w:trPr>
          <w:cantSplit/>
        </w:trPr>
        <w:tc>
          <w:tcPr>
            <w:tcW w:w="10031" w:type="dxa"/>
            <w:gridSpan w:val="2"/>
          </w:tcPr>
          <w:p w:rsidR="00690C7B" w:rsidRPr="002A6F8F" w:rsidRDefault="00690C7B" w:rsidP="0007735C">
            <w:pPr>
              <w:spacing w:before="0"/>
              <w:rPr>
                <w:rFonts w:ascii="Verdana" w:hAnsi="Verdana"/>
                <w:b/>
                <w:sz w:val="20"/>
                <w:lang w:val="en-US"/>
              </w:rPr>
            </w:pPr>
          </w:p>
        </w:tc>
      </w:tr>
      <w:tr w:rsidR="00690C7B" w:rsidRPr="002A6F8F" w:rsidTr="0050008E">
        <w:trPr>
          <w:cantSplit/>
        </w:trPr>
        <w:tc>
          <w:tcPr>
            <w:tcW w:w="10031" w:type="dxa"/>
            <w:gridSpan w:val="2"/>
          </w:tcPr>
          <w:p w:rsidR="00690C7B" w:rsidRPr="0007735C" w:rsidRDefault="00690C7B" w:rsidP="0007735C">
            <w:pPr>
              <w:pStyle w:val="Source"/>
              <w:rPr>
                <w:lang w:val="en-US"/>
              </w:rPr>
            </w:pPr>
            <w:bookmarkStart w:id="2" w:name="dsource" w:colFirst="0" w:colLast="0"/>
            <w:r w:rsidRPr="0007735C">
              <w:rPr>
                <w:rFonts w:eastAsia="SimSun"/>
                <w:lang w:val="en-US"/>
              </w:rPr>
              <w:t>Propositions européennes communes</w:t>
            </w:r>
          </w:p>
        </w:tc>
      </w:tr>
      <w:tr w:rsidR="00690C7B" w:rsidRPr="002A6F8F" w:rsidTr="0050008E">
        <w:trPr>
          <w:cantSplit/>
        </w:trPr>
        <w:tc>
          <w:tcPr>
            <w:tcW w:w="10031" w:type="dxa"/>
            <w:gridSpan w:val="2"/>
          </w:tcPr>
          <w:p w:rsidR="00690C7B" w:rsidRPr="0007735C" w:rsidRDefault="00690C7B" w:rsidP="0007735C">
            <w:pPr>
              <w:pStyle w:val="Title1"/>
              <w:rPr>
                <w:lang w:val="fr-CH"/>
              </w:rPr>
            </w:pPr>
            <w:bookmarkStart w:id="3" w:name="dtitle1" w:colFirst="0" w:colLast="0"/>
            <w:bookmarkEnd w:id="2"/>
            <w:r w:rsidRPr="0007735C">
              <w:rPr>
                <w:rFonts w:eastAsia="SimSun"/>
                <w:lang w:val="fr-CH"/>
              </w:rPr>
              <w:t>Proposition</w:t>
            </w:r>
            <w:r w:rsidR="0007735C">
              <w:rPr>
                <w:rFonts w:eastAsia="SimSun"/>
                <w:lang w:val="fr-CH"/>
              </w:rPr>
              <w:t>s</w:t>
            </w:r>
            <w:r w:rsidRPr="0007735C">
              <w:rPr>
                <w:rFonts w:eastAsia="SimSun"/>
                <w:lang w:val="fr-CH"/>
              </w:rPr>
              <w:t xml:space="preserve"> pour les travaux de la conférence</w:t>
            </w:r>
          </w:p>
        </w:tc>
      </w:tr>
      <w:tr w:rsidR="00690C7B" w:rsidRPr="002A6F8F" w:rsidTr="0050008E">
        <w:trPr>
          <w:cantSplit/>
        </w:trPr>
        <w:tc>
          <w:tcPr>
            <w:tcW w:w="10031" w:type="dxa"/>
            <w:gridSpan w:val="2"/>
          </w:tcPr>
          <w:p w:rsidR="00690C7B" w:rsidRPr="0007735C" w:rsidRDefault="00690C7B" w:rsidP="0007735C">
            <w:pPr>
              <w:pStyle w:val="Title2"/>
              <w:rPr>
                <w:lang w:val="fr-CH"/>
              </w:rPr>
            </w:pPr>
            <w:bookmarkStart w:id="4" w:name="dtitle2" w:colFirst="0" w:colLast="0"/>
            <w:bookmarkEnd w:id="3"/>
          </w:p>
        </w:tc>
      </w:tr>
      <w:tr w:rsidR="00690C7B" w:rsidTr="0050008E">
        <w:trPr>
          <w:cantSplit/>
        </w:trPr>
        <w:tc>
          <w:tcPr>
            <w:tcW w:w="10031" w:type="dxa"/>
            <w:gridSpan w:val="2"/>
          </w:tcPr>
          <w:p w:rsidR="00690C7B" w:rsidRPr="0007735C" w:rsidRDefault="00690C7B" w:rsidP="0007735C">
            <w:pPr>
              <w:pStyle w:val="Agendaitem"/>
            </w:pPr>
            <w:bookmarkStart w:id="5" w:name="dtitle3" w:colFirst="0" w:colLast="0"/>
            <w:bookmarkEnd w:id="4"/>
            <w:r w:rsidRPr="0007735C">
              <w:rPr>
                <w:rFonts w:eastAsia="SimSun"/>
              </w:rPr>
              <w:t>Point 7(E) de l'ordre du jour</w:t>
            </w:r>
          </w:p>
        </w:tc>
      </w:tr>
    </w:tbl>
    <w:bookmarkEnd w:id="5"/>
    <w:p w:rsidR="00936FEB" w:rsidRPr="007B55A9" w:rsidRDefault="00936FEB" w:rsidP="0007735C">
      <w:pPr>
        <w:pStyle w:val="Normalaftertitle"/>
        <w:rPr>
          <w:lang w:val="fr-CH"/>
        </w:rPr>
      </w:pPr>
      <w:r w:rsidRPr="007B55A9">
        <w:rPr>
          <w:lang w:val="fr-CH"/>
        </w:rPr>
        <w:t>7</w:t>
      </w:r>
      <w:r w:rsidRPr="007B55A9">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B55A9">
        <w:rPr>
          <w:b/>
          <w:bCs/>
          <w:lang w:val="fr-CH"/>
        </w:rPr>
        <w:t>86 (Rév.CMR-07)</w:t>
      </w:r>
      <w:r w:rsidRPr="007B55A9">
        <w:rPr>
          <w:lang w:val="fr-CH"/>
        </w:rPr>
        <w:t>, afin de faciliter l'utilisation rationnelle, efficace et économique des fréquences radioélectriques et des orbites associées, y compris de l'orbite des satellites géostationnaires;</w:t>
      </w:r>
    </w:p>
    <w:p w:rsidR="001C0E40" w:rsidRPr="00FB568E" w:rsidRDefault="0073085A" w:rsidP="0007735C">
      <w:pPr>
        <w:rPr>
          <w:lang w:val="fr-CA"/>
        </w:rPr>
      </w:pPr>
      <w:r>
        <w:rPr>
          <w:lang w:val="fr-CH"/>
        </w:rPr>
        <w:t>7(E)</w:t>
      </w:r>
      <w:r>
        <w:rPr>
          <w:lang w:val="fr-CH"/>
        </w:rPr>
        <w:tab/>
      </w:r>
      <w:r w:rsidRPr="00731224">
        <w:rPr>
          <w:lang w:val="fr-CH"/>
        </w:rPr>
        <w:t>Question E – Défaillance d'un satellite au cours de la période de 90</w:t>
      </w:r>
      <w:r>
        <w:rPr>
          <w:lang w:val="fr-CH"/>
        </w:rPr>
        <w:t> </w:t>
      </w:r>
      <w:r w:rsidRPr="00731224">
        <w:rPr>
          <w:lang w:val="fr-CH"/>
        </w:rPr>
        <w:t>jours prévue pour la mise en service</w:t>
      </w:r>
      <w:r>
        <w:rPr>
          <w:lang w:val="fr-CH"/>
        </w:rPr>
        <w:t>.</w:t>
      </w:r>
    </w:p>
    <w:p w:rsidR="00936FEB" w:rsidRDefault="00936FEB" w:rsidP="0007735C">
      <w:pPr>
        <w:pStyle w:val="Headingb"/>
        <w:rPr>
          <w:lang w:val="fr-CA"/>
        </w:rPr>
      </w:pPr>
      <w:r>
        <w:rPr>
          <w:lang w:val="fr-CA"/>
        </w:rPr>
        <w:t>Introduction</w:t>
      </w:r>
    </w:p>
    <w:p w:rsidR="00E03BA2" w:rsidRDefault="00936FEB" w:rsidP="0007735C">
      <w:pPr>
        <w:rPr>
          <w:color w:val="000000"/>
        </w:rPr>
      </w:pPr>
      <w:r w:rsidRPr="008023B0">
        <w:rPr>
          <w:szCs w:val="24"/>
          <w:lang w:val="fr-CH"/>
        </w:rPr>
        <w:t>La CMR-12 a examiné la question de la défaillance d</w:t>
      </w:r>
      <w:r>
        <w:rPr>
          <w:szCs w:val="24"/>
          <w:lang w:val="fr-CH"/>
        </w:rPr>
        <w:t>'</w:t>
      </w:r>
      <w:r w:rsidRPr="008023B0">
        <w:rPr>
          <w:szCs w:val="24"/>
          <w:lang w:val="fr-CH"/>
        </w:rPr>
        <w:t xml:space="preserve">un satellite au cours de la période prévue pour la mise en service dans le nouveau numéro </w:t>
      </w:r>
      <w:r w:rsidRPr="0007735C">
        <w:rPr>
          <w:szCs w:val="24"/>
          <w:lang w:val="fr-CH"/>
        </w:rPr>
        <w:t>11.44B</w:t>
      </w:r>
      <w:r w:rsidRPr="008023B0">
        <w:rPr>
          <w:szCs w:val="24"/>
          <w:lang w:val="fr-CH"/>
        </w:rPr>
        <w:t xml:space="preserve">, </w:t>
      </w:r>
      <w:r w:rsidR="00E03BA2">
        <w:rPr>
          <w:color w:val="000000"/>
        </w:rPr>
        <w:t xml:space="preserve">qui fait que ce satellite est techniquement incapable </w:t>
      </w:r>
      <w:r w:rsidRPr="008023B0">
        <w:rPr>
          <w:szCs w:val="24"/>
          <w:lang w:val="fr-CH"/>
        </w:rPr>
        <w:t>de fonctionner dans une bande de fréquences donnée</w:t>
      </w:r>
      <w:r w:rsidR="00E03BA2">
        <w:rPr>
          <w:szCs w:val="24"/>
          <w:lang w:val="fr-CH"/>
        </w:rPr>
        <w:t xml:space="preserve">, </w:t>
      </w:r>
      <w:r w:rsidRPr="008023B0">
        <w:rPr>
          <w:szCs w:val="24"/>
          <w:lang w:val="fr-CH"/>
        </w:rPr>
        <w:t>et a invité l</w:t>
      </w:r>
      <w:r>
        <w:rPr>
          <w:szCs w:val="24"/>
          <w:lang w:val="fr-CH"/>
        </w:rPr>
        <w:t>'</w:t>
      </w:r>
      <w:r w:rsidR="0007735C">
        <w:rPr>
          <w:szCs w:val="24"/>
          <w:lang w:val="fr-CH"/>
        </w:rPr>
        <w:t>UIT-R à procéder</w:t>
      </w:r>
      <w:r w:rsidRPr="008023B0">
        <w:rPr>
          <w:szCs w:val="24"/>
          <w:lang w:val="fr-CH"/>
        </w:rPr>
        <w:t xml:space="preserve"> à des études</w:t>
      </w:r>
      <w:r w:rsidR="0007735C">
        <w:rPr>
          <w:szCs w:val="24"/>
          <w:lang w:val="fr-CH"/>
        </w:rPr>
        <w:t>,</w:t>
      </w:r>
      <w:r w:rsidRPr="008023B0">
        <w:rPr>
          <w:szCs w:val="24"/>
          <w:lang w:val="fr-CH"/>
        </w:rPr>
        <w:t xml:space="preserve"> afin de déterminer les éventuelles modificatio</w:t>
      </w:r>
      <w:r w:rsidR="0007735C">
        <w:rPr>
          <w:szCs w:val="24"/>
          <w:lang w:val="fr-CH"/>
        </w:rPr>
        <w:t>ns réglementaires à apporter au</w:t>
      </w:r>
      <w:r w:rsidR="00E03BA2">
        <w:rPr>
          <w:szCs w:val="24"/>
          <w:lang w:val="fr-CH"/>
        </w:rPr>
        <w:t xml:space="preserve"> </w:t>
      </w:r>
      <w:r w:rsidRPr="008023B0">
        <w:rPr>
          <w:szCs w:val="24"/>
          <w:lang w:val="fr-CH"/>
        </w:rPr>
        <w:t>RR</w:t>
      </w:r>
      <w:r w:rsidR="0007735C">
        <w:rPr>
          <w:szCs w:val="24"/>
          <w:lang w:val="fr-CH"/>
        </w:rPr>
        <w:t xml:space="preserve"> </w:t>
      </w:r>
      <w:r w:rsidRPr="008023B0">
        <w:rPr>
          <w:szCs w:val="24"/>
          <w:lang w:val="fr-CH"/>
        </w:rPr>
        <w:t xml:space="preserve">afin de traiter cette question. </w:t>
      </w:r>
      <w:r w:rsidR="0007735C">
        <w:rPr>
          <w:szCs w:val="24"/>
          <w:lang w:val="fr-CH"/>
        </w:rPr>
        <w:t>En outre, la CMR-12 a</w:t>
      </w:r>
      <w:r w:rsidRPr="008023B0">
        <w:rPr>
          <w:szCs w:val="24"/>
          <w:lang w:val="fr-CH"/>
        </w:rPr>
        <w:t xml:space="preserve"> décidé qu</w:t>
      </w:r>
      <w:r>
        <w:rPr>
          <w:szCs w:val="24"/>
          <w:lang w:val="fr-CH"/>
        </w:rPr>
        <w:t>'</w:t>
      </w:r>
      <w:r w:rsidRPr="008023B0">
        <w:rPr>
          <w:szCs w:val="24"/>
          <w:lang w:val="fr-CH"/>
        </w:rPr>
        <w:t xml:space="preserve">en cas </w:t>
      </w:r>
      <w:r w:rsidR="00E03BA2">
        <w:rPr>
          <w:color w:val="000000"/>
        </w:rPr>
        <w:t>de défaillance de ce type</w:t>
      </w:r>
      <w:r w:rsidRPr="008023B0">
        <w:rPr>
          <w:szCs w:val="24"/>
          <w:lang w:val="fr-CH"/>
        </w:rPr>
        <w:t>, l</w:t>
      </w:r>
      <w:r>
        <w:rPr>
          <w:szCs w:val="24"/>
          <w:lang w:val="fr-CH"/>
        </w:rPr>
        <w:t>'</w:t>
      </w:r>
      <w:r w:rsidRPr="008023B0">
        <w:rPr>
          <w:szCs w:val="24"/>
          <w:lang w:val="fr-CH"/>
        </w:rPr>
        <w:t xml:space="preserve">administration notificatrice </w:t>
      </w:r>
      <w:r w:rsidR="00E03BA2">
        <w:rPr>
          <w:color w:val="000000"/>
        </w:rPr>
        <w:t xml:space="preserve">pourrait </w:t>
      </w:r>
      <w:r w:rsidR="0007735C">
        <w:rPr>
          <w:color w:val="000000"/>
        </w:rPr>
        <w:t>soumettre le cas au Comité du Règlement des radiocommunications (RRB), pour que celui-ci l'examine et prenne une décision au cas par cas.</w:t>
      </w:r>
    </w:p>
    <w:p w:rsidR="00FA56D0" w:rsidRDefault="00E03BA2" w:rsidP="0007735C">
      <w:pPr>
        <w:rPr>
          <w:color w:val="000000"/>
        </w:rPr>
      </w:pPr>
      <w:r>
        <w:rPr>
          <w:color w:val="000000"/>
        </w:rPr>
        <w:t>Depuis la CMR</w:t>
      </w:r>
      <w:r w:rsidR="0007735C">
        <w:rPr>
          <w:color w:val="000000"/>
        </w:rPr>
        <w:noBreakHyphen/>
      </w:r>
      <w:r>
        <w:rPr>
          <w:color w:val="000000"/>
        </w:rPr>
        <w:t xml:space="preserve">12, </w:t>
      </w:r>
      <w:r w:rsidR="00FA56D0">
        <w:rPr>
          <w:color w:val="000000"/>
        </w:rPr>
        <w:t>l’UIT-R</w:t>
      </w:r>
      <w:r>
        <w:rPr>
          <w:color w:val="000000"/>
        </w:rPr>
        <w:t xml:space="preserve"> a </w:t>
      </w:r>
      <w:r w:rsidR="0007735C">
        <w:rPr>
          <w:color w:val="000000"/>
        </w:rPr>
        <w:t>noté</w:t>
      </w:r>
      <w:r>
        <w:rPr>
          <w:color w:val="000000"/>
        </w:rPr>
        <w:t>, lors de l’examen de cette question, que la défaillance d'un satellite pendant la p</w:t>
      </w:r>
      <w:r w:rsidR="0007735C">
        <w:rPr>
          <w:color w:val="000000"/>
        </w:rPr>
        <w:t>ériode de mise en service ou de</w:t>
      </w:r>
      <w:r>
        <w:rPr>
          <w:color w:val="000000"/>
        </w:rPr>
        <w:t xml:space="preserve"> remise en service </w:t>
      </w:r>
      <w:r w:rsidR="0007735C">
        <w:rPr>
          <w:color w:val="000000"/>
        </w:rPr>
        <w:t>est</w:t>
      </w:r>
      <w:r>
        <w:rPr>
          <w:color w:val="000000"/>
        </w:rPr>
        <w:t xml:space="preserve"> extrêmement rare.</w:t>
      </w:r>
      <w:r w:rsidRPr="00E03BA2">
        <w:rPr>
          <w:color w:val="000000"/>
        </w:rPr>
        <w:t xml:space="preserve"> </w:t>
      </w:r>
      <w:r w:rsidR="00FA56D0">
        <w:rPr>
          <w:color w:val="000000"/>
        </w:rPr>
        <w:t xml:space="preserve">En particulier, </w:t>
      </w:r>
      <w:r>
        <w:rPr>
          <w:color w:val="000000"/>
        </w:rPr>
        <w:t>aucun cas avéré de défaillance d'un satellite pendant la période de mise en service ne s'est présenté</w:t>
      </w:r>
      <w:r w:rsidR="00FA56D0" w:rsidRPr="00FA56D0">
        <w:rPr>
          <w:color w:val="000000"/>
        </w:rPr>
        <w:t xml:space="preserve"> </w:t>
      </w:r>
      <w:r w:rsidR="00FA56D0">
        <w:rPr>
          <w:color w:val="000000"/>
        </w:rPr>
        <w:t>depuis la CMR</w:t>
      </w:r>
      <w:r w:rsidR="0007735C">
        <w:rPr>
          <w:color w:val="000000"/>
        </w:rPr>
        <w:noBreakHyphen/>
      </w:r>
      <w:r w:rsidR="00FA56D0">
        <w:rPr>
          <w:color w:val="000000"/>
        </w:rPr>
        <w:t>12. En conséquence, étant donné que</w:t>
      </w:r>
      <w:r>
        <w:rPr>
          <w:color w:val="000000"/>
        </w:rPr>
        <w:t xml:space="preserve"> les administrations ont déjà la possibilité de demander l'assistance du RRB conformément aux procédures actuelles et, si les résultats ne sont pas concluants</w:t>
      </w:r>
      <w:r w:rsidR="00FA56D0">
        <w:rPr>
          <w:color w:val="000000"/>
        </w:rPr>
        <w:t xml:space="preserve"> dans le cadre du RRB</w:t>
      </w:r>
      <w:r>
        <w:rPr>
          <w:color w:val="000000"/>
        </w:rPr>
        <w:t>, de porter le cas devant une CMR</w:t>
      </w:r>
      <w:r w:rsidR="00FA56D0">
        <w:rPr>
          <w:color w:val="000000"/>
        </w:rPr>
        <w:t xml:space="preserve"> d</w:t>
      </w:r>
      <w:r>
        <w:rPr>
          <w:color w:val="000000"/>
        </w:rPr>
        <w:t>ans les rares cas de défaillances de ce type</w:t>
      </w:r>
      <w:r w:rsidR="00FA56D0">
        <w:rPr>
          <w:color w:val="000000"/>
        </w:rPr>
        <w:t>, l’Europe propose de n’apporter aucune modification au Règlement des radiocommunications (RR) pour traiter cette question.</w:t>
      </w:r>
    </w:p>
    <w:p w:rsidR="0007735C" w:rsidRDefault="0007735C" w:rsidP="0007735C">
      <w:r>
        <w:br w:type="page"/>
      </w:r>
    </w:p>
    <w:p w:rsidR="0007735C" w:rsidRDefault="00FA56D0" w:rsidP="0007735C">
      <w:pPr>
        <w:rPr>
          <w:szCs w:val="24"/>
          <w:lang w:val="fr-CH"/>
        </w:rPr>
      </w:pPr>
      <w:r>
        <w:rPr>
          <w:color w:val="000000"/>
        </w:rPr>
        <w:lastRenderedPageBreak/>
        <w:t>L’Europe estime qu’ajouter</w:t>
      </w:r>
      <w:r w:rsidRPr="00FA56D0">
        <w:rPr>
          <w:color w:val="000000"/>
        </w:rPr>
        <w:t xml:space="preserve"> </w:t>
      </w:r>
      <w:r>
        <w:rPr>
          <w:color w:val="000000"/>
        </w:rPr>
        <w:t>dans le RR des dispositions visant à considérer que la mise en service est effective même s'il</w:t>
      </w:r>
      <w:r w:rsidR="0007735C">
        <w:rPr>
          <w:color w:val="000000"/>
        </w:rPr>
        <w:t xml:space="preserve"> y a défaillance d'un satellite</w:t>
      </w:r>
      <w:r>
        <w:rPr>
          <w:color w:val="000000"/>
        </w:rPr>
        <w:t xml:space="preserve"> pendant la pé</w:t>
      </w:r>
      <w:r w:rsidR="0007735C">
        <w:rPr>
          <w:color w:val="000000"/>
        </w:rPr>
        <w:t xml:space="preserve">riode de mise en service ou de </w:t>
      </w:r>
      <w:r>
        <w:rPr>
          <w:color w:val="000000"/>
        </w:rPr>
        <w:t>remise en service risque</w:t>
      </w:r>
      <w:r w:rsidRPr="00FA56D0">
        <w:rPr>
          <w:color w:val="000000"/>
        </w:rPr>
        <w:t xml:space="preserve"> </w:t>
      </w:r>
      <w:r>
        <w:rPr>
          <w:color w:val="000000"/>
        </w:rPr>
        <w:t>d’</w:t>
      </w:r>
      <w:r w:rsidR="00527127">
        <w:rPr>
          <w:color w:val="000000"/>
        </w:rPr>
        <w:t>ouvrir la voie à une utilisation abusive des procédures de mise en</w:t>
      </w:r>
      <w:r w:rsidR="0007735C">
        <w:rPr>
          <w:color w:val="000000"/>
        </w:rPr>
        <w:t xml:space="preserve"> service</w:t>
      </w:r>
      <w:r>
        <w:rPr>
          <w:color w:val="000000"/>
        </w:rPr>
        <w:t>, du fait que cela reviendrait à autoriser le déplacem</w:t>
      </w:r>
      <w:r w:rsidR="0007735C">
        <w:rPr>
          <w:color w:val="000000"/>
        </w:rPr>
        <w:t>ent de satellites vieillissants</w:t>
      </w:r>
      <w:r w:rsidR="00527127">
        <w:rPr>
          <w:color w:val="000000"/>
        </w:rPr>
        <w:t xml:space="preserve"> </w:t>
      </w:r>
      <w:r>
        <w:rPr>
          <w:color w:val="000000"/>
        </w:rPr>
        <w:t>d'une position orbitale à une autre, sans se</w:t>
      </w:r>
      <w:r w:rsidR="00527127">
        <w:rPr>
          <w:color w:val="000000"/>
        </w:rPr>
        <w:t xml:space="preserve"> soucier des risques de dé</w:t>
      </w:r>
      <w:r>
        <w:rPr>
          <w:color w:val="000000"/>
        </w:rPr>
        <w:t xml:space="preserve">faillance du satellite. </w:t>
      </w:r>
      <w:r w:rsidR="0007735C">
        <w:rPr>
          <w:color w:val="000000"/>
        </w:rPr>
        <w:t>De plus, l’Europe note que la même assignation</w:t>
      </w:r>
      <w:r w:rsidR="00527127">
        <w:rPr>
          <w:color w:val="000000"/>
        </w:rPr>
        <w:t xml:space="preserve"> de fréquence pourrait même bénéficier de l’application répétée de ces dispositions</w:t>
      </w:r>
      <w:r w:rsidR="00936FEB" w:rsidRPr="008023B0">
        <w:rPr>
          <w:szCs w:val="24"/>
          <w:lang w:val="fr-CH"/>
        </w:rPr>
        <w:t>.</w:t>
      </w:r>
    </w:p>
    <w:p w:rsidR="00936FEB" w:rsidRPr="008023B0" w:rsidRDefault="00527127" w:rsidP="0007735C">
      <w:pPr>
        <w:rPr>
          <w:szCs w:val="24"/>
          <w:lang w:val="fr-CH"/>
        </w:rPr>
      </w:pPr>
      <w:r>
        <w:rPr>
          <w:szCs w:val="24"/>
          <w:lang w:val="fr-CH"/>
        </w:rPr>
        <w:t>La présente proposition européenne visant à n’apporter aucune modification au RR correspond à la méthode E3  du rapport de la RPC</w:t>
      </w:r>
      <w:r w:rsidR="0007735C">
        <w:rPr>
          <w:szCs w:val="24"/>
          <w:lang w:val="fr-CH"/>
        </w:rPr>
        <w:t>.</w:t>
      </w:r>
    </w:p>
    <w:p w:rsidR="00936FEB" w:rsidRPr="00936FEB" w:rsidRDefault="00936FEB" w:rsidP="0007735C">
      <w:pPr>
        <w:rPr>
          <w:lang w:val="fr-CH"/>
        </w:rPr>
      </w:pPr>
    </w:p>
    <w:p w:rsidR="00936FEB" w:rsidRPr="00936FEB" w:rsidRDefault="00936FEB" w:rsidP="0007735C">
      <w:pPr>
        <w:rPr>
          <w:lang w:val="fr-CA"/>
        </w:rPr>
      </w:pPr>
    </w:p>
    <w:p w:rsidR="0015203F" w:rsidRDefault="0015203F" w:rsidP="0007735C"/>
    <w:p w:rsidR="00F20085" w:rsidRDefault="0073085A" w:rsidP="0007735C">
      <w:pPr>
        <w:pStyle w:val="Proposal"/>
      </w:pPr>
      <w:r>
        <w:rPr>
          <w:u w:val="single"/>
        </w:rPr>
        <w:t>NOC</w:t>
      </w:r>
      <w:r>
        <w:tab/>
        <w:t>EUR/9A21</w:t>
      </w:r>
      <w:r w:rsidR="000A34C1">
        <w:t>A5</w:t>
      </w:r>
      <w:r>
        <w:t>/1</w:t>
      </w:r>
    </w:p>
    <w:p w:rsidR="004A6A8C" w:rsidRPr="001F58CF" w:rsidRDefault="0073085A" w:rsidP="0007735C">
      <w:pPr>
        <w:pStyle w:val="ArtNo"/>
      </w:pPr>
      <w:r w:rsidRPr="00501CC0">
        <w:t>ARTICLE</w:t>
      </w:r>
      <w:r w:rsidRPr="001F58CF">
        <w:t xml:space="preserve"> </w:t>
      </w:r>
      <w:r w:rsidRPr="001F58CF">
        <w:rPr>
          <w:rStyle w:val="href"/>
        </w:rPr>
        <w:t>11</w:t>
      </w:r>
    </w:p>
    <w:p w:rsidR="004A6A8C" w:rsidRDefault="0073085A" w:rsidP="0007735C">
      <w:pPr>
        <w:pStyle w:val="Arttitle"/>
        <w:rPr>
          <w:b w:val="0"/>
          <w:bCs/>
          <w:sz w:val="16"/>
          <w:szCs w:val="16"/>
        </w:rPr>
      </w:pPr>
      <w:r w:rsidRPr="00E82312">
        <w:t>Notification et inscription des assignations</w:t>
      </w:r>
      <w:r w:rsidRPr="00E82312">
        <w:br/>
        <w:t xml:space="preserve">de </w:t>
      </w:r>
      <w:r w:rsidRPr="00463598">
        <w:t>fréquence</w:t>
      </w:r>
      <w:r w:rsidRPr="00653F06">
        <w:rPr>
          <w:rStyle w:val="FootnoteReference"/>
        </w:rPr>
        <w:t>1, 2, 3, 4, 5, 6, 7, 7bis </w:t>
      </w:r>
      <w:r w:rsidRPr="00466ED8">
        <w:rPr>
          <w:b w:val="0"/>
          <w:bCs/>
          <w:sz w:val="16"/>
          <w:szCs w:val="16"/>
        </w:rPr>
        <w:t>  (CMR-12)</w:t>
      </w:r>
    </w:p>
    <w:p w:rsidR="0096706F" w:rsidRDefault="0096706F" w:rsidP="0032202E">
      <w:pPr>
        <w:pStyle w:val="Reasons"/>
      </w:pPr>
    </w:p>
    <w:p w:rsidR="0096706F" w:rsidRDefault="0096706F">
      <w:pPr>
        <w:jc w:val="center"/>
      </w:pPr>
      <w:r>
        <w:t>______________</w:t>
      </w:r>
    </w:p>
    <w:p w:rsidR="0096706F" w:rsidRPr="0096706F" w:rsidRDefault="0096706F" w:rsidP="0096706F">
      <w:pPr>
        <w:pStyle w:val="Normalaftertitle"/>
      </w:pPr>
      <w:bookmarkStart w:id="6" w:name="_GoBack"/>
      <w:bookmarkEnd w:id="6"/>
    </w:p>
    <w:sectPr w:rsidR="0096706F" w:rsidRPr="0096706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D6EA5">
      <w:rPr>
        <w:noProof/>
        <w:lang w:val="en-US"/>
      </w:rPr>
      <w:t>P:\FRA\ITU-R\CONF-R\CMR15\000\009ADD21ADD05F.docx</w:t>
    </w:r>
    <w:r>
      <w:fldChar w:fldCharType="end"/>
    </w:r>
    <w:r>
      <w:rPr>
        <w:lang w:val="en-US"/>
      </w:rPr>
      <w:tab/>
    </w:r>
    <w:r>
      <w:fldChar w:fldCharType="begin"/>
    </w:r>
    <w:r>
      <w:instrText xml:space="preserve"> SAVEDATE \@ DD.MM.YY </w:instrText>
    </w:r>
    <w:r>
      <w:fldChar w:fldCharType="separate"/>
    </w:r>
    <w:r w:rsidR="0096706F">
      <w:rPr>
        <w:noProof/>
      </w:rPr>
      <w:t>15.07.15</w:t>
    </w:r>
    <w:r>
      <w:fldChar w:fldCharType="end"/>
    </w:r>
    <w:r>
      <w:rPr>
        <w:lang w:val="en-US"/>
      </w:rPr>
      <w:tab/>
    </w:r>
    <w:r>
      <w:fldChar w:fldCharType="begin"/>
    </w:r>
    <w:r>
      <w:instrText xml:space="preserve"> PRINTDATE \@ DD.MM.YY </w:instrText>
    </w:r>
    <w:r>
      <w:fldChar w:fldCharType="separate"/>
    </w:r>
    <w:r w:rsidR="007D6EA5">
      <w:rPr>
        <w:noProof/>
      </w:rPr>
      <w:t>15.07.15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D6EA5">
      <w:rPr>
        <w:lang w:val="en-US"/>
      </w:rPr>
      <w:t>P:\FRA\ITU-R\CONF-R\CMR15\000\009ADD21ADD05F.docx</w:t>
    </w:r>
    <w:r>
      <w:fldChar w:fldCharType="end"/>
    </w:r>
    <w:r w:rsidR="0007735C">
      <w:t xml:space="preserve"> (383593)</w:t>
    </w:r>
    <w:r>
      <w:rPr>
        <w:lang w:val="en-US"/>
      </w:rPr>
      <w:tab/>
    </w:r>
    <w:r>
      <w:fldChar w:fldCharType="begin"/>
    </w:r>
    <w:r>
      <w:instrText xml:space="preserve"> SAVEDATE \@ DD.MM.YY </w:instrText>
    </w:r>
    <w:r>
      <w:fldChar w:fldCharType="separate"/>
    </w:r>
    <w:r w:rsidR="0096706F">
      <w:t>15.07.15</w:t>
    </w:r>
    <w:r>
      <w:fldChar w:fldCharType="end"/>
    </w:r>
    <w:r>
      <w:rPr>
        <w:lang w:val="en-US"/>
      </w:rPr>
      <w:tab/>
    </w:r>
    <w:r>
      <w:fldChar w:fldCharType="begin"/>
    </w:r>
    <w:r>
      <w:instrText xml:space="preserve"> PRINTDATE \@ DD.MM.YY </w:instrText>
    </w:r>
    <w:r>
      <w:fldChar w:fldCharType="separate"/>
    </w:r>
    <w:r w:rsidR="007D6EA5">
      <w:t>15.07.15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D6EA5">
      <w:rPr>
        <w:lang w:val="en-US"/>
      </w:rPr>
      <w:t>P:\FRA\ITU-R\CONF-R\CMR15\000\009ADD21ADD05F.docx</w:t>
    </w:r>
    <w:r>
      <w:fldChar w:fldCharType="end"/>
    </w:r>
    <w:r w:rsidR="0007735C">
      <w:t xml:space="preserve"> (383593)</w:t>
    </w:r>
    <w:r>
      <w:rPr>
        <w:lang w:val="en-US"/>
      </w:rPr>
      <w:tab/>
    </w:r>
    <w:r>
      <w:fldChar w:fldCharType="begin"/>
    </w:r>
    <w:r>
      <w:instrText xml:space="preserve"> SAVEDATE \@ DD.MM.YY </w:instrText>
    </w:r>
    <w:r>
      <w:fldChar w:fldCharType="separate"/>
    </w:r>
    <w:r w:rsidR="0096706F">
      <w:t>15.07.15</w:t>
    </w:r>
    <w:r>
      <w:fldChar w:fldCharType="end"/>
    </w:r>
    <w:r>
      <w:rPr>
        <w:lang w:val="en-US"/>
      </w:rPr>
      <w:tab/>
    </w:r>
    <w:r>
      <w:fldChar w:fldCharType="begin"/>
    </w:r>
    <w:r>
      <w:instrText xml:space="preserve"> PRINTDATE \@ DD.MM.YY </w:instrText>
    </w:r>
    <w:r>
      <w:fldChar w:fldCharType="separate"/>
    </w:r>
    <w:r w:rsidR="007D6EA5">
      <w:t>15.07.15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6706F">
      <w:rPr>
        <w:noProof/>
      </w:rPr>
      <w:t>2</w:t>
    </w:r>
    <w:r>
      <w:fldChar w:fldCharType="end"/>
    </w:r>
  </w:p>
  <w:p w:rsidR="004F1F8E" w:rsidRDefault="004F1F8E" w:rsidP="002C28A4">
    <w:pPr>
      <w:pStyle w:val="Header"/>
    </w:pPr>
    <w:r>
      <w:t>CMR1</w:t>
    </w:r>
    <w:r w:rsidR="002C28A4">
      <w:t>5</w:t>
    </w:r>
    <w:r>
      <w:t>/</w:t>
    </w:r>
    <w:r w:rsidR="006A4B45">
      <w:t>9(Add.21)(Add.5)-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735C"/>
    <w:rsid w:val="00080E2C"/>
    <w:rsid w:val="000A34C1"/>
    <w:rsid w:val="000A4755"/>
    <w:rsid w:val="000B2E0C"/>
    <w:rsid w:val="000B3D0C"/>
    <w:rsid w:val="001167B9"/>
    <w:rsid w:val="001267A0"/>
    <w:rsid w:val="0015203F"/>
    <w:rsid w:val="00160C64"/>
    <w:rsid w:val="0018169B"/>
    <w:rsid w:val="0019352B"/>
    <w:rsid w:val="001960D0"/>
    <w:rsid w:val="00204306"/>
    <w:rsid w:val="00232FD2"/>
    <w:rsid w:val="00261837"/>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27127"/>
    <w:rsid w:val="00586CF2"/>
    <w:rsid w:val="005C3768"/>
    <w:rsid w:val="005C6C3F"/>
    <w:rsid w:val="00613635"/>
    <w:rsid w:val="0062093D"/>
    <w:rsid w:val="00637ECF"/>
    <w:rsid w:val="00647B59"/>
    <w:rsid w:val="00690C7B"/>
    <w:rsid w:val="006A4B45"/>
    <w:rsid w:val="006D4724"/>
    <w:rsid w:val="00701BAE"/>
    <w:rsid w:val="00721F04"/>
    <w:rsid w:val="0073085A"/>
    <w:rsid w:val="00730E95"/>
    <w:rsid w:val="007426B9"/>
    <w:rsid w:val="00764342"/>
    <w:rsid w:val="00774362"/>
    <w:rsid w:val="00786598"/>
    <w:rsid w:val="007A04E8"/>
    <w:rsid w:val="007D6EA5"/>
    <w:rsid w:val="00851625"/>
    <w:rsid w:val="00863C0A"/>
    <w:rsid w:val="008A3120"/>
    <w:rsid w:val="008C4B4D"/>
    <w:rsid w:val="008D41BE"/>
    <w:rsid w:val="008D58D3"/>
    <w:rsid w:val="00923064"/>
    <w:rsid w:val="00930FFD"/>
    <w:rsid w:val="00936D25"/>
    <w:rsid w:val="00936FEB"/>
    <w:rsid w:val="00941EA5"/>
    <w:rsid w:val="00964700"/>
    <w:rsid w:val="00966C16"/>
    <w:rsid w:val="0096706F"/>
    <w:rsid w:val="0098732F"/>
    <w:rsid w:val="009A045F"/>
    <w:rsid w:val="009C7E7C"/>
    <w:rsid w:val="00A00473"/>
    <w:rsid w:val="00A03C9B"/>
    <w:rsid w:val="00A37105"/>
    <w:rsid w:val="00A40B44"/>
    <w:rsid w:val="00A606C3"/>
    <w:rsid w:val="00A83B09"/>
    <w:rsid w:val="00A84541"/>
    <w:rsid w:val="00AE36A0"/>
    <w:rsid w:val="00B00294"/>
    <w:rsid w:val="00B64FD0"/>
    <w:rsid w:val="00BA5BD0"/>
    <w:rsid w:val="00BB1D82"/>
    <w:rsid w:val="00BD74CA"/>
    <w:rsid w:val="00BF26E7"/>
    <w:rsid w:val="00C53FCA"/>
    <w:rsid w:val="00C76BAF"/>
    <w:rsid w:val="00C814B9"/>
    <w:rsid w:val="00CD516F"/>
    <w:rsid w:val="00D119A7"/>
    <w:rsid w:val="00D25FBA"/>
    <w:rsid w:val="00D32B28"/>
    <w:rsid w:val="00D42954"/>
    <w:rsid w:val="00D5338C"/>
    <w:rsid w:val="00D66EAC"/>
    <w:rsid w:val="00D730DF"/>
    <w:rsid w:val="00D772F0"/>
    <w:rsid w:val="00D77BDC"/>
    <w:rsid w:val="00DC402B"/>
    <w:rsid w:val="00DE0932"/>
    <w:rsid w:val="00E03A27"/>
    <w:rsid w:val="00E03BA2"/>
    <w:rsid w:val="00E049F1"/>
    <w:rsid w:val="00E37A25"/>
    <w:rsid w:val="00E6539B"/>
    <w:rsid w:val="00E70A31"/>
    <w:rsid w:val="00E7728C"/>
    <w:rsid w:val="00EA3F38"/>
    <w:rsid w:val="00EA5AB6"/>
    <w:rsid w:val="00EC7615"/>
    <w:rsid w:val="00ED16AA"/>
    <w:rsid w:val="00EF662E"/>
    <w:rsid w:val="00F148F1"/>
    <w:rsid w:val="00F20085"/>
    <w:rsid w:val="00FA3BBF"/>
    <w:rsid w:val="00FA56D0"/>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C7860C-BA42-45A3-9877-817A5A17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R15-WRC15-C-0009!A21-A5!MSW-F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9B264827-D42C-4F39-9C5D-3F30C750BB86}">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996b2e75-67fd-4955-a3b0-5ab9934cb50b"/>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498</Words>
  <Characters>2816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R15-WRC15-C-0009!A21-A5!MSW-F</vt:lpstr>
    </vt:vector>
  </TitlesOfParts>
  <Manager>Secrétariat général - Pool</Manager>
  <Company>Union internationale des télécommunications (UIT)</Company>
  <LinksUpToDate>false</LinksUpToDate>
  <CharactersWithSpaces>3278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R15-WRC15-C-0009!A21-A5!MSW-F</dc:title>
  <dc:subject>Conférence mondiale des radiocommunications - 2015</dc:subject>
  <dc:creator>Documents Proposals Manager (DPM)</dc:creator>
  <cp:keywords>DPM_v5.2015.7.6_prod</cp:keywords>
  <dc:description/>
  <cp:lastModifiedBy>Jones, Jacqueline</cp:lastModifiedBy>
  <cp:revision>5</cp:revision>
  <cp:lastPrinted>2015-07-15T13:13:00Z</cp:lastPrinted>
  <dcterms:created xsi:type="dcterms:W3CDTF">2015-07-15T12:43:00Z</dcterms:created>
  <dcterms:modified xsi:type="dcterms:W3CDTF">2015-07-15T13:24:00Z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