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886099" w:rsidP="00886099"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D0EB3FC" wp14:editId="081B7A5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3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9(Add.22)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15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European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9.1(9.1.3)</w:t>
            </w:r>
          </w:p>
        </w:tc>
      </w:tr>
    </w:tbl>
    <w:bookmarkEnd w:id="6"/>
    <w:bookmarkEnd w:id="7"/>
    <w:p w:rsidR="00B02325" w:rsidRPr="000002F2" w:rsidRDefault="00A528A7" w:rsidP="005A1B64">
      <w:pPr>
        <w:overflowPunct/>
        <w:autoSpaceDE/>
        <w:autoSpaceDN/>
        <w:adjustRightInd/>
        <w:textAlignment w:val="auto"/>
      </w:pPr>
      <w:r w:rsidRPr="009A2B70">
        <w:t>9</w:t>
      </w:r>
      <w:r w:rsidRPr="009A2B70">
        <w:tab/>
        <w:t xml:space="preserve">to consider and approve the Report of the Director of the Radiocommunication Bureau, in accordance with Article 7 of the </w:t>
      </w:r>
      <w:r w:rsidRPr="009A2B70">
        <w:t>Convention:</w:t>
      </w:r>
    </w:p>
    <w:p w:rsidR="00B02325" w:rsidRPr="000002F2" w:rsidRDefault="00A528A7" w:rsidP="00653DA3">
      <w:pPr>
        <w:overflowPunct/>
        <w:autoSpaceDE/>
        <w:autoSpaceDN/>
        <w:adjustRightInd/>
        <w:spacing w:before="100"/>
        <w:textAlignment w:val="auto"/>
      </w:pPr>
      <w:r w:rsidRPr="009A2B70">
        <w:t>9.1</w:t>
      </w:r>
      <w:r w:rsidRPr="009A2B70">
        <w:tab/>
        <w:t>on the activities of the Radiocommunication Sector since WRC</w:t>
      </w:r>
      <w:r w:rsidRPr="009A2B70">
        <w:noBreakHyphen/>
        <w:t>12;</w:t>
      </w:r>
    </w:p>
    <w:p w:rsidR="001C0E40" w:rsidRDefault="00A528A7" w:rsidP="00167563">
      <w:r>
        <w:t>9.1(9.1.</w:t>
      </w:r>
      <w:r>
        <w:t>3</w:t>
      </w:r>
      <w:r>
        <w:t xml:space="preserve">) </w:t>
      </w:r>
      <w:r>
        <w:tab/>
      </w:r>
      <w:r>
        <w:t xml:space="preserve">Resolution </w:t>
      </w:r>
      <w:r w:rsidRPr="000D2ED6">
        <w:rPr>
          <w:b/>
          <w:bCs/>
        </w:rPr>
        <w:t>11 (WRC-</w:t>
      </w:r>
      <w:r w:rsidRPr="000D2ED6">
        <w:rPr>
          <w:b/>
          <w:bCs/>
        </w:rPr>
        <w:t>12)</w:t>
      </w:r>
      <w:r>
        <w:t xml:space="preserve"> − Use of satellite orbital positions and associated frequency spectrum to deliver international public telecommunication services in develop</w:t>
      </w:r>
      <w:r>
        <w:t>ing countries</w:t>
      </w:r>
    </w:p>
    <w:p w:rsidR="00241FA2" w:rsidRPr="00886099" w:rsidRDefault="00241FA2" w:rsidP="00886099">
      <w:pPr>
        <w:rPr>
          <w:lang w:val="en-US"/>
        </w:rPr>
      </w:pPr>
    </w:p>
    <w:p w:rsidR="00886099" w:rsidRPr="00886099" w:rsidRDefault="00886099" w:rsidP="00886099">
      <w:pPr>
        <w:pStyle w:val="Headingb"/>
        <w:rPr>
          <w:lang w:val="en-US"/>
        </w:rPr>
      </w:pPr>
      <w:r w:rsidRPr="00886099">
        <w:rPr>
          <w:lang w:val="en-US"/>
        </w:rPr>
        <w:t>Introduction</w:t>
      </w:r>
    </w:p>
    <w:p w:rsidR="00886099" w:rsidRPr="00B00C97" w:rsidRDefault="00886099" w:rsidP="00886099">
      <w:r w:rsidRPr="0021181D">
        <w:t xml:space="preserve">To examine the importance of satellite telecommunications for delivering international public telecommunications services in developing countries, WRC-12 adopted Resolution </w:t>
      </w:r>
      <w:r w:rsidRPr="00B00C97">
        <w:rPr>
          <w:rStyle w:val="Strong"/>
          <w:b w:val="0"/>
          <w:bCs w:val="0"/>
        </w:rPr>
        <w:t>11</w:t>
      </w:r>
      <w:r w:rsidRPr="00B00C97">
        <w:t xml:space="preserve"> </w:t>
      </w:r>
      <w:r w:rsidRPr="00B00C97">
        <w:rPr>
          <w:rStyle w:val="Strong"/>
          <w:b w:val="0"/>
          <w:bCs w:val="0"/>
        </w:rPr>
        <w:t>(WRC-12)</w:t>
      </w:r>
      <w:r w:rsidRPr="00B00C97">
        <w:t>.</w:t>
      </w:r>
    </w:p>
    <w:p w:rsidR="00886099" w:rsidRPr="00B00C97" w:rsidRDefault="00886099" w:rsidP="00886099">
      <w:r w:rsidRPr="00B00C97">
        <w:t>ITU-R has conducted many analyses to provide for guaranteed access to the geostationary orbit (GSO), and adopted Reports and Recommendations which promote its efficient use.</w:t>
      </w:r>
    </w:p>
    <w:p w:rsidR="00886099" w:rsidRPr="00B00C97" w:rsidRDefault="00886099" w:rsidP="00886099">
      <w:r w:rsidRPr="00B00C97">
        <w:t xml:space="preserve">In Resolution </w:t>
      </w:r>
      <w:r w:rsidRPr="00B00C97">
        <w:rPr>
          <w:rStyle w:val="Strong"/>
          <w:b w:val="0"/>
          <w:bCs w:val="0"/>
        </w:rPr>
        <w:t>11 (WRC-12)</w:t>
      </w:r>
      <w:r w:rsidRPr="00B00C97">
        <w:t>, WRC-12 recognized the important and strategic role of satellite communications in both developed and developing countries, as also captured in various resolutions and decisions of several United Nations and ITU Conferences.</w:t>
      </w:r>
    </w:p>
    <w:p w:rsidR="00886099" w:rsidRPr="00B00C97" w:rsidRDefault="00886099" w:rsidP="00886099">
      <w:r w:rsidRPr="00B00C97">
        <w:t xml:space="preserve">Europe notes that a great amount of information has been gathered during the study cycle between WRC-12 and WRC-15 regarding the ITU-R and ITU-D achievements, practices and current activities that relates to Resolution </w:t>
      </w:r>
      <w:r w:rsidRPr="00B00C97">
        <w:rPr>
          <w:rStyle w:val="Strong"/>
          <w:b w:val="0"/>
          <w:bCs w:val="0"/>
        </w:rPr>
        <w:t>11 (WRC-12)</w:t>
      </w:r>
      <w:r w:rsidRPr="00B00C97">
        <w:t xml:space="preserve">. No studies have been submitted to ITU-R to address </w:t>
      </w:r>
      <w:r w:rsidRPr="00886099">
        <w:rPr>
          <w:i/>
          <w:iCs/>
        </w:rPr>
        <w:t>resolves</w:t>
      </w:r>
      <w:r w:rsidRPr="00B00C97">
        <w:t xml:space="preserve"> 2 of Resolution </w:t>
      </w:r>
      <w:r w:rsidRPr="00B00C97">
        <w:rPr>
          <w:rStyle w:val="Strong"/>
          <w:b w:val="0"/>
          <w:bCs w:val="0"/>
        </w:rPr>
        <w:t>11 (WRC-12)</w:t>
      </w:r>
      <w:r w:rsidRPr="00B00C97">
        <w:t xml:space="preserve">, and hence it may be inferred that the current activities and practices of the ITU-R and the ITU-D are ensuring the enhancement of the availability of satellite services. </w:t>
      </w:r>
    </w:p>
    <w:p w:rsidR="00886099" w:rsidRDefault="00886099" w:rsidP="00886099">
      <w:r>
        <w:t>In fact, Europe notes that t</w:t>
      </w:r>
      <w:r w:rsidRPr="00AF1379">
        <w:t xml:space="preserve">he current satellite deployment in the GSO should satisfy the demand of international telecommunication public services and that the </w:t>
      </w:r>
      <w:r>
        <w:t xml:space="preserve">greatest </w:t>
      </w:r>
      <w:r w:rsidRPr="00AF1379">
        <w:t xml:space="preserve">issue faced by satellite operators is </w:t>
      </w:r>
      <w:r>
        <w:t>to</w:t>
      </w:r>
      <w:r w:rsidRPr="00AF1379">
        <w:t xml:space="preserve"> access </w:t>
      </w:r>
      <w:r>
        <w:t xml:space="preserve">the markets </w:t>
      </w:r>
      <w:r w:rsidRPr="00AF1379">
        <w:t>in the different countries, rather than the lack of orbital resources</w:t>
      </w:r>
      <w:r>
        <w:t>.</w:t>
      </w:r>
    </w:p>
    <w:p w:rsidR="00886099" w:rsidRDefault="00886099" w:rsidP="00886099">
      <w:r w:rsidRPr="00AF1379">
        <w:t xml:space="preserve">As a result, </w:t>
      </w:r>
      <w:r>
        <w:t>Europe is of the view</w:t>
      </w:r>
      <w:r w:rsidRPr="00AF1379">
        <w:t xml:space="preserve"> that </w:t>
      </w:r>
      <w:r w:rsidRPr="00C014BD">
        <w:t>all satellite network filings should be treated in the same manner and on an equal basis</w:t>
      </w:r>
      <w:r>
        <w:t xml:space="preserve">, that the </w:t>
      </w:r>
      <w:r w:rsidRPr="00AF1379">
        <w:t xml:space="preserve">current regulatory measures are adequate to ensure </w:t>
      </w:r>
      <w:r w:rsidRPr="00AF1379">
        <w:lastRenderedPageBreak/>
        <w:t>availability</w:t>
      </w:r>
      <w:r>
        <w:t xml:space="preserve"> of satellite orbital positions and resources to </w:t>
      </w:r>
      <w:r w:rsidRPr="0021181D">
        <w:rPr>
          <w:rStyle w:val="BRNormal"/>
        </w:rPr>
        <w:t>deliver international public telecommunication services in developing countries</w:t>
      </w:r>
      <w:r w:rsidRPr="00AF1379">
        <w:t>, and that no additional regulatory measures are required for this particular issue.</w:t>
      </w:r>
    </w:p>
    <w:p w:rsidR="00886099" w:rsidRPr="00B00C97" w:rsidRDefault="00886099" w:rsidP="00886099">
      <w:pPr>
        <w:rPr>
          <w:b/>
          <w:bCs/>
        </w:rPr>
      </w:pPr>
      <w:r>
        <w:t xml:space="preserve">Europe then proposes to make no changes to the Radio Regulations and to suppress </w:t>
      </w:r>
      <w:r w:rsidRPr="0021181D">
        <w:t xml:space="preserve">Resolution </w:t>
      </w:r>
      <w:r w:rsidRPr="00B00C97">
        <w:rPr>
          <w:rStyle w:val="Strong"/>
          <w:b w:val="0"/>
          <w:bCs w:val="0"/>
        </w:rPr>
        <w:t>11 (WRC-12).</w:t>
      </w:r>
    </w:p>
    <w:p w:rsidR="00886099" w:rsidRPr="00886099" w:rsidRDefault="00886099" w:rsidP="00886099">
      <w:bookmarkStart w:id="8" w:name="_GoBack"/>
      <w:bookmarkEnd w:id="8"/>
    </w:p>
    <w:p w:rsidR="00522FA9" w:rsidRDefault="00A528A7">
      <w:pPr>
        <w:pStyle w:val="Proposal"/>
      </w:pPr>
      <w:r>
        <w:rPr>
          <w:u w:val="single"/>
        </w:rPr>
        <w:t>NOC</w:t>
      </w:r>
      <w:r>
        <w:tab/>
        <w:t>EUR/9A22A3/1</w:t>
      </w:r>
    </w:p>
    <w:p w:rsidR="009B463A" w:rsidRPr="00D41CE2" w:rsidRDefault="00A528A7" w:rsidP="00FB1E26">
      <w:pPr>
        <w:pStyle w:val="ArtNo"/>
        <w:keepLines w:val="0"/>
      </w:pPr>
      <w:bookmarkStart w:id="9" w:name="_Toc327956592"/>
      <w:r w:rsidRPr="00D41CE2">
        <w:t xml:space="preserve">ARTICLE </w:t>
      </w:r>
      <w:r w:rsidRPr="00CF7570">
        <w:rPr>
          <w:rStyle w:val="href"/>
        </w:rPr>
        <w:t>9</w:t>
      </w:r>
      <w:bookmarkEnd w:id="9"/>
    </w:p>
    <w:p w:rsidR="009B463A" w:rsidRPr="00D41CE2" w:rsidRDefault="00A528A7" w:rsidP="00FB1E26">
      <w:pPr>
        <w:pStyle w:val="Arttitle"/>
        <w:keepLines w:val="0"/>
      </w:pPr>
      <w:bookmarkStart w:id="10" w:name="_Toc327956593"/>
      <w:r w:rsidRPr="00D41CE2">
        <w:t>Procedure for effecting coordination with or obtaining agreement of other administrations</w:t>
      </w:r>
      <w:r>
        <w:rPr>
          <w:rStyle w:val="FootnoteReference"/>
        </w:rPr>
        <w:t>1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2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3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4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5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6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7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8</w:t>
      </w:r>
      <w:r w:rsidRPr="00835A36">
        <w:rPr>
          <w:rStyle w:val="FootnoteReference"/>
        </w:rPr>
        <w:t>,</w:t>
      </w:r>
      <w:r>
        <w:t xml:space="preserve"> </w:t>
      </w:r>
      <w:r>
        <w:rPr>
          <w:rStyle w:val="FootnoteReference"/>
        </w:rPr>
        <w:t>8</w:t>
      </w:r>
      <w:r w:rsidRPr="007107DE">
        <w:rPr>
          <w:rStyle w:val="FootnoteReference"/>
          <w:i/>
          <w:iCs/>
        </w:rPr>
        <w:t>bis</w:t>
      </w:r>
      <w:r w:rsidRPr="00577A24">
        <w:rPr>
          <w:b w:val="0"/>
          <w:bCs/>
          <w:sz w:val="16"/>
          <w:szCs w:val="16"/>
        </w:rPr>
        <w:t> </w:t>
      </w:r>
      <w:r w:rsidRPr="00577A24">
        <w:rPr>
          <w:b w:val="0"/>
          <w:bCs/>
          <w:sz w:val="16"/>
          <w:szCs w:val="16"/>
        </w:rPr>
        <w:t>   </w:t>
      </w:r>
      <w:r w:rsidRPr="00A534BD">
        <w:rPr>
          <w:b w:val="0"/>
          <w:bCs/>
          <w:sz w:val="16"/>
          <w:szCs w:val="16"/>
        </w:rPr>
        <w:t>(WRC</w:t>
      </w:r>
      <w:r w:rsidRPr="00A534BD">
        <w:rPr>
          <w:b w:val="0"/>
          <w:bCs/>
          <w:sz w:val="16"/>
          <w:szCs w:val="16"/>
        </w:rPr>
        <w:noBreakHyphen/>
        <w:t>12)</w:t>
      </w:r>
      <w:bookmarkEnd w:id="10"/>
    </w:p>
    <w:p w:rsidR="00522FA9" w:rsidRDefault="00522FA9">
      <w:pPr>
        <w:pStyle w:val="Reasons"/>
      </w:pPr>
    </w:p>
    <w:p w:rsidR="00522FA9" w:rsidRDefault="00A528A7">
      <w:pPr>
        <w:pStyle w:val="Proposal"/>
      </w:pPr>
      <w:r>
        <w:rPr>
          <w:u w:val="single"/>
        </w:rPr>
        <w:t>NOC</w:t>
      </w:r>
      <w:r>
        <w:tab/>
        <w:t>EUR/9A22A3/2</w:t>
      </w:r>
    </w:p>
    <w:p w:rsidR="009B463A" w:rsidRPr="00667882" w:rsidRDefault="00A528A7" w:rsidP="00FB3369">
      <w:pPr>
        <w:pStyle w:val="ArtNo"/>
      </w:pPr>
      <w:bookmarkStart w:id="11" w:name="_Toc327956595"/>
      <w:r w:rsidRPr="00FB3369">
        <w:t>ARTICLE</w:t>
      </w:r>
      <w:r w:rsidRPr="00D41CE2">
        <w:t xml:space="preserve"> </w:t>
      </w:r>
      <w:r w:rsidRPr="00667882">
        <w:rPr>
          <w:rStyle w:val="href"/>
          <w:noProof/>
          <w:lang w:val="en-CA"/>
        </w:rPr>
        <w:t>11</w:t>
      </w:r>
      <w:bookmarkEnd w:id="11"/>
    </w:p>
    <w:p w:rsidR="009B463A" w:rsidRPr="00D41CE2" w:rsidRDefault="00A528A7" w:rsidP="009B463A">
      <w:pPr>
        <w:pStyle w:val="Arttitle"/>
        <w:rPr>
          <w:sz w:val="16"/>
          <w:szCs w:val="16"/>
        </w:rPr>
      </w:pPr>
      <w:bookmarkStart w:id="12" w:name="_Toc327956596"/>
      <w:r w:rsidRPr="00D41CE2">
        <w:t xml:space="preserve">Notification and recording of frequency </w:t>
      </w:r>
      <w:r w:rsidRPr="00D41CE2">
        <w:br/>
        <w:t>assignments</w:t>
      </w:r>
      <w:r>
        <w:rPr>
          <w:rStyle w:val="FootnoteReference"/>
        </w:rPr>
        <w:t>1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2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3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4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5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6</w:t>
      </w:r>
      <w:r w:rsidRPr="00835A36">
        <w:rPr>
          <w:rStyle w:val="FootnoteReference"/>
        </w:rPr>
        <w:t xml:space="preserve">, </w:t>
      </w:r>
      <w:r>
        <w:rPr>
          <w:rStyle w:val="FootnoteReference"/>
        </w:rPr>
        <w:t>7</w:t>
      </w:r>
      <w:r w:rsidRPr="00835A36">
        <w:rPr>
          <w:rStyle w:val="FootnoteReference"/>
        </w:rPr>
        <w:t xml:space="preserve">, </w:t>
      </w:r>
      <w:r w:rsidRPr="004C21D9">
        <w:rPr>
          <w:rStyle w:val="FootnoteReference"/>
        </w:rPr>
        <w:t>7</w:t>
      </w:r>
      <w:r w:rsidRPr="004C21D9">
        <w:rPr>
          <w:rStyle w:val="FootnoteReference"/>
          <w:i/>
          <w:iCs/>
        </w:rPr>
        <w:t>bis</w:t>
      </w:r>
      <w:r w:rsidRPr="00577A24">
        <w:rPr>
          <w:b w:val="0"/>
          <w:bCs/>
          <w:sz w:val="16"/>
          <w:szCs w:val="16"/>
        </w:rPr>
        <w:t>   </w:t>
      </w:r>
      <w:r w:rsidRPr="003D1979">
        <w:rPr>
          <w:b w:val="0"/>
          <w:bCs/>
          <w:sz w:val="16"/>
          <w:szCs w:val="16"/>
        </w:rPr>
        <w:t> (WRC</w:t>
      </w:r>
      <w:r w:rsidRPr="003D1979">
        <w:rPr>
          <w:b w:val="0"/>
          <w:bCs/>
          <w:sz w:val="16"/>
          <w:szCs w:val="16"/>
        </w:rPr>
        <w:noBreakHyphen/>
        <w:t>12)</w:t>
      </w:r>
      <w:bookmarkEnd w:id="12"/>
    </w:p>
    <w:p w:rsidR="00522FA9" w:rsidRDefault="00886099">
      <w:pPr>
        <w:pStyle w:val="Reasons"/>
      </w:pPr>
      <w:r>
        <w:rPr>
          <w:b/>
        </w:rPr>
        <w:t>Reasons:</w:t>
      </w:r>
      <w:r>
        <w:tab/>
      </w:r>
      <w:r w:rsidRPr="00FD4487">
        <w:t xml:space="preserve">No </w:t>
      </w:r>
      <w:r>
        <w:t xml:space="preserve">changes to the provisions of </w:t>
      </w:r>
      <w:r w:rsidRPr="00FD4487">
        <w:t>Articles 9 and 11 are required to ensure the availability of satellite orbital positions and associated frequency spectrum to deliver international public telecommunication services in developing countries.</w:t>
      </w:r>
    </w:p>
    <w:p w:rsidR="00522FA9" w:rsidRDefault="00A528A7">
      <w:pPr>
        <w:pStyle w:val="Proposal"/>
      </w:pPr>
      <w:r>
        <w:t>SUP</w:t>
      </w:r>
      <w:r>
        <w:tab/>
        <w:t>EUR/9A22A3/3</w:t>
      </w:r>
    </w:p>
    <w:p w:rsidR="002A798B" w:rsidRPr="006905BC" w:rsidRDefault="00A528A7" w:rsidP="002A798B">
      <w:pPr>
        <w:pStyle w:val="ResNo"/>
      </w:pPr>
      <w:bookmarkStart w:id="13" w:name="_Toc327364276"/>
      <w:bookmarkEnd w:id="13"/>
      <w:r w:rsidRPr="006905BC">
        <w:t xml:space="preserve">RESOLUTION </w:t>
      </w:r>
      <w:r w:rsidRPr="006905BC">
        <w:rPr>
          <w:rStyle w:val="href"/>
        </w:rPr>
        <w:t>11</w:t>
      </w:r>
      <w:r w:rsidRPr="006905BC">
        <w:t xml:space="preserve"> (WRC-12)</w:t>
      </w:r>
    </w:p>
    <w:p w:rsidR="00B727BF" w:rsidRPr="006905BC" w:rsidRDefault="00A528A7" w:rsidP="007B1465">
      <w:pPr>
        <w:pStyle w:val="Restitle"/>
        <w:keepNext w:val="0"/>
        <w:keepLines w:val="0"/>
      </w:pPr>
      <w:r w:rsidRPr="006905BC">
        <w:t>Use of satellite orbital positions and associated frequency spectrum to deliver international public telecommunication services in developing countries</w:t>
      </w:r>
    </w:p>
    <w:p w:rsidR="00522FA9" w:rsidRDefault="00A528A7">
      <w:pPr>
        <w:pStyle w:val="Reasons"/>
        <w:rPr>
          <w:rStyle w:val="BRNormal"/>
        </w:rPr>
      </w:pPr>
      <w:r>
        <w:rPr>
          <w:b/>
        </w:rPr>
        <w:t>Reasons:</w:t>
      </w:r>
      <w:r w:rsidR="00886099" w:rsidRPr="00886099">
        <w:t xml:space="preserve"> </w:t>
      </w:r>
      <w:r w:rsidR="00886099">
        <w:tab/>
        <w:t>N</w:t>
      </w:r>
      <w:r w:rsidR="00886099" w:rsidRPr="00AF1379">
        <w:t xml:space="preserve">o additional regulatory measures </w:t>
      </w:r>
      <w:r w:rsidR="00886099">
        <w:t xml:space="preserve">and/or studies </w:t>
      </w:r>
      <w:r w:rsidR="00886099" w:rsidRPr="00AF1379">
        <w:t xml:space="preserve">are required for </w:t>
      </w:r>
      <w:r w:rsidR="00886099">
        <w:t>ensuring</w:t>
      </w:r>
      <w:r w:rsidR="00886099" w:rsidRPr="00AF1379">
        <w:t xml:space="preserve"> availability</w:t>
      </w:r>
      <w:r w:rsidR="00886099">
        <w:t xml:space="preserve"> of satellite orbital positions and resources to </w:t>
      </w:r>
      <w:r w:rsidR="00886099" w:rsidRPr="0021181D">
        <w:rPr>
          <w:rStyle w:val="BRNormal"/>
        </w:rPr>
        <w:t>deliver international public telecommunication services in developing countries</w:t>
      </w:r>
      <w:r w:rsidR="00886099">
        <w:rPr>
          <w:rStyle w:val="BRNormal"/>
        </w:rPr>
        <w:t>.</w:t>
      </w:r>
    </w:p>
    <w:p w:rsidR="00886099" w:rsidRDefault="00886099" w:rsidP="00886099"/>
    <w:p w:rsidR="00886099" w:rsidRDefault="00886099" w:rsidP="00886099"/>
    <w:p w:rsidR="00886099" w:rsidRDefault="00886099" w:rsidP="0032202E">
      <w:pPr>
        <w:pStyle w:val="Reasons"/>
      </w:pPr>
    </w:p>
    <w:p w:rsidR="00886099" w:rsidRDefault="00886099">
      <w:pPr>
        <w:jc w:val="center"/>
      </w:pPr>
      <w:r>
        <w:t>______________</w:t>
      </w:r>
    </w:p>
    <w:p w:rsidR="00886099" w:rsidRDefault="00886099" w:rsidP="00886099"/>
    <w:sectPr w:rsidR="0088609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86099">
      <w:rPr>
        <w:noProof/>
      </w:rPr>
      <w:t>20.10.15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99" w:rsidRDefault="00886099" w:rsidP="0088609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P:\ENG\ITU-R\CONF-R\CMR15\000\009ADD22ADD03E.docx</w:t>
    </w:r>
    <w:r>
      <w:fldChar w:fldCharType="end"/>
    </w:r>
    <w:r>
      <w:t xml:space="preserve"> (388346)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20.10.15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99" w:rsidRDefault="00886099">
    <w:pPr>
      <w:pStyle w:val="Footer"/>
    </w:pPr>
    <w:fldSimple w:instr=" FILENAME \p  \* MERGEFORMAT ">
      <w:r>
        <w:t>P:\ENG\ITU-R\CONF-R\CMR15\000\009ADD22ADD03E.docx</w:t>
      </w:r>
    </w:fldSimple>
    <w:r>
      <w:t xml:space="preserve"> (388346)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20.10.15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86099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4" w:name="OLE_LINK1"/>
    <w:bookmarkStart w:id="15" w:name="OLE_LINK2"/>
    <w:bookmarkStart w:id="16" w:name="OLE_LINK3"/>
    <w:r w:rsidR="00EB55C6">
      <w:t>9(Add.22)(Add.3)</w:t>
    </w:r>
    <w:bookmarkEnd w:id="14"/>
    <w:bookmarkEnd w:id="15"/>
    <w:bookmarkEnd w:id="16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22FA9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86099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28A7"/>
    <w:rsid w:val="00A538A6"/>
    <w:rsid w:val="00A54C25"/>
    <w:rsid w:val="00A66829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17DE3A2-68F7-42B2-9255-7D77C849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styleId="Strong">
    <w:name w:val="Strong"/>
    <w:aliases w:val="ECC HL bold"/>
    <w:basedOn w:val="DefaultParagraphFont"/>
    <w:uiPriority w:val="1"/>
    <w:qFormat/>
    <w:rsid w:val="00886099"/>
    <w:rPr>
      <w:b/>
      <w:bCs/>
    </w:rPr>
  </w:style>
  <w:style w:type="character" w:customStyle="1" w:styleId="BRNormal">
    <w:name w:val="BR_Normal"/>
    <w:basedOn w:val="DefaultParagraphFont"/>
    <w:uiPriority w:val="1"/>
    <w:qFormat/>
    <w:rsid w:val="00886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R15-WRC15-C-0009!A22-A3!MSW-E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7A6D-B050-4385-BD1D-1CA233EC14FF}">
  <ds:schemaRefs>
    <ds:schemaRef ds:uri="http://www.w3.org/XML/1998/namespace"/>
    <ds:schemaRef ds:uri="http://purl.org/dc/dcmitype/"/>
    <ds:schemaRef ds:uri="996b2e75-67fd-4955-a3b0-5ab9934cb50b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28B5B1-45C7-4556-8D58-C48B71B0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15</TotalTime>
  <Pages>2</Pages>
  <Words>504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R15-WRC15-C-0009!A22-A3!MSW-E</vt:lpstr>
    </vt:vector>
  </TitlesOfParts>
  <Manager>General Secretariat - Pool</Manager>
  <Company>International Telecommunication Union (ITU)</Company>
  <LinksUpToDate>false</LinksUpToDate>
  <CharactersWithSpaces>3592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R15-WRC15-C-0009!A22-A3!MSW-E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Hourican, Maria</cp:lastModifiedBy>
  <cp:revision>3</cp:revision>
  <cp:lastPrinted>2014-02-10T09:49:00Z</cp:lastPrinted>
  <dcterms:created xsi:type="dcterms:W3CDTF">2015-10-20T06:15:00Z</dcterms:created>
  <dcterms:modified xsi:type="dcterms:W3CDTF">2015-10-20T06:32:00Z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