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C7D30" w:rsidRDefault="006D4724" w:rsidP="00BA5BD0">
            <w:pPr>
              <w:spacing w:before="0"/>
              <w:rPr>
                <w:rFonts w:ascii="Verdana" w:hAnsi="Verdana"/>
                <w:sz w:val="20"/>
                <w:lang w:val="fr-CH"/>
              </w:rPr>
            </w:pPr>
            <w:r w:rsidRPr="004C7D30">
              <w:rPr>
                <w:rFonts w:ascii="Verdana" w:eastAsia="SimSun" w:hAnsi="Verdana" w:cs="Traditional Arabic"/>
                <w:b/>
                <w:sz w:val="20"/>
                <w:lang w:val="fr-CH"/>
              </w:rPr>
              <w:t>Addendum 3 au</w:t>
            </w:r>
            <w:r w:rsidRPr="004C7D30">
              <w:rPr>
                <w:rFonts w:ascii="Verdana" w:eastAsia="SimSun" w:hAnsi="Verdana" w:cs="Traditional Arabic"/>
                <w:b/>
                <w:sz w:val="20"/>
                <w:lang w:val="fr-CH"/>
              </w:rPr>
              <w:br/>
              <w:t>Document 9(Add.22)</w:t>
            </w:r>
            <w:r w:rsidR="00BB1D82" w:rsidRPr="004C7D30">
              <w:rPr>
                <w:rFonts w:ascii="Verdana" w:hAnsi="Verdana"/>
                <w:b/>
                <w:sz w:val="20"/>
                <w:lang w:val="fr-CH"/>
              </w:rPr>
              <w:t>-</w:t>
            </w:r>
            <w:r w:rsidRPr="004C7D30">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4C7D30"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Propositions européennes communes</w:t>
            </w:r>
          </w:p>
        </w:tc>
      </w:tr>
      <w:tr w:rsidR="00690C7B" w:rsidRPr="00226602" w:rsidTr="0050008E">
        <w:trPr>
          <w:cantSplit/>
        </w:trPr>
        <w:tc>
          <w:tcPr>
            <w:tcW w:w="10031" w:type="dxa"/>
            <w:gridSpan w:val="2"/>
          </w:tcPr>
          <w:p w:rsidR="00690C7B" w:rsidRPr="00226602" w:rsidRDefault="00226602" w:rsidP="00226602">
            <w:pPr>
              <w:pStyle w:val="Title1"/>
              <w:rPr>
                <w:lang w:val="fr-CH"/>
              </w:rPr>
            </w:pPr>
            <w:bookmarkStart w:id="4" w:name="dtitle1" w:colFirst="0" w:colLast="0"/>
            <w:bookmarkEnd w:id="3"/>
            <w:r w:rsidRPr="00226602">
              <w:rPr>
                <w:lang w:val="fr-CH"/>
              </w:rPr>
              <w:t>propositions pour les travaux de la conférence</w:t>
            </w:r>
          </w:p>
        </w:tc>
      </w:tr>
      <w:tr w:rsidR="00690C7B" w:rsidRPr="00226602" w:rsidTr="0050008E">
        <w:trPr>
          <w:cantSplit/>
        </w:trPr>
        <w:tc>
          <w:tcPr>
            <w:tcW w:w="10031" w:type="dxa"/>
            <w:gridSpan w:val="2"/>
          </w:tcPr>
          <w:p w:rsidR="00690C7B" w:rsidRPr="00226602"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9.1(9.1.3) de l'ordre du jour</w:t>
            </w:r>
          </w:p>
        </w:tc>
      </w:tr>
    </w:tbl>
    <w:bookmarkEnd w:id="6"/>
    <w:p w:rsidR="001C0E40" w:rsidRPr="00A27760" w:rsidRDefault="0034575B" w:rsidP="002075D0">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34575B" w:rsidP="002075D0">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12;</w:t>
      </w:r>
    </w:p>
    <w:p w:rsidR="001C0E40" w:rsidRPr="00370DED" w:rsidRDefault="0034575B" w:rsidP="002075D0">
      <w:pPr>
        <w:rPr>
          <w:lang w:val="fr-CH"/>
        </w:rPr>
      </w:pPr>
      <w:r>
        <w:rPr>
          <w:lang w:val="fr-CH"/>
        </w:rPr>
        <w:t>9.1(9.1.3)</w:t>
      </w:r>
      <w:r>
        <w:rPr>
          <w:lang w:val="fr-CH"/>
        </w:rPr>
        <w:tab/>
      </w:r>
      <w:r w:rsidRPr="00552143">
        <w:rPr>
          <w:lang w:val="fr-CH"/>
        </w:rPr>
        <w:t xml:space="preserve">Résolution </w:t>
      </w:r>
      <w:r w:rsidRPr="00240D3B">
        <w:rPr>
          <w:b/>
          <w:bCs/>
          <w:lang w:val="fr-CH"/>
        </w:rPr>
        <w:t>11 (CMR-12)</w:t>
      </w:r>
      <w:r w:rsidRPr="00552143">
        <w:rPr>
          <w:lang w:val="fr-CH"/>
        </w:rPr>
        <w:t xml:space="preserve"> – Utilisation de positions orbitales de satellite et de fréquences associées pour fournir des services publics internationaux de télécommunication dans les pays en développement</w:t>
      </w:r>
    </w:p>
    <w:p w:rsidR="00226602" w:rsidRPr="00945873" w:rsidRDefault="00226602" w:rsidP="002075D0">
      <w:pPr>
        <w:pStyle w:val="Headingb"/>
      </w:pPr>
      <w:r w:rsidRPr="00945873">
        <w:t>Introduction</w:t>
      </w:r>
    </w:p>
    <w:p w:rsidR="00226602" w:rsidRPr="002214E8" w:rsidRDefault="00226602" w:rsidP="002075D0">
      <w:r w:rsidRPr="002214E8">
        <w:t xml:space="preserve">Afin d'examiner l'importance des télécommunications par satellite pour la fourniture de services publics internationaux de télécommunication dans les pays en développement, la CMR-12 a adopté la Résolution 11 (CMR-12). </w:t>
      </w:r>
    </w:p>
    <w:p w:rsidR="00226602" w:rsidRPr="002214E8" w:rsidRDefault="00226602" w:rsidP="002075D0">
      <w:r w:rsidRPr="002214E8">
        <w:t>L'UIT-R a réalisé de nombreuses analyses en vue de garantir l'accès à l'orbite des satellites géostationnaires (OSG) et a adopté des Rapports et des Recommandations qui encouragent une utilisation efficace de cette orbite.</w:t>
      </w:r>
    </w:p>
    <w:p w:rsidR="00226602" w:rsidRPr="002214E8" w:rsidRDefault="00226602" w:rsidP="002075D0">
      <w:r w:rsidRPr="002214E8">
        <w:t xml:space="preserve">Dans la Résolution 11 (CMR-12), la CMR-12 a reconnu le rôle important et stratégique des communications par satellite dans les pays tant développés qu'en développement tel qu'il est </w:t>
      </w:r>
      <w:r w:rsidR="00BC3473" w:rsidRPr="002214E8">
        <w:t xml:space="preserve">également </w:t>
      </w:r>
      <w:r w:rsidRPr="002214E8">
        <w:t xml:space="preserve">décrit dans </w:t>
      </w:r>
      <w:r w:rsidR="00BC3473" w:rsidRPr="002214E8">
        <w:t xml:space="preserve">diverses </w:t>
      </w:r>
      <w:r w:rsidRPr="002214E8">
        <w:t>résolutions et décisions de plusieurs conférences de l'Organisation des Nations Unies et de l'UIT.</w:t>
      </w:r>
    </w:p>
    <w:p w:rsidR="00BC3473" w:rsidRPr="002214E8" w:rsidRDefault="00BC3473" w:rsidP="002075D0">
      <w:pPr>
        <w:rPr>
          <w:lang w:val="fr-CH"/>
        </w:rPr>
      </w:pPr>
      <w:r w:rsidRPr="002A0930">
        <w:rPr>
          <w:lang w:val="fr-CH"/>
        </w:rPr>
        <w:t>L'</w:t>
      </w:r>
      <w:r w:rsidR="00226602" w:rsidRPr="002A0930">
        <w:rPr>
          <w:lang w:val="fr-CH"/>
        </w:rPr>
        <w:t xml:space="preserve">Europe </w:t>
      </w:r>
      <w:r w:rsidRPr="002A0930">
        <w:rPr>
          <w:lang w:val="fr-CH"/>
        </w:rPr>
        <w:t>note que</w:t>
      </w:r>
      <w:r w:rsidRPr="002075D0">
        <w:rPr>
          <w:lang w:val="fr-CH"/>
        </w:rPr>
        <w:t xml:space="preserve"> </w:t>
      </w:r>
      <w:r w:rsidRPr="002214E8">
        <w:rPr>
          <w:lang w:val="fr-CH"/>
        </w:rPr>
        <w:t>d</w:t>
      </w:r>
      <w:r w:rsidRPr="002214E8">
        <w:t>e nombreuses informations ont été r</w:t>
      </w:r>
      <w:r w:rsidR="002075D0">
        <w:t>ecueillie</w:t>
      </w:r>
      <w:r w:rsidRPr="002214E8">
        <w:t xml:space="preserve">s pendant la période d'études comprise entre la CMR-12 et la CMR-15 en ce qui concerne les résultats des travaux, les pratiques et les activités en cours de l'UIT-R et de l'UIT-D qui ont trait à la Résolution 11 (CMR-12). Aucune étude n'a été présentée à l'UIT-R pour satisfaire aux dispositions du point 2 du </w:t>
      </w:r>
      <w:r w:rsidRPr="003046BF">
        <w:rPr>
          <w:i/>
          <w:iCs/>
        </w:rPr>
        <w:t>décide</w:t>
      </w:r>
      <w:r w:rsidRPr="002214E8">
        <w:t xml:space="preserve"> de la Résolution 11 (CMR-12), on peut donc en déduire que les activités en cours et les pratiques de l'UIT-R et de l'UIT-D permettent d'assurer l'amélioration de la mise à disposition de services par satellite.</w:t>
      </w:r>
    </w:p>
    <w:p w:rsidR="00BC3473" w:rsidRPr="002214E8" w:rsidRDefault="00BC3473" w:rsidP="002075D0">
      <w:pPr>
        <w:rPr>
          <w:lang w:val="fr-CH"/>
        </w:rPr>
      </w:pPr>
      <w:r w:rsidRPr="00BC3473">
        <w:rPr>
          <w:lang w:val="fr-CH"/>
        </w:rPr>
        <w:lastRenderedPageBreak/>
        <w:t xml:space="preserve">En </w:t>
      </w:r>
      <w:r w:rsidR="002075D0">
        <w:rPr>
          <w:lang w:val="fr-CH"/>
        </w:rPr>
        <w:t>fait</w:t>
      </w:r>
      <w:r w:rsidRPr="00BC3473">
        <w:rPr>
          <w:lang w:val="fr-CH"/>
        </w:rPr>
        <w:t xml:space="preserve">, l'Europe constate que </w:t>
      </w:r>
      <w:r w:rsidRPr="002214E8">
        <w:rPr>
          <w:lang w:val="fr-CH"/>
        </w:rPr>
        <w:t>le déploiement actuel de satellites sur l'orbite géostationnaire devrait permettre de répondre à la demande de services publics internationaux de télécommunication et que le principal problème rencontré par les opérateurs de satellites concerne davantage l'accès au marché dans les différents pays que le manque de ressources orbitales.</w:t>
      </w:r>
    </w:p>
    <w:p w:rsidR="00BC3473" w:rsidRPr="00BC3473" w:rsidRDefault="00BC3473" w:rsidP="002075D0">
      <w:pPr>
        <w:rPr>
          <w:lang w:val="fr-CH"/>
        </w:rPr>
      </w:pPr>
      <w:r w:rsidRPr="00BC3473">
        <w:rPr>
          <w:lang w:val="fr-CH"/>
        </w:rPr>
        <w:t xml:space="preserve">En conséquence, l'Europe </w:t>
      </w:r>
      <w:r>
        <w:rPr>
          <w:lang w:val="fr-CH"/>
        </w:rPr>
        <w:t>estime</w:t>
      </w:r>
      <w:r w:rsidRPr="00BC3473">
        <w:rPr>
          <w:lang w:val="fr-CH"/>
        </w:rPr>
        <w:t xml:space="preserve"> que </w:t>
      </w:r>
      <w:r w:rsidRPr="002214E8">
        <w:rPr>
          <w:lang w:val="fr-CH"/>
        </w:rPr>
        <w:t xml:space="preserve">les fiches de notification de réseaux à satellite devraient </w:t>
      </w:r>
      <w:r w:rsidR="008B667B" w:rsidRPr="002214E8">
        <w:rPr>
          <w:lang w:val="fr-CH"/>
        </w:rPr>
        <w:t xml:space="preserve">toutes </w:t>
      </w:r>
      <w:r w:rsidRPr="002214E8">
        <w:rPr>
          <w:lang w:val="fr-CH"/>
        </w:rPr>
        <w:t xml:space="preserve">être traitées de la même </w:t>
      </w:r>
      <w:r w:rsidR="008B667B" w:rsidRPr="002214E8">
        <w:rPr>
          <w:lang w:val="fr-CH"/>
        </w:rPr>
        <w:t>manière et sur un pied d'égalité,</w:t>
      </w:r>
      <w:r w:rsidR="008B667B">
        <w:rPr>
          <w:lang w:val="fr-CH"/>
        </w:rPr>
        <w:t xml:space="preserve"> </w:t>
      </w:r>
      <w:r w:rsidR="008B667B">
        <w:t xml:space="preserve">que les mesures réglementaires actuelles </w:t>
      </w:r>
      <w:r w:rsidR="002075D0">
        <w:t>sont suffisantes pour</w:t>
      </w:r>
      <w:r w:rsidR="0001394B">
        <w:t xml:space="preserve"> </w:t>
      </w:r>
      <w:r w:rsidR="008B667B">
        <w:t xml:space="preserve">garantir la mise à disposition de </w:t>
      </w:r>
      <w:r w:rsidR="008B667B" w:rsidRPr="002214E8">
        <w:t>positions orbitales de satellite</w:t>
      </w:r>
      <w:r w:rsidR="008B667B">
        <w:t xml:space="preserve"> et de ressources orbitales </w:t>
      </w:r>
      <w:r w:rsidR="008A328B">
        <w:t>associées</w:t>
      </w:r>
      <w:r w:rsidR="008B667B">
        <w:t xml:space="preserve"> </w:t>
      </w:r>
      <w:r w:rsidR="008B667B" w:rsidRPr="002214E8">
        <w:t>pour fournir des services publics internationaux de télécommunication dans les pays en développement,</w:t>
      </w:r>
      <w:r w:rsidR="008B667B">
        <w:t xml:space="preserve"> et </w:t>
      </w:r>
      <w:r w:rsidR="008B667B" w:rsidRPr="002214E8">
        <w:t>qu'il n'est pas nécessaire d'adopter d'autres mesures réglementaires pour cette question particulière.</w:t>
      </w:r>
      <w:r w:rsidR="008B667B">
        <w:t xml:space="preserve"> </w:t>
      </w:r>
    </w:p>
    <w:p w:rsidR="00226602" w:rsidRPr="0001394B" w:rsidRDefault="0001394B" w:rsidP="002075D0">
      <w:pPr>
        <w:rPr>
          <w:b/>
          <w:bCs/>
          <w:lang w:val="fr-CH"/>
        </w:rPr>
      </w:pPr>
      <w:r w:rsidRPr="0001394B">
        <w:rPr>
          <w:lang w:val="fr-CH"/>
        </w:rPr>
        <w:t>L'</w:t>
      </w:r>
      <w:r w:rsidR="00226602" w:rsidRPr="0001394B">
        <w:rPr>
          <w:lang w:val="fr-CH"/>
        </w:rPr>
        <w:t xml:space="preserve">Europe </w:t>
      </w:r>
      <w:r w:rsidRPr="0001394B">
        <w:rPr>
          <w:lang w:val="fr-CH"/>
        </w:rPr>
        <w:t>propose par conséquent de n'apporter aucune modification au Règlement des radiocommunications et de supprimer la R</w:t>
      </w:r>
      <w:r>
        <w:rPr>
          <w:lang w:val="fr-CH"/>
        </w:rPr>
        <w:t>é</w:t>
      </w:r>
      <w:r w:rsidR="00226602" w:rsidRPr="0001394B">
        <w:rPr>
          <w:lang w:val="fr-CH"/>
        </w:rPr>
        <w:t xml:space="preserve">solution </w:t>
      </w:r>
      <w:r w:rsidR="00226602" w:rsidRPr="002A0930">
        <w:rPr>
          <w:rStyle w:val="Strong"/>
          <w:b w:val="0"/>
          <w:bCs w:val="0"/>
          <w:lang w:val="fr-CH"/>
        </w:rPr>
        <w:t>11 (</w:t>
      </w:r>
      <w:r w:rsidRPr="002A0930">
        <w:rPr>
          <w:rStyle w:val="Strong"/>
          <w:b w:val="0"/>
          <w:bCs w:val="0"/>
          <w:lang w:val="fr-CH"/>
        </w:rPr>
        <w:t>CMR</w:t>
      </w:r>
      <w:r w:rsidR="00226602" w:rsidRPr="002A0930">
        <w:rPr>
          <w:rStyle w:val="Strong"/>
          <w:b w:val="0"/>
          <w:bCs w:val="0"/>
          <w:lang w:val="fr-CH"/>
        </w:rPr>
        <w:t>-12).</w:t>
      </w:r>
    </w:p>
    <w:p w:rsidR="0015203F" w:rsidRDefault="0015203F" w:rsidP="003046BF"/>
    <w:p w:rsidR="00F058A6" w:rsidRDefault="0034575B" w:rsidP="002075D0">
      <w:pPr>
        <w:pStyle w:val="Proposal"/>
      </w:pPr>
      <w:r>
        <w:rPr>
          <w:u w:val="single"/>
        </w:rPr>
        <w:t>NOC</w:t>
      </w:r>
      <w:r>
        <w:tab/>
        <w:t>EUR/9A22A3/1</w:t>
      </w:r>
    </w:p>
    <w:p w:rsidR="004A6A8C" w:rsidRPr="00D32B97" w:rsidRDefault="0034575B" w:rsidP="002075D0">
      <w:pPr>
        <w:pStyle w:val="ArtNo"/>
      </w:pPr>
      <w:r>
        <w:t xml:space="preserve">ARTICLE </w:t>
      </w:r>
      <w:r w:rsidRPr="00D32B97">
        <w:rPr>
          <w:rStyle w:val="href"/>
          <w:color w:val="000000"/>
        </w:rPr>
        <w:t>9</w:t>
      </w:r>
    </w:p>
    <w:p w:rsidR="004A6A8C" w:rsidRPr="00D32B97" w:rsidRDefault="0034575B" w:rsidP="002075D0">
      <w:pPr>
        <w:pStyle w:val="Arttitle"/>
      </w:pPr>
      <w:r w:rsidRPr="00D32B97">
        <w:t>Procédure à appliquer pour effectuer la coordination avec d'autres administrations ou obtenir leur accord</w:t>
      </w:r>
      <w:r w:rsidRPr="007420C6">
        <w:rPr>
          <w:rStyle w:val="FootnoteReference"/>
          <w:b w:val="0"/>
          <w:bCs/>
        </w:rPr>
        <w:t>1, 2, 3, 4, 5, 6, 7, 8, 8</w:t>
      </w:r>
      <w:r w:rsidRPr="007420C6">
        <w:rPr>
          <w:rStyle w:val="FootnoteReference"/>
          <w:b w:val="0"/>
          <w:bCs/>
          <w:i/>
          <w:iCs/>
        </w:rPr>
        <w:t>bis</w:t>
      </w:r>
      <w:r w:rsidRPr="00653F06">
        <w:rPr>
          <w:rStyle w:val="FootnoteReference"/>
        </w:rPr>
        <w:t> </w:t>
      </w:r>
      <w:r w:rsidRPr="00D32B97">
        <w:rPr>
          <w:b w:val="0"/>
          <w:bCs/>
          <w:sz w:val="16"/>
          <w:szCs w:val="16"/>
        </w:rPr>
        <w:t>   (CMR-12)</w:t>
      </w:r>
    </w:p>
    <w:p w:rsidR="00F058A6" w:rsidRDefault="00F058A6" w:rsidP="002075D0">
      <w:pPr>
        <w:pStyle w:val="Reasons"/>
      </w:pPr>
    </w:p>
    <w:p w:rsidR="00F058A6" w:rsidRDefault="0034575B" w:rsidP="002075D0">
      <w:pPr>
        <w:pStyle w:val="Proposal"/>
      </w:pPr>
      <w:r>
        <w:rPr>
          <w:u w:val="single"/>
        </w:rPr>
        <w:t>NOC</w:t>
      </w:r>
      <w:r>
        <w:tab/>
        <w:t>EUR/9A22A3/2</w:t>
      </w:r>
    </w:p>
    <w:p w:rsidR="004A6A8C" w:rsidRPr="001F58CF" w:rsidRDefault="0034575B" w:rsidP="002075D0">
      <w:pPr>
        <w:pStyle w:val="ArtNo"/>
      </w:pPr>
      <w:r w:rsidRPr="00501CC0">
        <w:t>ARTICLE</w:t>
      </w:r>
      <w:r w:rsidRPr="001F58CF">
        <w:t xml:space="preserve"> </w:t>
      </w:r>
      <w:r w:rsidRPr="001F58CF">
        <w:rPr>
          <w:rStyle w:val="href"/>
        </w:rPr>
        <w:t>11</w:t>
      </w:r>
    </w:p>
    <w:p w:rsidR="004A6A8C" w:rsidRPr="000C4F5E" w:rsidRDefault="0034575B" w:rsidP="002075D0">
      <w:pPr>
        <w:pStyle w:val="Arttitle"/>
      </w:pPr>
      <w:r w:rsidRPr="00E82312">
        <w:t>Notification et inscription des assignations</w:t>
      </w:r>
      <w:r w:rsidRPr="00E82312">
        <w:br/>
        <w:t xml:space="preserve">de </w:t>
      </w:r>
      <w:r w:rsidRPr="00463598">
        <w:t>fréquence</w:t>
      </w:r>
      <w:r w:rsidRPr="007420C6">
        <w:rPr>
          <w:rStyle w:val="FootnoteReference"/>
          <w:b w:val="0"/>
          <w:bCs/>
        </w:rPr>
        <w:t>1, 2, 3, 4, 5, 6, 7, 7</w:t>
      </w:r>
      <w:r w:rsidRPr="007420C6">
        <w:rPr>
          <w:rStyle w:val="FootnoteReference"/>
          <w:b w:val="0"/>
          <w:bCs/>
          <w:i/>
          <w:iCs/>
        </w:rPr>
        <w:t>bis</w:t>
      </w:r>
      <w:r w:rsidRPr="007420C6">
        <w:rPr>
          <w:rStyle w:val="FootnoteReference"/>
          <w:b w:val="0"/>
          <w:bCs/>
        </w:rPr>
        <w:t> </w:t>
      </w:r>
      <w:r w:rsidRPr="007420C6">
        <w:rPr>
          <w:b w:val="0"/>
          <w:bCs/>
          <w:sz w:val="16"/>
          <w:szCs w:val="16"/>
        </w:rPr>
        <w:t>  </w:t>
      </w:r>
      <w:r w:rsidRPr="00466ED8">
        <w:rPr>
          <w:b w:val="0"/>
          <w:bCs/>
          <w:sz w:val="16"/>
          <w:szCs w:val="16"/>
        </w:rPr>
        <w:t>(CMR-12)</w:t>
      </w:r>
    </w:p>
    <w:p w:rsidR="00F058A6" w:rsidRDefault="0034575B" w:rsidP="002075D0">
      <w:pPr>
        <w:pStyle w:val="Reasons"/>
      </w:pPr>
      <w:r>
        <w:rPr>
          <w:b/>
        </w:rPr>
        <w:t>Motifs:</w:t>
      </w:r>
      <w:r>
        <w:tab/>
      </w:r>
      <w:r w:rsidR="0001394B">
        <w:t xml:space="preserve">Il n'est pas nécessaire de modifier les dispositions des Articles 9 et 11 </w:t>
      </w:r>
      <w:r w:rsidR="002075D0">
        <w:t xml:space="preserve">pour </w:t>
      </w:r>
      <w:r w:rsidR="002A0930">
        <w:t>de</w:t>
      </w:r>
      <w:r w:rsidR="0001394B">
        <w:t xml:space="preserve"> garantir la mise à disposition de positions orbitales </w:t>
      </w:r>
      <w:r w:rsidR="0001394B" w:rsidRPr="0001394B">
        <w:t>de satellite et de fréquences associées pour fournir des services publics internationaux de télécommunication dans les pays en développement</w:t>
      </w:r>
      <w:r w:rsidR="0001394B">
        <w:t>.</w:t>
      </w:r>
    </w:p>
    <w:p w:rsidR="00F058A6" w:rsidRDefault="0034575B" w:rsidP="002075D0">
      <w:pPr>
        <w:pStyle w:val="Proposal"/>
      </w:pPr>
      <w:r>
        <w:t>SUP</w:t>
      </w:r>
      <w:r>
        <w:tab/>
        <w:t>EUR/9A22A3/3</w:t>
      </w:r>
    </w:p>
    <w:p w:rsidR="00DD4258" w:rsidRPr="006026AD" w:rsidRDefault="0034575B" w:rsidP="002075D0">
      <w:pPr>
        <w:pStyle w:val="ResNo"/>
        <w:rPr>
          <w:lang w:val="fr-CH"/>
        </w:rPr>
      </w:pPr>
      <w:r>
        <w:t xml:space="preserve">RÉSOLUTION </w:t>
      </w:r>
      <w:r w:rsidRPr="00A44420">
        <w:rPr>
          <w:rStyle w:val="href"/>
        </w:rPr>
        <w:t>11</w:t>
      </w:r>
      <w:r w:rsidRPr="006026AD">
        <w:rPr>
          <w:lang w:val="fr-CH"/>
        </w:rPr>
        <w:t xml:space="preserve"> (CMR-12)</w:t>
      </w:r>
    </w:p>
    <w:p w:rsidR="00DD4258" w:rsidRPr="00654ABC" w:rsidRDefault="0034575B" w:rsidP="002075D0">
      <w:pPr>
        <w:pStyle w:val="Restitle"/>
      </w:pPr>
      <w:r w:rsidRPr="00654ABC">
        <w:t xml:space="preserve">Utilisation de positions orbitales de satellite et de fréquences associées pour fournir des services publics internationaux de télécommunication </w:t>
      </w:r>
      <w:r w:rsidRPr="00654ABC">
        <w:br/>
        <w:t>dans les pays en développement</w:t>
      </w:r>
    </w:p>
    <w:p w:rsidR="00F058A6" w:rsidRDefault="0034575B" w:rsidP="002075D0">
      <w:pPr>
        <w:pStyle w:val="Reasons"/>
      </w:pPr>
      <w:r>
        <w:rPr>
          <w:b/>
        </w:rPr>
        <w:t>Motifs:</w:t>
      </w:r>
      <w:r>
        <w:tab/>
      </w:r>
      <w:r w:rsidR="0001394B">
        <w:t xml:space="preserve">Il n'est pas nécessaire d'adopter d'autres mesures réglementaires ou de mener d'autres études </w:t>
      </w:r>
      <w:r w:rsidR="002075D0">
        <w:t>pour</w:t>
      </w:r>
      <w:r w:rsidR="0001394B">
        <w:t xml:space="preserve"> garantir la mise à disposition de positions orbitales </w:t>
      </w:r>
      <w:r w:rsidR="0001394B" w:rsidRPr="0001394B">
        <w:t xml:space="preserve">de satellite et de ressources orbitales </w:t>
      </w:r>
      <w:r w:rsidR="008A328B">
        <w:t>associées</w:t>
      </w:r>
      <w:r w:rsidR="0001394B" w:rsidRPr="0001394B">
        <w:t xml:space="preserve"> pour fournir des services publics internationaux de télécommunication dans les pays en développement</w:t>
      </w:r>
      <w:r w:rsidR="0001394B">
        <w:t>.</w:t>
      </w:r>
    </w:p>
    <w:p w:rsidR="0001394B" w:rsidRDefault="0001394B" w:rsidP="0001394B">
      <w:pPr>
        <w:jc w:val="center"/>
      </w:pPr>
      <w:r>
        <w:t>______________</w:t>
      </w:r>
    </w:p>
    <w:sectPr w:rsidR="0001394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046BF" w:rsidRDefault="00936D25">
    <w:pPr>
      <w:rPr>
        <w:lang w:val="de-CH"/>
      </w:rPr>
    </w:pPr>
    <w:r>
      <w:fldChar w:fldCharType="begin"/>
    </w:r>
    <w:r w:rsidRPr="003046BF">
      <w:rPr>
        <w:lang w:val="de-CH"/>
      </w:rPr>
      <w:instrText xml:space="preserve"> FILENAME \p  \* MERGEFORMAT </w:instrText>
    </w:r>
    <w:r>
      <w:fldChar w:fldCharType="separate"/>
    </w:r>
    <w:r w:rsidR="00E82217">
      <w:rPr>
        <w:noProof/>
        <w:lang w:val="de-CH"/>
      </w:rPr>
      <w:t>P:\FRA\ITU-R\CONF-R\CMR15\000\009ADD22ADD03F.docx</w:t>
    </w:r>
    <w:r>
      <w:fldChar w:fldCharType="end"/>
    </w:r>
    <w:r w:rsidRPr="003046BF">
      <w:rPr>
        <w:lang w:val="de-CH"/>
      </w:rPr>
      <w:tab/>
    </w:r>
    <w:r>
      <w:fldChar w:fldCharType="begin"/>
    </w:r>
    <w:r>
      <w:instrText xml:space="preserve"> SAVEDATE \@ DD.MM.YY </w:instrText>
    </w:r>
    <w:r>
      <w:fldChar w:fldCharType="separate"/>
    </w:r>
    <w:r w:rsidR="00E82217">
      <w:rPr>
        <w:noProof/>
      </w:rPr>
      <w:t>25.10.15</w:t>
    </w:r>
    <w:r>
      <w:fldChar w:fldCharType="end"/>
    </w:r>
    <w:r w:rsidRPr="003046BF">
      <w:rPr>
        <w:lang w:val="de-CH"/>
      </w:rPr>
      <w:tab/>
    </w:r>
    <w:r>
      <w:fldChar w:fldCharType="begin"/>
    </w:r>
    <w:r>
      <w:instrText xml:space="preserve"> PRINTDATE \@ DD.MM.YY </w:instrText>
    </w:r>
    <w:r>
      <w:fldChar w:fldCharType="separate"/>
    </w:r>
    <w:r w:rsidR="00E82217">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82217">
      <w:rPr>
        <w:lang w:val="en-US"/>
      </w:rPr>
      <w:t>P:\FRA\ITU-R\CONF-R\CMR15\000\009ADD22ADD03F.docx</w:t>
    </w:r>
    <w:r>
      <w:fldChar w:fldCharType="end"/>
    </w:r>
    <w:r w:rsidR="00945873">
      <w:t xml:space="preserve"> (388346)</w:t>
    </w:r>
    <w:r>
      <w:rPr>
        <w:lang w:val="en-US"/>
      </w:rPr>
      <w:tab/>
    </w:r>
    <w:r>
      <w:fldChar w:fldCharType="begin"/>
    </w:r>
    <w:r>
      <w:instrText xml:space="preserve"> SAVEDATE \@ DD.MM.YY </w:instrText>
    </w:r>
    <w:r>
      <w:fldChar w:fldCharType="separate"/>
    </w:r>
    <w:r w:rsidR="00E82217">
      <w:t>25.10.15</w:t>
    </w:r>
    <w:r>
      <w:fldChar w:fldCharType="end"/>
    </w:r>
    <w:r>
      <w:rPr>
        <w:lang w:val="en-US"/>
      </w:rPr>
      <w:tab/>
    </w:r>
    <w:r>
      <w:fldChar w:fldCharType="begin"/>
    </w:r>
    <w:r>
      <w:instrText xml:space="preserve"> PRINTDATE \@ DD.MM.YY </w:instrText>
    </w:r>
    <w:r>
      <w:fldChar w:fldCharType="separate"/>
    </w:r>
    <w:r w:rsidR="00E82217">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82217">
      <w:rPr>
        <w:lang w:val="en-US"/>
      </w:rPr>
      <w:t>P:\FRA\ITU-R\CONF-R\CMR15\000\009ADD22ADD03F.docx</w:t>
    </w:r>
    <w:r>
      <w:fldChar w:fldCharType="end"/>
    </w:r>
    <w:r w:rsidR="00945873">
      <w:t xml:space="preserve"> (388346)</w:t>
    </w:r>
    <w:r>
      <w:rPr>
        <w:lang w:val="en-US"/>
      </w:rPr>
      <w:tab/>
    </w:r>
    <w:r>
      <w:fldChar w:fldCharType="begin"/>
    </w:r>
    <w:r>
      <w:instrText xml:space="preserve"> SAVEDATE \@ DD.MM.YY </w:instrText>
    </w:r>
    <w:r>
      <w:fldChar w:fldCharType="separate"/>
    </w:r>
    <w:r w:rsidR="00E82217">
      <w:t>25.10.15</w:t>
    </w:r>
    <w:r>
      <w:fldChar w:fldCharType="end"/>
    </w:r>
    <w:r>
      <w:rPr>
        <w:lang w:val="en-US"/>
      </w:rPr>
      <w:tab/>
    </w:r>
    <w:r>
      <w:fldChar w:fldCharType="begin"/>
    </w:r>
    <w:r>
      <w:instrText xml:space="preserve"> PRINTDATE \@ DD.MM.YY </w:instrText>
    </w:r>
    <w:r>
      <w:fldChar w:fldCharType="separate"/>
    </w:r>
    <w:r w:rsidR="00E82217">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82217">
      <w:rPr>
        <w:noProof/>
      </w:rPr>
      <w:t>2</w:t>
    </w:r>
    <w:r>
      <w:fldChar w:fldCharType="end"/>
    </w:r>
  </w:p>
  <w:p w:rsidR="004F1F8E" w:rsidRDefault="004F1F8E" w:rsidP="002C28A4">
    <w:pPr>
      <w:pStyle w:val="Header"/>
    </w:pPr>
    <w:r>
      <w:t>CMR1</w:t>
    </w:r>
    <w:r w:rsidR="002C28A4">
      <w:t>5</w:t>
    </w:r>
    <w:r>
      <w:t>/</w:t>
    </w:r>
    <w:r w:rsidR="006A4B45">
      <w:t>9(Add.22)(Add.3)-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94B"/>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075D0"/>
    <w:rsid w:val="002214E8"/>
    <w:rsid w:val="00226602"/>
    <w:rsid w:val="00232FD2"/>
    <w:rsid w:val="0026554E"/>
    <w:rsid w:val="00285D99"/>
    <w:rsid w:val="002A0930"/>
    <w:rsid w:val="002A4622"/>
    <w:rsid w:val="002A6F8F"/>
    <w:rsid w:val="002B17E5"/>
    <w:rsid w:val="002C0EBF"/>
    <w:rsid w:val="002C28A4"/>
    <w:rsid w:val="003046BF"/>
    <w:rsid w:val="00315AFE"/>
    <w:rsid w:val="0034575B"/>
    <w:rsid w:val="003606A6"/>
    <w:rsid w:val="0036650C"/>
    <w:rsid w:val="00393ACD"/>
    <w:rsid w:val="003A583E"/>
    <w:rsid w:val="003E112B"/>
    <w:rsid w:val="003E1D1C"/>
    <w:rsid w:val="003E4C80"/>
    <w:rsid w:val="003E7B05"/>
    <w:rsid w:val="00466211"/>
    <w:rsid w:val="004664F2"/>
    <w:rsid w:val="004834A9"/>
    <w:rsid w:val="004C7D30"/>
    <w:rsid w:val="004D01FC"/>
    <w:rsid w:val="004E28C3"/>
    <w:rsid w:val="004F1F8E"/>
    <w:rsid w:val="00512A32"/>
    <w:rsid w:val="00586CF2"/>
    <w:rsid w:val="005C3768"/>
    <w:rsid w:val="005C5974"/>
    <w:rsid w:val="005C6C3F"/>
    <w:rsid w:val="00613635"/>
    <w:rsid w:val="0062093D"/>
    <w:rsid w:val="00637ECF"/>
    <w:rsid w:val="00647B59"/>
    <w:rsid w:val="00690C7B"/>
    <w:rsid w:val="006A4B45"/>
    <w:rsid w:val="006D4724"/>
    <w:rsid w:val="00701BAE"/>
    <w:rsid w:val="00721F04"/>
    <w:rsid w:val="00730E95"/>
    <w:rsid w:val="007420C6"/>
    <w:rsid w:val="007426B9"/>
    <w:rsid w:val="00764342"/>
    <w:rsid w:val="00774362"/>
    <w:rsid w:val="00786598"/>
    <w:rsid w:val="007A04E8"/>
    <w:rsid w:val="00851625"/>
    <w:rsid w:val="00863C0A"/>
    <w:rsid w:val="008852E1"/>
    <w:rsid w:val="008A3120"/>
    <w:rsid w:val="008A328B"/>
    <w:rsid w:val="008B667B"/>
    <w:rsid w:val="008D41BE"/>
    <w:rsid w:val="008D58D3"/>
    <w:rsid w:val="00923064"/>
    <w:rsid w:val="00930FFD"/>
    <w:rsid w:val="00936D25"/>
    <w:rsid w:val="00941EA5"/>
    <w:rsid w:val="00945873"/>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C3473"/>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82217"/>
    <w:rsid w:val="00EA3F38"/>
    <w:rsid w:val="00EA5AB6"/>
    <w:rsid w:val="00EC7615"/>
    <w:rsid w:val="00ED16AA"/>
    <w:rsid w:val="00ED69FE"/>
    <w:rsid w:val="00EF662E"/>
    <w:rsid w:val="00F058A6"/>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29EC3B2-E554-41AF-9290-D01E5348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Strong">
    <w:name w:val="Strong"/>
    <w:aliases w:val="ECC HL bold"/>
    <w:basedOn w:val="DefaultParagraphFont"/>
    <w:uiPriority w:val="1"/>
    <w:qFormat/>
    <w:rsid w:val="00226602"/>
    <w:rPr>
      <w:b/>
      <w:bCs/>
    </w:rPr>
  </w:style>
  <w:style w:type="character" w:customStyle="1" w:styleId="BRNormal">
    <w:name w:val="BR_Normal"/>
    <w:basedOn w:val="DefaultParagraphFont"/>
    <w:uiPriority w:val="1"/>
    <w:qFormat/>
    <w:rsid w:val="0022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031E7-F831-401A-9B90-F106A4A71864}">
  <ds:schemaRefs>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613</Words>
  <Characters>3656</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R15-WRC15-C-0009!A22-A3!MSW-F</vt:lpstr>
    </vt:vector>
  </TitlesOfParts>
  <Manager>Secrétariat général - Pool</Manager>
  <Company>Union internationale des télécommunications (UIT)</Company>
  <LinksUpToDate>false</LinksUpToDate>
  <CharactersWithSpaces>4246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R15-WRC15-C-0009!A22-A3!MSW-F</dc:title>
  <dc:subject>Conférence mondiale des radiocommunications - 2015</dc:subject>
  <dc:creator>Documents Proposals Manager (DPM)</dc:creator>
  <cp:keywords>DPM_v5.2015.10.15_prod</cp:keywords>
  <dc:description/>
  <cp:lastModifiedBy>Jones, Jacqueline</cp:lastModifiedBy>
  <cp:revision>9</cp:revision>
  <cp:lastPrinted>2015-10-25T13:43:00Z</cp:lastPrinted>
  <dcterms:created xsi:type="dcterms:W3CDTF">2015-10-21T16:13:00Z</dcterms:created>
  <dcterms:modified xsi:type="dcterms:W3CDTF">2015-10-25T13:43:00Z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