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2E774E" w:rsidTr="0050008E">
        <w:trPr>
          <w:cantSplit/>
        </w:trPr>
        <w:tc>
          <w:tcPr>
            <w:tcW w:w="6911" w:type="dxa"/>
          </w:tcPr>
          <w:p w:rsidR="0090121B" w:rsidRPr="002E774E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2E774E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2E774E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2E774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2E774E" w:rsidRDefault="00CE7431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2E774E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E774E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2E774E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  <w:r w:rsidRPr="002E774E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2E774E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2E774E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2E774E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2E774E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2E774E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2E774E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2E774E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2E774E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2E774E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 3 al</w:t>
            </w:r>
            <w:r w:rsidRPr="002E774E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9(Add.22)</w:t>
            </w:r>
            <w:r w:rsidR="0090121B" w:rsidRPr="002E774E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2E774E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2E774E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2E774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2E774E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2E774E">
              <w:rPr>
                <w:rFonts w:ascii="Verdana" w:hAnsi="Verdana"/>
                <w:b/>
                <w:sz w:val="20"/>
                <w:lang w:val="es-ES"/>
              </w:rPr>
              <w:t>15 de octubre de 2015</w:t>
            </w:r>
          </w:p>
        </w:tc>
      </w:tr>
      <w:tr w:rsidR="000A5B9A" w:rsidRPr="002E774E" w:rsidTr="0090121B">
        <w:trPr>
          <w:cantSplit/>
        </w:trPr>
        <w:tc>
          <w:tcPr>
            <w:tcW w:w="6911" w:type="dxa"/>
          </w:tcPr>
          <w:p w:rsidR="000A5B9A" w:rsidRPr="002E774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2E774E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2E774E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2E774E" w:rsidTr="006744FC">
        <w:trPr>
          <w:cantSplit/>
        </w:trPr>
        <w:tc>
          <w:tcPr>
            <w:tcW w:w="10031" w:type="dxa"/>
            <w:gridSpan w:val="2"/>
          </w:tcPr>
          <w:p w:rsidR="000A5B9A" w:rsidRPr="002E774E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2E774E" w:rsidTr="0050008E">
        <w:trPr>
          <w:cantSplit/>
        </w:trPr>
        <w:tc>
          <w:tcPr>
            <w:tcW w:w="10031" w:type="dxa"/>
            <w:gridSpan w:val="2"/>
          </w:tcPr>
          <w:p w:rsidR="000A5B9A" w:rsidRPr="002E774E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2E774E">
              <w:rPr>
                <w:lang w:val="es-ES"/>
              </w:rPr>
              <w:t>Propuestas Comunes Europeas</w:t>
            </w:r>
          </w:p>
        </w:tc>
      </w:tr>
      <w:tr w:rsidR="000A5B9A" w:rsidRPr="002E774E" w:rsidTr="0050008E">
        <w:trPr>
          <w:cantSplit/>
        </w:trPr>
        <w:tc>
          <w:tcPr>
            <w:tcW w:w="10031" w:type="dxa"/>
            <w:gridSpan w:val="2"/>
          </w:tcPr>
          <w:p w:rsidR="000A5B9A" w:rsidRPr="002E774E" w:rsidRDefault="0040200B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2E774E">
              <w:rPr>
                <w:lang w:val="es-ES"/>
              </w:rPr>
              <w:t>propuestas para los trabajos de la conferencia</w:t>
            </w:r>
          </w:p>
        </w:tc>
      </w:tr>
      <w:tr w:rsidR="000A5B9A" w:rsidRPr="002E774E" w:rsidTr="0050008E">
        <w:trPr>
          <w:cantSplit/>
        </w:trPr>
        <w:tc>
          <w:tcPr>
            <w:tcW w:w="10031" w:type="dxa"/>
            <w:gridSpan w:val="2"/>
          </w:tcPr>
          <w:p w:rsidR="000A5B9A" w:rsidRPr="002E774E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2E774E" w:rsidTr="0050008E">
        <w:trPr>
          <w:cantSplit/>
        </w:trPr>
        <w:tc>
          <w:tcPr>
            <w:tcW w:w="10031" w:type="dxa"/>
            <w:gridSpan w:val="2"/>
          </w:tcPr>
          <w:p w:rsidR="000A5B9A" w:rsidRPr="002E774E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2E774E">
              <w:rPr>
                <w:lang w:val="es-ES"/>
              </w:rPr>
              <w:t>Punto 9.1(9.1.3) del orden del día</w:t>
            </w:r>
          </w:p>
        </w:tc>
      </w:tr>
    </w:tbl>
    <w:bookmarkEnd w:id="5"/>
    <w:p w:rsidR="006C20F8" w:rsidRPr="002E774E" w:rsidRDefault="00D33885" w:rsidP="006C20F8">
      <w:pPr>
        <w:rPr>
          <w:lang w:val="es-ES"/>
        </w:rPr>
      </w:pPr>
      <w:r w:rsidRPr="002E774E">
        <w:rPr>
          <w:lang w:val="es-ES"/>
        </w:rPr>
        <w:t>9</w:t>
      </w:r>
      <w:r w:rsidRPr="002E774E">
        <w:rPr>
          <w:lang w:val="es-ES"/>
        </w:rPr>
        <w:tab/>
        <w:t>examinar y aprobar el Informe del Director de la Oficina de Radiocomunicaciones, de conformidad con el Artículo 7 del Convenio:</w:t>
      </w:r>
    </w:p>
    <w:p w:rsidR="001C0E40" w:rsidRPr="002E774E" w:rsidRDefault="00D33885" w:rsidP="00482C06">
      <w:pPr>
        <w:rPr>
          <w:lang w:val="es-ES"/>
        </w:rPr>
      </w:pPr>
      <w:r w:rsidRPr="002E774E">
        <w:rPr>
          <w:lang w:val="es-ES"/>
        </w:rPr>
        <w:t>9.1</w:t>
      </w:r>
      <w:r w:rsidRPr="002E774E">
        <w:rPr>
          <w:lang w:val="es-ES"/>
        </w:rPr>
        <w:tab/>
        <w:t>sobre las actividades del Sector de Radiocomunicaciones desde la CMR-12;</w:t>
      </w:r>
    </w:p>
    <w:p w:rsidR="001C0E40" w:rsidRPr="002E774E" w:rsidRDefault="00D33885" w:rsidP="002E2259">
      <w:pPr>
        <w:rPr>
          <w:lang w:val="es-ES"/>
        </w:rPr>
      </w:pPr>
      <w:r w:rsidRPr="002E774E">
        <w:rPr>
          <w:lang w:val="es-ES"/>
        </w:rPr>
        <w:t xml:space="preserve">9.1(9.1.3) </w:t>
      </w:r>
      <w:r w:rsidRPr="002E774E">
        <w:rPr>
          <w:lang w:val="es-ES"/>
        </w:rPr>
        <w:tab/>
        <w:t xml:space="preserve">Resolución </w:t>
      </w:r>
      <w:r w:rsidRPr="002E774E">
        <w:rPr>
          <w:b/>
          <w:bCs/>
          <w:lang w:val="es-ES"/>
        </w:rPr>
        <w:t>11 (CMR-12)</w:t>
      </w:r>
      <w:r w:rsidRPr="002E774E">
        <w:rPr>
          <w:lang w:val="es-ES"/>
        </w:rPr>
        <w:t xml:space="preserve"> - Utilización de las posiciones orbitales de satélite y el espectro de frecuencias asociado para prestar servicios públicos de telecomunicaciones internacionales en países en desarrollo</w:t>
      </w:r>
      <w:r w:rsidR="00B8007A" w:rsidRPr="002E774E">
        <w:rPr>
          <w:lang w:val="es-ES"/>
        </w:rPr>
        <w:t>.</w:t>
      </w:r>
    </w:p>
    <w:p w:rsidR="00401969" w:rsidRPr="002E774E" w:rsidRDefault="00401969" w:rsidP="00247767">
      <w:pPr>
        <w:pStyle w:val="Headingb"/>
        <w:spacing w:before="360"/>
        <w:rPr>
          <w:lang w:val="es-ES"/>
        </w:rPr>
      </w:pPr>
      <w:r w:rsidRPr="002E774E">
        <w:rPr>
          <w:lang w:val="es-ES"/>
        </w:rPr>
        <w:t>Introducción</w:t>
      </w:r>
    </w:p>
    <w:p w:rsidR="00A11321" w:rsidRPr="002E774E" w:rsidRDefault="00A11321" w:rsidP="00B8007A">
      <w:pPr>
        <w:rPr>
          <w:lang w:val="es-ES"/>
        </w:rPr>
      </w:pPr>
      <w:r w:rsidRPr="002E774E">
        <w:rPr>
          <w:lang w:val="es-ES"/>
        </w:rPr>
        <w:t>A fin de estudiar la importancia de las telecomunicaciones por satélite para la prestación de servicios de telecomunicaciones públicas internacionales en los países en desarrollo, la CMR-12 adoptó la Resolución 11 (CMR-12).</w:t>
      </w:r>
    </w:p>
    <w:p w:rsidR="00A11321" w:rsidRPr="002E774E" w:rsidRDefault="00A11321" w:rsidP="00B8007A">
      <w:pPr>
        <w:rPr>
          <w:lang w:val="es-ES" w:eastAsia="zh-CN"/>
        </w:rPr>
      </w:pPr>
      <w:r w:rsidRPr="002E774E">
        <w:rPr>
          <w:lang w:val="es-ES" w:eastAsia="zh-CN"/>
        </w:rPr>
        <w:t xml:space="preserve">El UIT-R ha realizado numerosos análisis para garantizar el acceso a la órbita de los satélites geoestacionarios (OSG), y ha adoptado Informes y Recomendaciones que fomentan la utilización eficaz de la OSG. </w:t>
      </w:r>
    </w:p>
    <w:p w:rsidR="0058432D" w:rsidRPr="002E774E" w:rsidRDefault="0058432D" w:rsidP="00B8007A">
      <w:pPr>
        <w:rPr>
          <w:lang w:val="es-ES"/>
        </w:rPr>
      </w:pPr>
      <w:r w:rsidRPr="002E774E">
        <w:rPr>
          <w:lang w:val="es-ES"/>
        </w:rPr>
        <w:t>Con la Resolución 11 (CMR-12), la CMR-12 reconoció la importante y estratégica función de las comunicaciones por satélite tanto en los países desarrollados como en desarrollo, como reflejan las resoluciones y decisiones de diversas Conferencias de las Naciones Unidas y de la UIT.</w:t>
      </w:r>
    </w:p>
    <w:p w:rsidR="0058432D" w:rsidRPr="002E774E" w:rsidRDefault="0058432D" w:rsidP="00B8007A">
      <w:pPr>
        <w:rPr>
          <w:lang w:val="es-ES"/>
        </w:rPr>
      </w:pPr>
      <w:r w:rsidRPr="002E774E">
        <w:rPr>
          <w:lang w:val="es-ES"/>
        </w:rPr>
        <w:t>Europa observa que se ha reunido gran cantidad de información durante el ciclo de estudios entre la CMR-12 y la CMR-15 en relación con los logros, prácticas y actividades en curso del UIT-R y el UIT-D referidos a la Resolución 11 (CMR-12). N</w:t>
      </w:r>
      <w:r w:rsidR="00A11321" w:rsidRPr="002E774E">
        <w:rPr>
          <w:lang w:val="es-ES"/>
        </w:rPr>
        <w:t xml:space="preserve">o se han presentado al UIT-R estudios en relación con el </w:t>
      </w:r>
      <w:r w:rsidR="00A11321" w:rsidRPr="002E774E">
        <w:rPr>
          <w:i/>
          <w:lang w:val="es-ES"/>
        </w:rPr>
        <w:t>resuelve</w:t>
      </w:r>
      <w:r w:rsidR="00A11321" w:rsidRPr="002E774E">
        <w:rPr>
          <w:lang w:val="es-ES"/>
        </w:rPr>
        <w:t xml:space="preserve"> 2 de la Resolución 11 (CMR-12), </w:t>
      </w:r>
      <w:r w:rsidRPr="002E774E">
        <w:rPr>
          <w:lang w:val="es-ES"/>
        </w:rPr>
        <w:t xml:space="preserve">y por tanto </w:t>
      </w:r>
      <w:r w:rsidR="00A11321" w:rsidRPr="002E774E">
        <w:rPr>
          <w:lang w:val="es-ES"/>
        </w:rPr>
        <w:t xml:space="preserve">cabe deducir que las actividades y prácticas actuales del UIT-R y el UIT-D están asegurando una mayor disponibilidad de servicios de satélite. </w:t>
      </w:r>
    </w:p>
    <w:p w:rsidR="00B8007A" w:rsidRPr="002E774E" w:rsidRDefault="0058432D" w:rsidP="00B8007A">
      <w:pPr>
        <w:rPr>
          <w:lang w:val="es-ES"/>
        </w:rPr>
      </w:pPr>
      <w:r w:rsidRPr="002E774E">
        <w:rPr>
          <w:lang w:val="es-ES"/>
        </w:rPr>
        <w:t>De hecho, Europa observa que l</w:t>
      </w:r>
      <w:r w:rsidR="00A11321" w:rsidRPr="002E774E">
        <w:rPr>
          <w:lang w:val="es-ES"/>
        </w:rPr>
        <w:t>a actual puesta en servicio de satélites en la OSG debe</w:t>
      </w:r>
      <w:r w:rsidR="00B8007A" w:rsidRPr="002E774E">
        <w:rPr>
          <w:lang w:val="es-ES"/>
        </w:rPr>
        <w:t>ría</w:t>
      </w:r>
      <w:r w:rsidR="00A11321" w:rsidRPr="002E774E">
        <w:rPr>
          <w:lang w:val="es-ES"/>
        </w:rPr>
        <w:t xml:space="preserve"> satisfacer la demanda de servicios públicos de telecomunicaciones internacionales, con lo cual el problema a </w:t>
      </w:r>
      <w:r w:rsidR="00A11321" w:rsidRPr="002E774E">
        <w:rPr>
          <w:lang w:val="es-ES"/>
        </w:rPr>
        <w:lastRenderedPageBreak/>
        <w:t>que hacen frente los operadores de satélite no es la falta de recursos orbitales sino más bien el acceso a los mercados en los distintos países</w:t>
      </w:r>
      <w:r w:rsidR="00B8007A" w:rsidRPr="002E774E">
        <w:rPr>
          <w:lang w:val="es-ES"/>
        </w:rPr>
        <w:t xml:space="preserve">. </w:t>
      </w:r>
    </w:p>
    <w:p w:rsidR="00B8007A" w:rsidRPr="002E774E" w:rsidRDefault="00B8007A" w:rsidP="00B8007A">
      <w:pPr>
        <w:rPr>
          <w:lang w:val="es-ES"/>
        </w:rPr>
      </w:pPr>
      <w:r w:rsidRPr="002E774E">
        <w:rPr>
          <w:lang w:val="es-ES"/>
        </w:rPr>
        <w:t>En consecuencia, Europa considera que todas las notificaciones de redes de sa</w:t>
      </w:r>
      <w:r w:rsidR="00247767">
        <w:rPr>
          <w:lang w:val="es-ES"/>
        </w:rPr>
        <w:t>télites deberían tratarse de la</w:t>
      </w:r>
      <w:bookmarkStart w:id="6" w:name="_GoBack"/>
      <w:bookmarkEnd w:id="6"/>
      <w:r w:rsidRPr="002E774E">
        <w:rPr>
          <w:lang w:val="es-ES"/>
        </w:rPr>
        <w:t xml:space="preserve"> misma manera y en pie de igualdad, que las medidas reglamentarias en vigor son adecuadas para garantizar la disponibilidad de posiciones de satélite y recursos orbitales para prestar servicios públicos de telecomunicaciones internacionales en los países en desarrollo, y que no se requieren medidas adicionales para esta cuestión en particular. </w:t>
      </w:r>
    </w:p>
    <w:p w:rsidR="00A11321" w:rsidRPr="002E774E" w:rsidRDefault="00B8007A" w:rsidP="00B8007A">
      <w:pPr>
        <w:rPr>
          <w:lang w:val="es-ES"/>
        </w:rPr>
      </w:pPr>
      <w:r w:rsidRPr="002E774E">
        <w:rPr>
          <w:lang w:val="es-ES"/>
        </w:rPr>
        <w:t xml:space="preserve">Así pues, Europa propone que no se introduzcan cambios en el Reglamento de Radiocomunicaciones y que se suprima la Resolución 11 (CMR-12). </w:t>
      </w:r>
    </w:p>
    <w:p w:rsidR="001F3008" w:rsidRPr="002E774E" w:rsidRDefault="00D33885">
      <w:pPr>
        <w:pStyle w:val="Proposal"/>
        <w:rPr>
          <w:lang w:val="es-ES"/>
        </w:rPr>
      </w:pPr>
      <w:r w:rsidRPr="002E774E">
        <w:rPr>
          <w:u w:val="single"/>
          <w:lang w:val="es-ES"/>
        </w:rPr>
        <w:t>NOC</w:t>
      </w:r>
      <w:r w:rsidRPr="002E774E">
        <w:rPr>
          <w:lang w:val="es-ES"/>
        </w:rPr>
        <w:tab/>
        <w:t>EUR/9A22A3/1</w:t>
      </w:r>
    </w:p>
    <w:p w:rsidR="00F008F3" w:rsidRPr="002E774E" w:rsidRDefault="00D33885" w:rsidP="00D44B91">
      <w:pPr>
        <w:pStyle w:val="ArtNo"/>
        <w:rPr>
          <w:lang w:val="es-ES"/>
        </w:rPr>
      </w:pPr>
      <w:r w:rsidRPr="002E774E">
        <w:rPr>
          <w:lang w:val="es-ES"/>
        </w:rPr>
        <w:t xml:space="preserve">ARTÍCULO </w:t>
      </w:r>
      <w:r w:rsidRPr="002E774E">
        <w:rPr>
          <w:rStyle w:val="href"/>
          <w:lang w:val="es-ES"/>
        </w:rPr>
        <w:t>9</w:t>
      </w:r>
    </w:p>
    <w:p w:rsidR="00F008F3" w:rsidRPr="002E774E" w:rsidRDefault="00D33885" w:rsidP="00835B7C">
      <w:pPr>
        <w:pStyle w:val="Arttitle"/>
        <w:rPr>
          <w:b w:val="0"/>
          <w:bCs/>
          <w:sz w:val="16"/>
          <w:lang w:val="es-ES"/>
        </w:rPr>
      </w:pPr>
      <w:r w:rsidRPr="002E774E">
        <w:rPr>
          <w:lang w:val="es-ES"/>
        </w:rPr>
        <w:t xml:space="preserve">Procedimiento para efectuar la coordinación u obtener el acuerdo </w:t>
      </w:r>
      <w:r w:rsidRPr="002E774E">
        <w:rPr>
          <w:lang w:val="es-ES"/>
        </w:rPr>
        <w:br/>
        <w:t>de otras administraciones</w:t>
      </w:r>
      <w:r w:rsidRPr="002E774E">
        <w:rPr>
          <w:rStyle w:val="FootnoteReference"/>
          <w:bCs/>
          <w:szCs w:val="18"/>
          <w:lang w:val="es-ES"/>
        </w:rPr>
        <w:t>1</w:t>
      </w:r>
      <w:r w:rsidRPr="002E774E">
        <w:rPr>
          <w:bCs/>
          <w:position w:val="6"/>
          <w:sz w:val="18"/>
          <w:szCs w:val="18"/>
          <w:lang w:val="es-ES"/>
        </w:rPr>
        <w:t xml:space="preserve">, </w:t>
      </w:r>
      <w:r w:rsidRPr="002E774E">
        <w:rPr>
          <w:rStyle w:val="FootnoteReference"/>
          <w:bCs/>
          <w:szCs w:val="18"/>
          <w:lang w:val="es-ES"/>
        </w:rPr>
        <w:t>2</w:t>
      </w:r>
      <w:r w:rsidRPr="002E774E">
        <w:rPr>
          <w:bCs/>
          <w:position w:val="6"/>
          <w:sz w:val="18"/>
          <w:szCs w:val="18"/>
          <w:lang w:val="es-ES"/>
        </w:rPr>
        <w:t xml:space="preserve">, </w:t>
      </w:r>
      <w:r w:rsidRPr="002E774E">
        <w:rPr>
          <w:rStyle w:val="FootnoteReference"/>
          <w:bCs/>
          <w:szCs w:val="18"/>
          <w:lang w:val="es-ES"/>
        </w:rPr>
        <w:t>3,</w:t>
      </w:r>
      <w:r w:rsidRPr="002E774E">
        <w:rPr>
          <w:bCs/>
          <w:position w:val="6"/>
          <w:sz w:val="18"/>
          <w:szCs w:val="18"/>
          <w:lang w:val="es-ES"/>
        </w:rPr>
        <w:t xml:space="preserve"> </w:t>
      </w:r>
      <w:r w:rsidRPr="002E774E">
        <w:rPr>
          <w:rStyle w:val="FootnoteReference"/>
          <w:bCs/>
          <w:szCs w:val="18"/>
          <w:lang w:val="es-ES"/>
        </w:rPr>
        <w:t>4</w:t>
      </w:r>
      <w:r w:rsidRPr="002E774E">
        <w:rPr>
          <w:bCs/>
          <w:position w:val="6"/>
          <w:sz w:val="18"/>
          <w:szCs w:val="18"/>
          <w:lang w:val="es-ES"/>
        </w:rPr>
        <w:t xml:space="preserve">, </w:t>
      </w:r>
      <w:r w:rsidRPr="002E774E">
        <w:rPr>
          <w:rStyle w:val="FootnoteReference"/>
          <w:bCs/>
          <w:szCs w:val="18"/>
          <w:lang w:val="es-ES"/>
        </w:rPr>
        <w:t>5</w:t>
      </w:r>
      <w:r w:rsidRPr="002E774E">
        <w:rPr>
          <w:bCs/>
          <w:position w:val="6"/>
          <w:sz w:val="18"/>
          <w:szCs w:val="18"/>
          <w:lang w:val="es-ES"/>
        </w:rPr>
        <w:t xml:space="preserve">, </w:t>
      </w:r>
      <w:r w:rsidRPr="002E774E">
        <w:rPr>
          <w:rStyle w:val="FootnoteReference"/>
          <w:bCs/>
          <w:szCs w:val="18"/>
          <w:lang w:val="es-ES"/>
        </w:rPr>
        <w:t>6</w:t>
      </w:r>
      <w:r w:rsidRPr="002E774E">
        <w:rPr>
          <w:bCs/>
          <w:position w:val="6"/>
          <w:sz w:val="18"/>
          <w:szCs w:val="18"/>
          <w:lang w:val="es-ES"/>
        </w:rPr>
        <w:t xml:space="preserve">, </w:t>
      </w:r>
      <w:r w:rsidRPr="002E774E">
        <w:rPr>
          <w:rStyle w:val="FootnoteReference"/>
          <w:bCs/>
          <w:szCs w:val="18"/>
          <w:lang w:val="es-ES"/>
        </w:rPr>
        <w:t>7</w:t>
      </w:r>
      <w:r w:rsidRPr="002E774E">
        <w:rPr>
          <w:bCs/>
          <w:position w:val="6"/>
          <w:sz w:val="18"/>
          <w:szCs w:val="18"/>
          <w:lang w:val="es-ES"/>
        </w:rPr>
        <w:t xml:space="preserve">, </w:t>
      </w:r>
      <w:r w:rsidRPr="002E774E">
        <w:rPr>
          <w:rStyle w:val="FootnoteReference"/>
          <w:bCs/>
          <w:szCs w:val="18"/>
          <w:lang w:val="es-ES"/>
        </w:rPr>
        <w:t>8, 8</w:t>
      </w:r>
      <w:r w:rsidRPr="002E774E">
        <w:rPr>
          <w:rStyle w:val="FootnoteReference"/>
          <w:bCs/>
          <w:i/>
          <w:iCs/>
          <w:szCs w:val="18"/>
          <w:lang w:val="es-ES"/>
        </w:rPr>
        <w:t>bis</w:t>
      </w:r>
      <w:r w:rsidRPr="002E774E">
        <w:rPr>
          <w:b w:val="0"/>
          <w:sz w:val="16"/>
          <w:szCs w:val="16"/>
          <w:lang w:val="es-ES"/>
        </w:rPr>
        <w:t>     </w:t>
      </w:r>
      <w:r w:rsidRPr="002E774E">
        <w:rPr>
          <w:b w:val="0"/>
          <w:sz w:val="16"/>
          <w:lang w:val="es-ES"/>
        </w:rPr>
        <w:t>(CMR-12)</w:t>
      </w:r>
    </w:p>
    <w:p w:rsidR="001F3008" w:rsidRPr="002E774E" w:rsidRDefault="001F3008">
      <w:pPr>
        <w:pStyle w:val="Reasons"/>
        <w:rPr>
          <w:lang w:val="es-ES"/>
        </w:rPr>
      </w:pPr>
    </w:p>
    <w:p w:rsidR="001F3008" w:rsidRPr="002E774E" w:rsidRDefault="00D33885">
      <w:pPr>
        <w:pStyle w:val="Proposal"/>
        <w:rPr>
          <w:lang w:val="es-ES"/>
        </w:rPr>
      </w:pPr>
      <w:r w:rsidRPr="002E774E">
        <w:rPr>
          <w:u w:val="single"/>
          <w:lang w:val="es-ES"/>
        </w:rPr>
        <w:t>NOC</w:t>
      </w:r>
      <w:r w:rsidRPr="002E774E">
        <w:rPr>
          <w:lang w:val="es-ES"/>
        </w:rPr>
        <w:tab/>
        <w:t>EUR/9A22A3/2</w:t>
      </w:r>
    </w:p>
    <w:p w:rsidR="00F008F3" w:rsidRPr="002E774E" w:rsidRDefault="00D33885" w:rsidP="001A409B">
      <w:pPr>
        <w:pStyle w:val="ArtNo"/>
        <w:rPr>
          <w:lang w:val="es-ES"/>
        </w:rPr>
      </w:pPr>
      <w:r w:rsidRPr="002E774E">
        <w:rPr>
          <w:lang w:val="es-ES"/>
        </w:rPr>
        <w:t xml:space="preserve">ARTÍCULO </w:t>
      </w:r>
      <w:r w:rsidRPr="002E774E">
        <w:rPr>
          <w:rStyle w:val="href"/>
          <w:lang w:val="es-ES"/>
        </w:rPr>
        <w:t>11</w:t>
      </w:r>
    </w:p>
    <w:p w:rsidR="00F008F3" w:rsidRPr="002E774E" w:rsidRDefault="00D33885" w:rsidP="00B8007A">
      <w:pPr>
        <w:pStyle w:val="Arttitle"/>
        <w:spacing w:before="120"/>
        <w:rPr>
          <w:bCs/>
          <w:lang w:val="es-ES"/>
        </w:rPr>
      </w:pPr>
      <w:r w:rsidRPr="002E774E">
        <w:rPr>
          <w:lang w:val="es-ES"/>
        </w:rPr>
        <w:t>Notificación e inscripción de asignaciones</w:t>
      </w:r>
      <w:r w:rsidRPr="002E774E">
        <w:rPr>
          <w:lang w:val="es-ES"/>
        </w:rPr>
        <w:br/>
        <w:t>de frecuencia</w:t>
      </w:r>
      <w:r w:rsidRPr="002E774E">
        <w:rPr>
          <w:rStyle w:val="FootnoteReference"/>
          <w:bCs/>
          <w:szCs w:val="18"/>
          <w:lang w:val="es-ES"/>
        </w:rPr>
        <w:t>1</w:t>
      </w:r>
      <w:r w:rsidRPr="002E774E">
        <w:rPr>
          <w:bCs/>
          <w:position w:val="6"/>
          <w:sz w:val="18"/>
          <w:szCs w:val="18"/>
          <w:lang w:val="es-ES"/>
        </w:rPr>
        <w:t xml:space="preserve">, </w:t>
      </w:r>
      <w:r w:rsidRPr="002E774E">
        <w:rPr>
          <w:rStyle w:val="FootnoteReference"/>
          <w:bCs/>
          <w:szCs w:val="18"/>
          <w:lang w:val="es-ES"/>
        </w:rPr>
        <w:t>2</w:t>
      </w:r>
      <w:r w:rsidRPr="002E774E">
        <w:rPr>
          <w:bCs/>
          <w:position w:val="6"/>
          <w:sz w:val="18"/>
          <w:szCs w:val="18"/>
          <w:lang w:val="es-ES"/>
        </w:rPr>
        <w:t xml:space="preserve">, </w:t>
      </w:r>
      <w:r w:rsidRPr="002E774E">
        <w:rPr>
          <w:rStyle w:val="FootnoteReference"/>
          <w:bCs/>
          <w:szCs w:val="18"/>
          <w:lang w:val="es-ES"/>
        </w:rPr>
        <w:t>3</w:t>
      </w:r>
      <w:r w:rsidRPr="002E774E">
        <w:rPr>
          <w:bCs/>
          <w:position w:val="6"/>
          <w:sz w:val="18"/>
          <w:szCs w:val="18"/>
          <w:lang w:val="es-ES"/>
        </w:rPr>
        <w:t xml:space="preserve">, </w:t>
      </w:r>
      <w:r w:rsidRPr="002E774E">
        <w:rPr>
          <w:rStyle w:val="FootnoteReference"/>
          <w:bCs/>
          <w:szCs w:val="18"/>
          <w:lang w:val="es-ES"/>
        </w:rPr>
        <w:t>4</w:t>
      </w:r>
      <w:r w:rsidRPr="002E774E">
        <w:rPr>
          <w:bCs/>
          <w:position w:val="6"/>
          <w:sz w:val="18"/>
          <w:szCs w:val="18"/>
          <w:lang w:val="es-ES"/>
        </w:rPr>
        <w:t xml:space="preserve">, </w:t>
      </w:r>
      <w:r w:rsidRPr="002E774E">
        <w:rPr>
          <w:rStyle w:val="FootnoteReference"/>
          <w:bCs/>
          <w:szCs w:val="18"/>
          <w:lang w:val="es-ES"/>
        </w:rPr>
        <w:t>5</w:t>
      </w:r>
      <w:r w:rsidRPr="002E774E">
        <w:rPr>
          <w:bCs/>
          <w:position w:val="6"/>
          <w:sz w:val="18"/>
          <w:szCs w:val="18"/>
          <w:lang w:val="es-ES"/>
        </w:rPr>
        <w:t xml:space="preserve">, </w:t>
      </w:r>
      <w:r w:rsidRPr="002E774E">
        <w:rPr>
          <w:rStyle w:val="FootnoteReference"/>
          <w:bCs/>
          <w:szCs w:val="18"/>
          <w:lang w:val="es-ES"/>
        </w:rPr>
        <w:t>6</w:t>
      </w:r>
      <w:r w:rsidRPr="002E774E">
        <w:rPr>
          <w:bCs/>
          <w:position w:val="6"/>
          <w:sz w:val="18"/>
          <w:szCs w:val="18"/>
          <w:lang w:val="es-ES"/>
        </w:rPr>
        <w:t xml:space="preserve">, </w:t>
      </w:r>
      <w:r w:rsidRPr="002E774E">
        <w:rPr>
          <w:rStyle w:val="FootnoteReference"/>
          <w:bCs/>
          <w:szCs w:val="18"/>
          <w:lang w:val="es-ES"/>
        </w:rPr>
        <w:t>7,</w:t>
      </w:r>
      <w:r w:rsidRPr="002E774E">
        <w:rPr>
          <w:bCs/>
          <w:sz w:val="18"/>
          <w:szCs w:val="18"/>
          <w:lang w:val="es-ES"/>
        </w:rPr>
        <w:t xml:space="preserve"> </w:t>
      </w:r>
      <w:r w:rsidRPr="002E774E">
        <w:rPr>
          <w:bCs/>
          <w:position w:val="6"/>
          <w:sz w:val="18"/>
          <w:szCs w:val="18"/>
          <w:lang w:val="es-ES"/>
        </w:rPr>
        <w:t>7</w:t>
      </w:r>
      <w:r w:rsidRPr="002E774E">
        <w:rPr>
          <w:bCs/>
          <w:i/>
          <w:iCs/>
          <w:position w:val="6"/>
          <w:sz w:val="18"/>
          <w:szCs w:val="18"/>
          <w:lang w:val="es-ES"/>
        </w:rPr>
        <w:t>bis</w:t>
      </w:r>
      <w:r w:rsidRPr="002E774E">
        <w:rPr>
          <w:b w:val="0"/>
          <w:sz w:val="16"/>
          <w:lang w:val="es-ES"/>
        </w:rPr>
        <w:t>     (CMR</w:t>
      </w:r>
      <w:r w:rsidRPr="002E774E">
        <w:rPr>
          <w:b w:val="0"/>
          <w:sz w:val="16"/>
          <w:lang w:val="es-ES"/>
        </w:rPr>
        <w:noBreakHyphen/>
        <w:t>12)</w:t>
      </w:r>
    </w:p>
    <w:p w:rsidR="00D33885" w:rsidRPr="002E774E" w:rsidRDefault="00D33885" w:rsidP="00B8007A">
      <w:pPr>
        <w:pStyle w:val="Reasons"/>
        <w:rPr>
          <w:lang w:val="es-ES"/>
        </w:rPr>
      </w:pPr>
      <w:r w:rsidRPr="002E774E">
        <w:rPr>
          <w:b/>
          <w:lang w:val="es-ES"/>
        </w:rPr>
        <w:t>Motivos:</w:t>
      </w:r>
      <w:r w:rsidRPr="002E774E">
        <w:rPr>
          <w:lang w:val="es-ES"/>
        </w:rPr>
        <w:tab/>
        <w:t xml:space="preserve">No </w:t>
      </w:r>
      <w:r w:rsidR="00B8007A" w:rsidRPr="002E774E">
        <w:rPr>
          <w:lang w:val="es-ES"/>
        </w:rPr>
        <w:t xml:space="preserve">se requieren cambios en las disposiciones de los Artículos 9 y 11 con el fin de garantizar la disponibilidad de posiciones orbitales de satélite y el correspondiente espectro de frecuencias para prestar servicios públicos de telecomunicaciones internacionales en los países en desarrollo. </w:t>
      </w:r>
    </w:p>
    <w:p w:rsidR="001F3008" w:rsidRPr="002E774E" w:rsidRDefault="00D33885" w:rsidP="00B8007A">
      <w:pPr>
        <w:pStyle w:val="Proposal"/>
        <w:rPr>
          <w:lang w:val="es-ES"/>
        </w:rPr>
      </w:pPr>
      <w:r w:rsidRPr="002E774E">
        <w:rPr>
          <w:lang w:val="es-ES"/>
        </w:rPr>
        <w:t>SUP</w:t>
      </w:r>
      <w:r w:rsidRPr="002E774E">
        <w:rPr>
          <w:lang w:val="es-ES"/>
        </w:rPr>
        <w:tab/>
        <w:t>EUR/9A22A3/3</w:t>
      </w:r>
    </w:p>
    <w:p w:rsidR="0055573A" w:rsidRPr="002E774E" w:rsidRDefault="00D33885" w:rsidP="00B8007A">
      <w:pPr>
        <w:pStyle w:val="ResNo"/>
        <w:rPr>
          <w:lang w:val="es-ES"/>
        </w:rPr>
      </w:pPr>
      <w:bookmarkStart w:id="7" w:name="_Toc328141217"/>
      <w:r w:rsidRPr="002E774E">
        <w:rPr>
          <w:lang w:val="es-ES"/>
        </w:rPr>
        <w:t>RESOLUCIÓN 11 (cmr-12)</w:t>
      </w:r>
      <w:bookmarkEnd w:id="7"/>
    </w:p>
    <w:p w:rsidR="0055573A" w:rsidRPr="002E774E" w:rsidRDefault="00D33885" w:rsidP="00B8007A">
      <w:pPr>
        <w:pStyle w:val="Restitle"/>
        <w:rPr>
          <w:lang w:val="es-ES"/>
        </w:rPr>
      </w:pPr>
      <w:bookmarkStart w:id="8" w:name="_Toc328141218"/>
      <w:r w:rsidRPr="002E774E">
        <w:rPr>
          <w:lang w:val="es-ES"/>
        </w:rPr>
        <w:t>Utilización de las posiciones orbitales de satélite y el espectro de frecuencias asociado para prestar servicios públicos de telecomunicaciones internacionales</w:t>
      </w:r>
      <w:r w:rsidRPr="002E774E">
        <w:rPr>
          <w:lang w:val="es-ES"/>
        </w:rPr>
        <w:br/>
        <w:t>en países en desarrollo</w:t>
      </w:r>
      <w:bookmarkEnd w:id="8"/>
    </w:p>
    <w:p w:rsidR="00D33885" w:rsidRPr="002E774E" w:rsidRDefault="00D33885" w:rsidP="00B8007A">
      <w:pPr>
        <w:pStyle w:val="Reasons"/>
        <w:rPr>
          <w:rStyle w:val="BRNormal"/>
          <w:lang w:val="es-ES"/>
        </w:rPr>
      </w:pPr>
      <w:r w:rsidRPr="002E774E">
        <w:rPr>
          <w:b/>
          <w:lang w:val="es-ES"/>
        </w:rPr>
        <w:t>Motivos:</w:t>
      </w:r>
      <w:r w:rsidRPr="002E774E">
        <w:rPr>
          <w:lang w:val="es-ES"/>
        </w:rPr>
        <w:tab/>
        <w:t>No</w:t>
      </w:r>
      <w:r w:rsidR="00B8007A" w:rsidRPr="002E774E">
        <w:rPr>
          <w:lang w:val="es-ES"/>
        </w:rPr>
        <w:t xml:space="preserve"> se requieren medidas reglamentarias ni estudios adicionales para garantizar la disponibilidad de posiciones de satélite y recursos orbitales para prestar servicios públicos de telecomunicaciones internacionales en los países en desarrollo</w:t>
      </w:r>
      <w:r w:rsidRPr="002E774E">
        <w:rPr>
          <w:rStyle w:val="BRNormal"/>
          <w:lang w:val="es-ES"/>
        </w:rPr>
        <w:t>.</w:t>
      </w:r>
    </w:p>
    <w:p w:rsidR="00D33885" w:rsidRPr="002E774E" w:rsidRDefault="00D33885" w:rsidP="002E774E">
      <w:pPr>
        <w:rPr>
          <w:lang w:val="es-ES"/>
        </w:rPr>
      </w:pPr>
    </w:p>
    <w:p w:rsidR="00D33885" w:rsidRPr="002E774E" w:rsidRDefault="00D33885">
      <w:pPr>
        <w:jc w:val="center"/>
        <w:rPr>
          <w:lang w:val="es-ES"/>
        </w:rPr>
      </w:pPr>
      <w:r w:rsidRPr="002E774E">
        <w:rPr>
          <w:lang w:val="es-ES"/>
        </w:rPr>
        <w:t>______________</w:t>
      </w:r>
    </w:p>
    <w:sectPr w:rsidR="00D33885" w:rsidRPr="002E774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7767">
      <w:rPr>
        <w:noProof/>
      </w:rPr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74E" w:rsidRDefault="002E774E" w:rsidP="002E774E">
    <w:pPr>
      <w:pStyle w:val="Footer"/>
    </w:pPr>
    <w:fldSimple w:instr=" FILENAME \p  \* MERGEFORMAT ">
      <w:r>
        <w:t>P:\ESP\ITU-R\CONF-R\CMR15\000\009ADD22ADD03S.docx</w:t>
      </w:r>
    </w:fldSimple>
    <w:r>
      <w:t xml:space="preserve"> (388346)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47767">
      <w:t>22.10.15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74E" w:rsidRDefault="0024776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E774E">
      <w:t>P:\ESP\ITU-R\CONF-R\CMR15\000\009ADD22ADD03S.docx</w:t>
    </w:r>
    <w:r>
      <w:fldChar w:fldCharType="end"/>
    </w:r>
    <w:r w:rsidR="002E774E">
      <w:t xml:space="preserve"> (388346)</w:t>
    </w:r>
    <w:r w:rsidR="002E774E">
      <w:tab/>
    </w:r>
    <w:r w:rsidR="002E774E">
      <w:fldChar w:fldCharType="begin"/>
    </w:r>
    <w:r w:rsidR="002E774E">
      <w:instrText xml:space="preserve"> SAVEDATE \@ DD.MM.YY </w:instrText>
    </w:r>
    <w:r w:rsidR="002E774E">
      <w:fldChar w:fldCharType="separate"/>
    </w:r>
    <w:r>
      <w:t>22.10.15</w:t>
    </w:r>
    <w:r w:rsidR="002E774E">
      <w:fldChar w:fldCharType="end"/>
    </w:r>
    <w:r w:rsidR="002E774E">
      <w:tab/>
    </w:r>
    <w:r w:rsidR="002E774E">
      <w:fldChar w:fldCharType="begin"/>
    </w:r>
    <w:r w:rsidR="002E774E">
      <w:instrText xml:space="preserve"> PRINTDATE \@ DD.MM.YY </w:instrText>
    </w:r>
    <w:r w:rsidR="002E774E">
      <w:fldChar w:fldCharType="separate"/>
    </w:r>
    <w:r w:rsidR="002E774E">
      <w:t>19.02.03</w:t>
    </w:r>
    <w:r w:rsidR="002E774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76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9(Add.22)(Add.3)-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1F3008"/>
    <w:rsid w:val="00236D2A"/>
    <w:rsid w:val="00247767"/>
    <w:rsid w:val="00255F12"/>
    <w:rsid w:val="00262C09"/>
    <w:rsid w:val="002A791F"/>
    <w:rsid w:val="002C1B26"/>
    <w:rsid w:val="002C5D6C"/>
    <w:rsid w:val="002E701F"/>
    <w:rsid w:val="002E774E"/>
    <w:rsid w:val="003248A9"/>
    <w:rsid w:val="00324FFA"/>
    <w:rsid w:val="0032680B"/>
    <w:rsid w:val="00363A65"/>
    <w:rsid w:val="003B1E8C"/>
    <w:rsid w:val="003C2508"/>
    <w:rsid w:val="003D0AA3"/>
    <w:rsid w:val="00401969"/>
    <w:rsid w:val="0040200B"/>
    <w:rsid w:val="00440B3A"/>
    <w:rsid w:val="0045384C"/>
    <w:rsid w:val="00454553"/>
    <w:rsid w:val="004A52E3"/>
    <w:rsid w:val="004B124A"/>
    <w:rsid w:val="005133B5"/>
    <w:rsid w:val="00532097"/>
    <w:rsid w:val="0058350F"/>
    <w:rsid w:val="00583C7E"/>
    <w:rsid w:val="0058432D"/>
    <w:rsid w:val="005D46FB"/>
    <w:rsid w:val="005F2605"/>
    <w:rsid w:val="005F3B0E"/>
    <w:rsid w:val="005F559C"/>
    <w:rsid w:val="00662BA0"/>
    <w:rsid w:val="00692AAE"/>
    <w:rsid w:val="006C7336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A0DE9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321"/>
    <w:rsid w:val="00A118DB"/>
    <w:rsid w:val="00A4450C"/>
    <w:rsid w:val="00AA5E6C"/>
    <w:rsid w:val="00AE5677"/>
    <w:rsid w:val="00AE658F"/>
    <w:rsid w:val="00AF2F78"/>
    <w:rsid w:val="00B239FA"/>
    <w:rsid w:val="00B52D55"/>
    <w:rsid w:val="00B8007A"/>
    <w:rsid w:val="00B8288C"/>
    <w:rsid w:val="00BE2E80"/>
    <w:rsid w:val="00BE5EDD"/>
    <w:rsid w:val="00BE6A1F"/>
    <w:rsid w:val="00C126C4"/>
    <w:rsid w:val="00C4376E"/>
    <w:rsid w:val="00C63EB5"/>
    <w:rsid w:val="00CC01E0"/>
    <w:rsid w:val="00CD5FEE"/>
    <w:rsid w:val="00CE60D2"/>
    <w:rsid w:val="00CE7431"/>
    <w:rsid w:val="00D0288A"/>
    <w:rsid w:val="00D33885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07798F5-3685-40DE-BD20-0DCACD2C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BRNormal">
    <w:name w:val="BR_Normal"/>
    <w:basedOn w:val="DefaultParagraphFont"/>
    <w:uiPriority w:val="1"/>
    <w:qFormat/>
    <w:rsid w:val="00D3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R15-WRC15-C-0009!A22-A3!MSW-S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77C09-095D-4F48-AD18-01620C93F071}">
  <ds:schemaRefs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498E9E-0891-408D-BA6F-92F48172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R15-WRC15-C-0009!A22-A3!MSW-S</vt:lpstr>
    </vt:vector>
  </TitlesOfParts>
  <Manager>Secretaría General - Pool</Manager>
  <Company>Unión Internacional de Telecomunicaciones (UIT)</Company>
  <LinksUpToDate>false</LinksUpToDate>
  <CharactersWithSpaces>4011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R15-WRC15-C-0009!A22-A3!MSW-S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4</cp:revision>
  <cp:lastPrinted>2003-02-19T20:20:00Z</cp:lastPrinted>
  <dcterms:created xsi:type="dcterms:W3CDTF">2015-10-22T17:04:00Z</dcterms:created>
  <dcterms:modified xsi:type="dcterms:W3CDTF">2015-10-25T11:53:00Z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