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91C7D" w:rsidRDefault="003E1608" w:rsidP="00B91C7D">
            <w:pPr>
              <w:pStyle w:val="Adress"/>
              <w:framePr w:hSpace="0" w:wrap="auto" w:xAlign="left" w:yAlign="inline"/>
              <w:rPr>
                <w:rtl/>
              </w:rPr>
            </w:pPr>
            <w:r w:rsidRPr="00B91C7D">
              <w:rPr>
                <w:rtl/>
              </w:rPr>
              <w:t xml:space="preserve">الإضافة </w:t>
            </w:r>
            <w:r w:rsidRPr="00B91C7D">
              <w:t>6</w:t>
            </w:r>
            <w:r w:rsidRPr="00B91C7D">
              <w:br/>
            </w:r>
            <w:r w:rsidRPr="00B91C7D">
              <w:rPr>
                <w:rtl/>
              </w:rPr>
              <w:t xml:space="preserve">للوثيقة </w:t>
            </w:r>
            <w:r w:rsidRPr="00B91C7D">
              <w:t>9(Add.22)</w:t>
            </w:r>
            <w:r w:rsidR="00B91C7D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91C7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91C7D">
              <w:rPr>
                <w:rFonts w:eastAsia="SimSun"/>
              </w:rPr>
              <w:t>24</w:t>
            </w:r>
            <w:r w:rsidRPr="00B91C7D">
              <w:rPr>
                <w:rFonts w:eastAsia="SimSun"/>
                <w:rtl/>
              </w:rPr>
              <w:t xml:space="preserve"> يونيو </w:t>
            </w:r>
            <w:r w:rsidRPr="00B91C7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91C7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91C7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91C7D" w:rsidRDefault="00764079" w:rsidP="00030844">
            <w:pPr>
              <w:pStyle w:val="Source"/>
              <w:rPr>
                <w:rFonts w:ascii="Times New Roman" w:hAnsi="Times New Roman"/>
              </w:rPr>
            </w:pPr>
            <w:r w:rsidRPr="00B91C7D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B91C7D" w:rsidRPr="00B91C7D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91C7D" w:rsidRDefault="00B91C7D" w:rsidP="00D44350">
            <w:pPr>
              <w:pStyle w:val="Title1"/>
              <w:spacing w:before="240"/>
              <w:rPr>
                <w:rtl/>
              </w:rPr>
            </w:pPr>
            <w:r w:rsidRPr="00B91C7D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91C7D" w:rsidRDefault="00764079" w:rsidP="00B91C7D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91C7D" w:rsidRDefault="00764079" w:rsidP="00B91C7D">
            <w:pPr>
              <w:pStyle w:val="Agendaitem"/>
              <w:spacing w:before="240" w:line="192" w:lineRule="auto"/>
            </w:pPr>
            <w:r w:rsidRPr="00B91C7D">
              <w:rPr>
                <w:rFonts w:eastAsia="SimSun"/>
                <w:rtl/>
              </w:rPr>
              <w:t xml:space="preserve">البنـد </w:t>
            </w:r>
            <w:r w:rsidR="00B91C7D" w:rsidRPr="00B91C7D">
              <w:rPr>
                <w:rFonts w:eastAsia="SimSun"/>
              </w:rPr>
              <w:t>(6.1.9)</w:t>
            </w:r>
            <w:r w:rsidR="009440B2">
              <w:rPr>
                <w:rFonts w:eastAsia="SimSun"/>
                <w:lang w:val="en-US"/>
              </w:rPr>
              <w:t xml:space="preserve"> </w:t>
            </w:r>
            <w:r w:rsidR="00B91C7D" w:rsidRPr="00B91C7D">
              <w:rPr>
                <w:rFonts w:eastAsia="SimSun"/>
              </w:rPr>
              <w:t>1.9</w:t>
            </w:r>
            <w:r w:rsidRPr="00B91C7D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814B5D" w:rsidRPr="009E1730" w:rsidRDefault="009E1730" w:rsidP="009E1730">
      <w:pPr>
        <w:pStyle w:val="Normalaftertitle"/>
        <w:rPr>
          <w:rFonts w:eastAsia="SimSun"/>
          <w:rtl/>
        </w:rPr>
      </w:pPr>
      <w:r w:rsidRPr="009E1730">
        <w:rPr>
          <w:rFonts w:eastAsia="SimSun"/>
          <w:lang w:bidi="ar-SY"/>
        </w:rPr>
        <w:t>9</w:t>
      </w:r>
      <w:r w:rsidRPr="009E1730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9E1730">
        <w:rPr>
          <w:rFonts w:eastAsia="SimSun"/>
          <w:lang w:bidi="ar-SY"/>
        </w:rPr>
        <w:t>7</w:t>
      </w:r>
      <w:r w:rsidRPr="009E1730">
        <w:rPr>
          <w:rFonts w:eastAsia="SimSun" w:hint="cs"/>
          <w:rtl/>
        </w:rPr>
        <w:t xml:space="preserve"> من الاتفاقية:</w:t>
      </w:r>
    </w:p>
    <w:p w:rsidR="009E1730" w:rsidRPr="009E1730" w:rsidRDefault="009E1730" w:rsidP="00D3152A">
      <w:pPr>
        <w:rPr>
          <w:rFonts w:eastAsia="SimSun"/>
          <w:rtl/>
        </w:rPr>
      </w:pPr>
      <w:r w:rsidRPr="009E1730">
        <w:rPr>
          <w:rFonts w:eastAsia="SimSun"/>
          <w:lang w:bidi="ar-SY"/>
        </w:rPr>
        <w:t>1.9</w:t>
      </w:r>
      <w:r w:rsidRPr="009E1730">
        <w:rPr>
          <w:rFonts w:eastAsia="SimSun" w:hint="cs"/>
          <w:rtl/>
        </w:rPr>
        <w:tab/>
        <w:t>بشأن أنشطة قطاع الاتصالات الراديوية منذ المؤتمر العالمي للاتصالات الراديوية لعام</w:t>
      </w:r>
      <w:r w:rsidR="00D3152A">
        <w:rPr>
          <w:rFonts w:eastAsia="SimSun" w:hint="eastAsia"/>
          <w:rtl/>
        </w:rPr>
        <w:t> </w:t>
      </w:r>
      <w:r w:rsidRPr="009E1730">
        <w:rPr>
          <w:rFonts w:eastAsia="SimSun"/>
          <w:lang w:bidi="ar-SY"/>
        </w:rPr>
        <w:t>2012</w:t>
      </w:r>
      <w:r w:rsidRPr="009E1730">
        <w:rPr>
          <w:rFonts w:eastAsia="SimSun" w:hint="cs"/>
          <w:rtl/>
        </w:rPr>
        <w:t>؛</w:t>
      </w:r>
    </w:p>
    <w:p w:rsidR="00534840" w:rsidRPr="00431196" w:rsidRDefault="009D2DB8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6.1.9</w:t>
      </w:r>
      <w:r w:rsidRPr="00431196">
        <w:rPr>
          <w:rFonts w:eastAsia="SimSun"/>
          <w:lang w:bidi="ar-SY"/>
        </w:rPr>
        <w:t>)</w:t>
      </w:r>
      <w:r w:rsidR="00D3152A">
        <w:rPr>
          <w:rFonts w:eastAsia="SimSun"/>
          <w:lang w:bidi="ar-SY"/>
        </w:rPr>
        <w:t> 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="00D3152A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957 (WRC-12)</w:t>
      </w:r>
      <w:r w:rsidRPr="00431196">
        <w:rPr>
          <w:rFonts w:eastAsia="SimSun" w:hint="cs"/>
          <w:rtl/>
        </w:rPr>
        <w:t xml:space="preserve"> - إجراء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دراسات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بهدف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استعراض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تعاريف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="00D3152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المتنقلة</w:t>
      </w:r>
    </w:p>
    <w:p w:rsidR="00F16602" w:rsidRDefault="008F33DC" w:rsidP="008F33D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A26BB" w:rsidRDefault="00030844" w:rsidP="00D3152A">
      <w:pPr>
        <w:rPr>
          <w:i/>
          <w:iCs/>
          <w:rtl/>
          <w:lang w:bidi="ar-EG"/>
        </w:rPr>
      </w:pPr>
      <w:r>
        <w:rPr>
          <w:rFonts w:hint="cs"/>
          <w:rtl/>
        </w:rPr>
        <w:t xml:space="preserve">ينص </w:t>
      </w:r>
      <w:r w:rsidR="00D3152A">
        <w:rPr>
          <w:rFonts w:hint="cs"/>
          <w:rtl/>
        </w:rPr>
        <w:t>الق</w:t>
      </w:r>
      <w:r w:rsidR="007954C6" w:rsidRPr="007954C6">
        <w:rPr>
          <w:rFonts w:hint="cs"/>
          <w:rtl/>
        </w:rPr>
        <w:t xml:space="preserve">رار </w:t>
      </w:r>
      <w:r w:rsidR="007954C6" w:rsidRPr="007954C6">
        <w:t>957 (WRC-12)</w:t>
      </w:r>
      <w:r w:rsidR="007954C6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 w:rsidR="007954C6">
        <w:rPr>
          <w:rFonts w:hint="cs"/>
          <w:rtl/>
        </w:rPr>
        <w:t xml:space="preserve"> </w:t>
      </w:r>
      <w:r w:rsidR="007A26BB" w:rsidRPr="007F3DBC">
        <w:rPr>
          <w:rFonts w:hint="cs"/>
          <w:rtl/>
          <w:lang w:bidi="ar-EG"/>
        </w:rPr>
        <w:t xml:space="preserve">استعراض تعاريف الخدمة الثابتة والمحطة الثابتة والمحطة المتنقلة لاحتمال تعديلها </w:t>
      </w:r>
      <w:r w:rsidRPr="007F3DBC">
        <w:rPr>
          <w:rFonts w:hint="cs"/>
          <w:rtl/>
          <w:lang w:bidi="ar-EG"/>
        </w:rPr>
        <w:t xml:space="preserve">ويدعو قطاع الاتصالات الراديوية إلى إجراء الدراسات اللازمة بما في ذلك </w:t>
      </w:r>
      <w:r w:rsidR="007A26BB" w:rsidRPr="007F3DBC">
        <w:rPr>
          <w:rFonts w:hint="cs"/>
          <w:rtl/>
          <w:lang w:bidi="ar-EG"/>
        </w:rPr>
        <w:t xml:space="preserve">دراسة الأثر المحتمل </w:t>
      </w:r>
      <w:r>
        <w:rPr>
          <w:rFonts w:hint="cs"/>
          <w:rtl/>
          <w:lang w:bidi="ar-EG"/>
        </w:rPr>
        <w:t>لهذه</w:t>
      </w:r>
      <w:r w:rsidR="00D3152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التعديلات.</w:t>
      </w:r>
    </w:p>
    <w:p w:rsidR="007A26BB" w:rsidRDefault="00D3152A" w:rsidP="009440B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A26BB" w:rsidRPr="007A26BB">
        <w:rPr>
          <w:rFonts w:hint="cs"/>
          <w:rtl/>
          <w:lang w:bidi="ar-EG"/>
        </w:rPr>
        <w:t>يكلف</w:t>
      </w:r>
      <w:r w:rsidR="00700009">
        <w:rPr>
          <w:rFonts w:hint="cs"/>
          <w:rtl/>
          <w:lang w:bidi="ar-EG"/>
        </w:rPr>
        <w:t xml:space="preserve"> هذا القرار أيضاً</w:t>
      </w:r>
      <w:r w:rsidR="007A26BB" w:rsidRPr="007A26BB">
        <w:rPr>
          <w:rFonts w:hint="cs"/>
          <w:rtl/>
          <w:lang w:bidi="ar-EG"/>
        </w:rPr>
        <w:t xml:space="preserve"> مدير مكتب الاتصالات الراديوية</w:t>
      </w:r>
      <w:r w:rsidR="007A26BB">
        <w:rPr>
          <w:rFonts w:hint="cs"/>
          <w:rtl/>
          <w:lang w:bidi="ar-EG"/>
        </w:rPr>
        <w:t xml:space="preserve"> </w:t>
      </w:r>
      <w:r w:rsidR="00700009">
        <w:rPr>
          <w:rFonts w:hint="cs"/>
          <w:rtl/>
          <w:lang w:bidi="ar-EG"/>
        </w:rPr>
        <w:t>بعرض</w:t>
      </w:r>
      <w:r w:rsidR="007A26BB">
        <w:rPr>
          <w:rFonts w:hint="cs"/>
          <w:rtl/>
          <w:lang w:bidi="ar-EG"/>
        </w:rPr>
        <w:t xml:space="preserve"> نتائج هذه الدراسات في تقريره إلى المؤتمر العالمي للاتصالات الراديوية لعام</w:t>
      </w:r>
      <w:r>
        <w:rPr>
          <w:rFonts w:hint="eastAsia"/>
          <w:rtl/>
          <w:lang w:bidi="ar-EG"/>
        </w:rPr>
        <w:t> </w:t>
      </w:r>
      <w:r w:rsidR="007A26BB">
        <w:rPr>
          <w:lang w:bidi="ar-EG"/>
        </w:rPr>
        <w:t>2015</w:t>
      </w:r>
      <w:r w:rsidR="007A26BB">
        <w:rPr>
          <w:rFonts w:hint="cs"/>
          <w:rtl/>
          <w:lang w:bidi="ar-EG"/>
        </w:rPr>
        <w:t xml:space="preserve"> لينظر فيها في إطار البند</w:t>
      </w:r>
      <w:r>
        <w:rPr>
          <w:rFonts w:hint="eastAsia"/>
          <w:rtl/>
          <w:lang w:bidi="ar-EG"/>
        </w:rPr>
        <w:t> </w:t>
      </w:r>
      <w:r w:rsidR="009440B2">
        <w:rPr>
          <w:lang w:bidi="ar-EG"/>
        </w:rPr>
        <w:t>1.9</w:t>
      </w:r>
      <w:r w:rsidR="007A26BB">
        <w:rPr>
          <w:rFonts w:hint="cs"/>
          <w:rtl/>
          <w:lang w:bidi="ar-SY"/>
        </w:rPr>
        <w:t xml:space="preserve"> من جدول الأعمال </w:t>
      </w:r>
      <w:r w:rsidR="00700009">
        <w:rPr>
          <w:rFonts w:hint="cs"/>
          <w:rtl/>
          <w:lang w:bidi="ar-SY"/>
        </w:rPr>
        <w:t xml:space="preserve">(انظر القرار </w:t>
      </w:r>
      <w:r w:rsidR="00700009">
        <w:rPr>
          <w:lang w:bidi="ar-SY"/>
        </w:rPr>
        <w:t>807 (WRC</w:t>
      </w:r>
      <w:r>
        <w:rPr>
          <w:lang w:bidi="ar-SY"/>
        </w:rPr>
        <w:noBreakHyphen/>
      </w:r>
      <w:r w:rsidR="00700009">
        <w:rPr>
          <w:lang w:bidi="ar-SY"/>
        </w:rPr>
        <w:t>12)</w:t>
      </w:r>
      <w:r w:rsidR="00700009">
        <w:rPr>
          <w:rFonts w:hint="cs"/>
          <w:rtl/>
          <w:lang w:bidi="ar-EG"/>
        </w:rPr>
        <w:t>)</w:t>
      </w:r>
      <w:r w:rsidR="00700009">
        <w:rPr>
          <w:rFonts w:hint="cs"/>
          <w:rtl/>
          <w:lang w:bidi="ar-SY"/>
        </w:rPr>
        <w:t xml:space="preserve"> </w:t>
      </w:r>
      <w:r w:rsidR="007A26BB">
        <w:rPr>
          <w:rFonts w:hint="cs"/>
          <w:rtl/>
          <w:lang w:bidi="ar-EG"/>
        </w:rPr>
        <w:t>ويتخذ الإجراء الملائم</w:t>
      </w:r>
      <w:r>
        <w:rPr>
          <w:rFonts w:hint="eastAsia"/>
          <w:rtl/>
          <w:lang w:bidi="ar-EG"/>
        </w:rPr>
        <w:t> </w:t>
      </w:r>
      <w:r w:rsidR="007A26BB">
        <w:rPr>
          <w:rFonts w:hint="cs"/>
          <w:rtl/>
          <w:lang w:bidi="ar-EG"/>
        </w:rPr>
        <w:t>بشأنها.</w:t>
      </w:r>
    </w:p>
    <w:p w:rsidR="007A26BB" w:rsidRDefault="00223660" w:rsidP="00D3152A">
      <w:pPr>
        <w:rPr>
          <w:rtl/>
          <w:lang w:bidi="ar-EG"/>
        </w:rPr>
      </w:pPr>
      <w:r>
        <w:rPr>
          <w:rFonts w:hint="cs"/>
          <w:rtl/>
          <w:lang w:bidi="ar-EG"/>
        </w:rPr>
        <w:t>ترى أوروبا أنه لا</w:t>
      </w:r>
      <w:r w:rsidR="00D3152A">
        <w:rPr>
          <w:rFonts w:hint="eastAsia"/>
          <w:rtl/>
          <w:lang w:bidi="ar-EG"/>
        </w:rPr>
        <w:t> </w:t>
      </w:r>
      <w:r w:rsidR="00713FB9">
        <w:rPr>
          <w:rFonts w:hint="cs"/>
          <w:rtl/>
          <w:lang w:bidi="ar-EG"/>
        </w:rPr>
        <w:t>ضرورة</w:t>
      </w:r>
      <w:r>
        <w:rPr>
          <w:rFonts w:hint="cs"/>
          <w:rtl/>
          <w:lang w:bidi="ar-EG"/>
        </w:rPr>
        <w:t xml:space="preserve"> لتعديل التعاريف الحالية للخدمة الثابتة والمحطة الثابتة والمحطة المتنقلة. </w:t>
      </w:r>
      <w:r w:rsidR="00D3152A">
        <w:rPr>
          <w:rFonts w:hint="cs"/>
          <w:rtl/>
          <w:lang w:bidi="ar-EG"/>
        </w:rPr>
        <w:t>إذ تستعمل</w:t>
      </w:r>
      <w:r w:rsidR="00362D7B">
        <w:rPr>
          <w:rFonts w:hint="cs"/>
          <w:rtl/>
          <w:lang w:bidi="ar-EG"/>
        </w:rPr>
        <w:t xml:space="preserve"> الإدارات والاتحاد</w:t>
      </w:r>
      <w:r>
        <w:rPr>
          <w:rFonts w:hint="cs"/>
          <w:rtl/>
          <w:lang w:bidi="ar-EG"/>
        </w:rPr>
        <w:t xml:space="preserve"> التعاريف الحالية</w:t>
      </w:r>
      <w:r w:rsidR="00795C07">
        <w:rPr>
          <w:rFonts w:hint="cs"/>
          <w:rtl/>
          <w:lang w:bidi="ar-EG"/>
        </w:rPr>
        <w:t xml:space="preserve"> </w:t>
      </w:r>
      <w:r w:rsidR="00D3152A">
        <w:rPr>
          <w:rFonts w:hint="cs"/>
          <w:rtl/>
          <w:lang w:bidi="ar-EG"/>
        </w:rPr>
        <w:t>منذ عشرات السنوات</w:t>
      </w:r>
      <w:r w:rsidR="00362D7B" w:rsidRPr="00362D7B">
        <w:rPr>
          <w:rFonts w:hint="cs"/>
          <w:rtl/>
          <w:lang w:bidi="ar-EG"/>
        </w:rPr>
        <w:t xml:space="preserve"> </w:t>
      </w:r>
      <w:r w:rsidR="00362D7B">
        <w:rPr>
          <w:rFonts w:hint="cs"/>
          <w:rtl/>
          <w:lang w:bidi="ar-EG"/>
        </w:rPr>
        <w:t>بدون أي مشاكل</w:t>
      </w:r>
      <w:r>
        <w:rPr>
          <w:rFonts w:hint="cs"/>
          <w:rtl/>
          <w:lang w:bidi="ar-EG"/>
        </w:rPr>
        <w:t>.</w:t>
      </w:r>
      <w:r w:rsidR="004E68C3">
        <w:rPr>
          <w:rFonts w:hint="cs"/>
          <w:rtl/>
          <w:lang w:bidi="ar-EG"/>
        </w:rPr>
        <w:t xml:space="preserve"> وعلاوة على ذلك، فإن إدخال أي تغيير على التعاريف يمكن أن يكون له عواقب غير مقصودة </w:t>
      </w:r>
      <w:r w:rsidR="00DF2C32">
        <w:rPr>
          <w:rFonts w:hint="cs"/>
          <w:rtl/>
          <w:lang w:bidi="ar-EG"/>
        </w:rPr>
        <w:t>بالنسبة</w:t>
      </w:r>
      <w:r w:rsidR="004E68C3">
        <w:rPr>
          <w:rFonts w:hint="cs"/>
          <w:rtl/>
          <w:lang w:bidi="ar-EG"/>
        </w:rPr>
        <w:t xml:space="preserve"> </w:t>
      </w:r>
      <w:r w:rsidR="00DF2C32">
        <w:rPr>
          <w:rFonts w:hint="cs"/>
          <w:rtl/>
          <w:lang w:bidi="ar-EG"/>
        </w:rPr>
        <w:t>ل</w:t>
      </w:r>
      <w:r w:rsidR="004E68C3">
        <w:rPr>
          <w:rFonts w:hint="cs"/>
          <w:rtl/>
          <w:lang w:bidi="ar-EG"/>
        </w:rPr>
        <w:t>لاستعمال</w:t>
      </w:r>
      <w:r w:rsidR="00362D7B">
        <w:rPr>
          <w:rFonts w:hint="cs"/>
          <w:rtl/>
          <w:lang w:bidi="ar-EG"/>
        </w:rPr>
        <w:t>ات</w:t>
      </w:r>
      <w:r w:rsidR="004E68C3">
        <w:rPr>
          <w:rFonts w:hint="cs"/>
          <w:rtl/>
          <w:lang w:bidi="ar-EG"/>
        </w:rPr>
        <w:t xml:space="preserve"> والإجراءات الحالية. وقد يكون للتغيير أيضاً أثر تنظيمي سلبي على التوزيعات الحالية لخدما</w:t>
      </w:r>
      <w:r w:rsidR="008B1BDB">
        <w:rPr>
          <w:rFonts w:hint="cs"/>
          <w:rtl/>
          <w:lang w:bidi="ar-EG"/>
        </w:rPr>
        <w:t>ت الاتصالات الراديوية</w:t>
      </w:r>
      <w:r w:rsidR="00D3152A">
        <w:rPr>
          <w:rFonts w:hint="eastAsia"/>
          <w:rtl/>
          <w:lang w:bidi="ar-EG"/>
        </w:rPr>
        <w:t> </w:t>
      </w:r>
      <w:r w:rsidR="008B1BDB">
        <w:rPr>
          <w:rFonts w:hint="cs"/>
          <w:rtl/>
          <w:lang w:bidi="ar-EG"/>
        </w:rPr>
        <w:t>الأخرى.</w:t>
      </w:r>
    </w:p>
    <w:p w:rsidR="007A26BB" w:rsidRPr="00C72682" w:rsidRDefault="00C72682" w:rsidP="0048054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ولذلك، </w:t>
      </w:r>
      <w:r w:rsidR="00E22C20">
        <w:rPr>
          <w:rFonts w:hint="cs"/>
          <w:rtl/>
          <w:lang w:bidi="ar-EG"/>
        </w:rPr>
        <w:t>تدعو</w:t>
      </w:r>
      <w:r>
        <w:rPr>
          <w:rFonts w:hint="cs"/>
          <w:rtl/>
          <w:lang w:bidi="ar-EG"/>
        </w:rPr>
        <w:t xml:space="preserve"> المقترحات الأوروبية </w:t>
      </w:r>
      <w:r w:rsidR="00E22C20">
        <w:rPr>
          <w:rFonts w:hint="cs"/>
          <w:rtl/>
          <w:lang w:bidi="ar-EG"/>
        </w:rPr>
        <w:t>إلى</w:t>
      </w:r>
      <w:r w:rsidR="00362D7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عدم تغيير تعاريف الخدمة الثابتة والمحطة الثابتة والمحطة المتنقلة </w:t>
      </w:r>
      <w:r w:rsidR="00362D7B">
        <w:rPr>
          <w:rFonts w:hint="cs"/>
          <w:rtl/>
          <w:lang w:bidi="ar-EG"/>
        </w:rPr>
        <w:t xml:space="preserve">الواردة </w:t>
      </w:r>
      <w:r>
        <w:rPr>
          <w:rFonts w:hint="cs"/>
          <w:rtl/>
          <w:lang w:bidi="ar-EG"/>
        </w:rPr>
        <w:t>في</w:t>
      </w:r>
      <w:r w:rsidR="0048054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المادة</w:t>
      </w:r>
      <w:r w:rsidR="00480548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من لوائح الراديو. وإضافة إلى ذلك، يُقترح أيضاً إلغاء القرار </w:t>
      </w:r>
      <w:r>
        <w:rPr>
          <w:lang w:bidi="ar-EG"/>
        </w:rPr>
        <w:t>957 (WRC-12)</w:t>
      </w:r>
      <w:r>
        <w:rPr>
          <w:rFonts w:hint="cs"/>
          <w:rtl/>
          <w:lang w:bidi="ar-EG"/>
        </w:rPr>
        <w:t>.</w:t>
      </w:r>
    </w:p>
    <w:p w:rsidR="009F37C9" w:rsidRDefault="009D2DB8" w:rsidP="00480548">
      <w:pPr>
        <w:pStyle w:val="ArtNo"/>
        <w:keepNext/>
        <w:keepLines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9D2DB8" w:rsidP="00480548">
      <w:pPr>
        <w:pStyle w:val="Arttitle"/>
        <w:keepNext/>
        <w:keepLines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9D2DB8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III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الخدمات الراديوية</w:t>
      </w:r>
    </w:p>
    <w:p w:rsidR="00CB46B9" w:rsidRDefault="009D2DB8">
      <w:pPr>
        <w:pStyle w:val="Proposal"/>
      </w:pPr>
      <w:r>
        <w:rPr>
          <w:u w:val="single"/>
        </w:rPr>
        <w:t>NOC</w:t>
      </w:r>
      <w:r>
        <w:tab/>
        <w:t>EUR/9A22</w:t>
      </w:r>
      <w:r w:rsidR="004225A9">
        <w:t>A6</w:t>
      </w:r>
      <w:r>
        <w:t>/1</w:t>
      </w:r>
    </w:p>
    <w:p w:rsidR="009F37C9" w:rsidRDefault="009D2DB8" w:rsidP="00314618">
      <w:pPr>
        <w:rPr>
          <w:rtl/>
        </w:rPr>
      </w:pPr>
      <w:r w:rsidRPr="00C81506">
        <w:rPr>
          <w:rStyle w:val="Artdef"/>
        </w:rPr>
        <w:t>20.1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i/>
          <w:iCs/>
          <w:rtl/>
        </w:rPr>
        <w:t>الخدمة الثابتة</w:t>
      </w:r>
      <w:r>
        <w:rPr>
          <w:rtl/>
        </w:rPr>
        <w:t xml:space="preserve">:  هي خدمة </w:t>
      </w:r>
      <w:r>
        <w:rPr>
          <w:i/>
          <w:iCs/>
          <w:rtl/>
        </w:rPr>
        <w:t>اتصالات راديوية</w:t>
      </w:r>
      <w:r>
        <w:rPr>
          <w:rtl/>
        </w:rPr>
        <w:t xml:space="preserve"> بين نقاط ثابتة معينة.</w:t>
      </w:r>
    </w:p>
    <w:p w:rsidR="00CB46B9" w:rsidRDefault="009D2DB8" w:rsidP="004B42DE">
      <w:pPr>
        <w:pStyle w:val="Reasons"/>
      </w:pPr>
      <w:r>
        <w:rPr>
          <w:rtl/>
        </w:rPr>
        <w:t>الأسباب:</w:t>
      </w:r>
      <w:r>
        <w:tab/>
      </w:r>
      <w:r w:rsidR="004B42DE" w:rsidRPr="004B42DE">
        <w:rPr>
          <w:b w:val="0"/>
          <w:bCs w:val="0"/>
          <w:rtl/>
        </w:rPr>
        <w:t>لا ضرورة لتغيير هذا التعريف</w:t>
      </w:r>
      <w:r w:rsidR="004B42DE" w:rsidRPr="004B42DE">
        <w:rPr>
          <w:rFonts w:hint="cs"/>
          <w:b w:val="0"/>
          <w:bCs w:val="0"/>
          <w:rtl/>
        </w:rPr>
        <w:t>.</w:t>
      </w:r>
    </w:p>
    <w:p w:rsidR="009F37C9" w:rsidRPr="00EE6A13" w:rsidRDefault="009D2DB8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IV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المحطات والأنظمة الراديوية</w:t>
      </w:r>
    </w:p>
    <w:p w:rsidR="00CB46B9" w:rsidRDefault="009D2DB8" w:rsidP="004225A9">
      <w:pPr>
        <w:pStyle w:val="Proposal"/>
      </w:pPr>
      <w:r>
        <w:rPr>
          <w:u w:val="single"/>
        </w:rPr>
        <w:t>NOC</w:t>
      </w:r>
      <w:r>
        <w:tab/>
        <w:t>EUR/</w:t>
      </w:r>
      <w:r w:rsidR="004225A9">
        <w:t>9A22A6</w:t>
      </w:r>
      <w:r>
        <w:t>/2</w:t>
      </w:r>
    </w:p>
    <w:p w:rsidR="009F37C9" w:rsidRDefault="009D2DB8" w:rsidP="00524316">
      <w:pPr>
        <w:rPr>
          <w:rtl/>
        </w:rPr>
      </w:pPr>
      <w:r w:rsidRPr="00C81506">
        <w:rPr>
          <w:rStyle w:val="Artdef"/>
        </w:rPr>
        <w:t>66.1</w:t>
      </w:r>
      <w:r w:rsidRPr="007A3994">
        <w:rPr>
          <w:rStyle w:val="Artdef"/>
          <w:rtl/>
        </w:rPr>
        <w:tab/>
      </w:r>
      <w:r w:rsidRPr="00524316">
        <w:rPr>
          <w:i/>
          <w:iCs/>
          <w:rtl/>
        </w:rPr>
        <w:t>المحطة الثابتة</w:t>
      </w:r>
      <w:r>
        <w:rPr>
          <w:rtl/>
        </w:rPr>
        <w:t xml:space="preserve">:  هي </w:t>
      </w:r>
      <w:r w:rsidRPr="00524316">
        <w:rPr>
          <w:i/>
          <w:iCs/>
          <w:rtl/>
        </w:rPr>
        <w:t>محطة</w:t>
      </w:r>
      <w:r>
        <w:rPr>
          <w:rtl/>
        </w:rPr>
        <w:t xml:space="preserve"> في </w:t>
      </w:r>
      <w:bookmarkStart w:id="3" w:name="_GoBack"/>
      <w:r w:rsidRPr="009440B2">
        <w:rPr>
          <w:i/>
          <w:iCs/>
          <w:rtl/>
        </w:rPr>
        <w:t>الخدمة الثابتة</w:t>
      </w:r>
      <w:bookmarkEnd w:id="3"/>
      <w:r>
        <w:rPr>
          <w:rtl/>
        </w:rPr>
        <w:t>.</w:t>
      </w:r>
    </w:p>
    <w:p w:rsidR="00CB46B9" w:rsidRDefault="009D2DB8">
      <w:pPr>
        <w:pStyle w:val="Reasons"/>
      </w:pPr>
      <w:r>
        <w:rPr>
          <w:rtl/>
        </w:rPr>
        <w:t>الأسباب:</w:t>
      </w:r>
      <w:r>
        <w:tab/>
      </w:r>
      <w:r w:rsidR="004B42DE" w:rsidRPr="004B42DE">
        <w:rPr>
          <w:b w:val="0"/>
          <w:bCs w:val="0"/>
          <w:rtl/>
        </w:rPr>
        <w:t>لا ضرورة لتغيير هذا التعريف</w:t>
      </w:r>
      <w:r w:rsidR="004B42DE" w:rsidRPr="004B42DE">
        <w:rPr>
          <w:rFonts w:hint="cs"/>
          <w:b w:val="0"/>
          <w:bCs w:val="0"/>
          <w:rtl/>
        </w:rPr>
        <w:t>.</w:t>
      </w:r>
    </w:p>
    <w:p w:rsidR="00CB46B9" w:rsidRDefault="009D2DB8" w:rsidP="004225A9">
      <w:pPr>
        <w:pStyle w:val="Proposal"/>
      </w:pPr>
      <w:r>
        <w:rPr>
          <w:u w:val="single"/>
        </w:rPr>
        <w:t>NOC</w:t>
      </w:r>
      <w:r>
        <w:tab/>
        <w:t>EUR/</w:t>
      </w:r>
      <w:r w:rsidR="004225A9">
        <w:t>9A22A6</w:t>
      </w:r>
      <w:r>
        <w:t>/3</w:t>
      </w:r>
    </w:p>
    <w:p w:rsidR="009F37C9" w:rsidRDefault="009D2DB8" w:rsidP="00524316">
      <w:pPr>
        <w:rPr>
          <w:rtl/>
        </w:rPr>
      </w:pPr>
      <w:r w:rsidRPr="00C81506">
        <w:rPr>
          <w:rStyle w:val="Artdef"/>
        </w:rPr>
        <w:t>67.1</w:t>
      </w:r>
      <w:r w:rsidRPr="007A3994">
        <w:rPr>
          <w:rStyle w:val="Artdef"/>
          <w:rtl/>
        </w:rPr>
        <w:tab/>
      </w:r>
      <w:r>
        <w:rPr>
          <w:i/>
          <w:iCs/>
          <w:rtl/>
        </w:rPr>
        <w:t>المحطة المتنقلة</w:t>
      </w:r>
      <w:r>
        <w:rPr>
          <w:rtl/>
        </w:rPr>
        <w:t xml:space="preserve">:  هي </w:t>
      </w:r>
      <w:r>
        <w:rPr>
          <w:i/>
          <w:iCs/>
          <w:rtl/>
        </w:rPr>
        <w:t>محطة</w:t>
      </w:r>
      <w:r>
        <w:rPr>
          <w:rtl/>
        </w:rPr>
        <w:t xml:space="preserve"> في </w:t>
      </w:r>
      <w:r>
        <w:rPr>
          <w:i/>
          <w:iCs/>
          <w:rtl/>
        </w:rPr>
        <w:t xml:space="preserve">الخدمة المتنقلة </w:t>
      </w:r>
      <w:r>
        <w:rPr>
          <w:rtl/>
        </w:rPr>
        <w:t>معدة للاستعمال أثناء تحركها، أو أثناء توقفها في نقاط غير</w:t>
      </w:r>
      <w:r w:rsidR="00524316">
        <w:rPr>
          <w:rFonts w:hint="cs"/>
          <w:rtl/>
        </w:rPr>
        <w:t> </w:t>
      </w:r>
      <w:r>
        <w:rPr>
          <w:rtl/>
        </w:rPr>
        <w:t>محددة.</w:t>
      </w:r>
    </w:p>
    <w:p w:rsidR="00CB46B9" w:rsidRDefault="009D2DB8">
      <w:pPr>
        <w:pStyle w:val="Reasons"/>
      </w:pPr>
      <w:r>
        <w:rPr>
          <w:rtl/>
        </w:rPr>
        <w:t>الأسباب:</w:t>
      </w:r>
      <w:r>
        <w:tab/>
      </w:r>
      <w:r w:rsidR="004B42DE" w:rsidRPr="004B42DE">
        <w:rPr>
          <w:b w:val="0"/>
          <w:bCs w:val="0"/>
          <w:rtl/>
        </w:rPr>
        <w:t>لا ضرورة لتغيير هذا التعريف</w:t>
      </w:r>
      <w:r w:rsidR="004B42DE" w:rsidRPr="004B42DE">
        <w:rPr>
          <w:rFonts w:hint="cs"/>
          <w:b w:val="0"/>
          <w:bCs w:val="0"/>
          <w:rtl/>
        </w:rPr>
        <w:t>.</w:t>
      </w:r>
    </w:p>
    <w:p w:rsidR="00CB46B9" w:rsidRDefault="009D2DB8" w:rsidP="004225A9">
      <w:pPr>
        <w:pStyle w:val="Proposal"/>
      </w:pPr>
      <w:r>
        <w:t>SUP</w:t>
      </w:r>
      <w:r>
        <w:tab/>
        <w:t>EUR/</w:t>
      </w:r>
      <w:r w:rsidR="004225A9">
        <w:t>9A22A6</w:t>
      </w:r>
      <w:r>
        <w:t>/4</w:t>
      </w:r>
    </w:p>
    <w:p w:rsidR="00F26C6D" w:rsidRDefault="009D2DB8" w:rsidP="0092116E">
      <w:pPr>
        <w:pStyle w:val="ResNo"/>
        <w:rPr>
          <w:rtl/>
          <w:lang w:bidi="ar-SA"/>
        </w:rPr>
      </w:pPr>
      <w:bookmarkStart w:id="4" w:name="_Toc327956811"/>
      <w:r>
        <w:rPr>
          <w:rFonts w:hint="cs"/>
          <w:rtl/>
        </w:rPr>
        <w:t xml:space="preserve">القـرار </w:t>
      </w:r>
      <w:r w:rsidRPr="00E23BAD">
        <w:rPr>
          <w:rStyle w:val="href"/>
        </w:rPr>
        <w:t>957</w:t>
      </w:r>
      <w:r>
        <w:t> (WRC-12)</w:t>
      </w:r>
      <w:bookmarkEnd w:id="4"/>
    </w:p>
    <w:p w:rsidR="00F26C6D" w:rsidRPr="00AE0FC0" w:rsidRDefault="009D2DB8" w:rsidP="00F26C6D">
      <w:pPr>
        <w:pStyle w:val="Restitle"/>
        <w:rPr>
          <w:rtl/>
          <w:lang w:bidi="ar-EG"/>
        </w:rPr>
      </w:pPr>
      <w:bookmarkStart w:id="5" w:name="_Toc327956812"/>
      <w:r>
        <w:rPr>
          <w:rFonts w:hint="cs"/>
          <w:rtl/>
          <w:lang w:bidi="ar-EG"/>
        </w:rPr>
        <w:t xml:space="preserve">إجراء دراسات بهدف استعراض تعاريف </w:t>
      </w:r>
      <w:r w:rsidRPr="00B76FE9">
        <w:rPr>
          <w:rFonts w:hint="cs"/>
          <w:i/>
          <w:iCs/>
          <w:rtl/>
          <w:lang w:bidi="ar-EG"/>
        </w:rPr>
        <w:t>الخدمة الثابتة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 xml:space="preserve">المحطة الثابتة </w:t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>المحطة المتنقلة</w:t>
      </w:r>
      <w:bookmarkEnd w:id="5"/>
      <w:r>
        <w:rPr>
          <w:rFonts w:hint="cs"/>
          <w:rtl/>
          <w:lang w:bidi="ar-EG"/>
        </w:rPr>
        <w:t xml:space="preserve"> </w:t>
      </w:r>
    </w:p>
    <w:p w:rsidR="00CB46B9" w:rsidRDefault="009D2DB8" w:rsidP="0052431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24316">
        <w:rPr>
          <w:rFonts w:hint="cs"/>
          <w:b w:val="0"/>
          <w:bCs w:val="0"/>
          <w:rtl/>
        </w:rPr>
        <w:t>لم يعد هذا القرار ضرورياً</w:t>
      </w:r>
      <w:r w:rsidR="004B42DE" w:rsidRPr="004B42DE">
        <w:rPr>
          <w:rFonts w:hint="cs"/>
          <w:b w:val="0"/>
          <w:bCs w:val="0"/>
          <w:rtl/>
        </w:rPr>
        <w:t>.</w:t>
      </w:r>
    </w:p>
    <w:p w:rsidR="004B42DE" w:rsidRPr="004B42DE" w:rsidRDefault="004B42DE" w:rsidP="004B42DE">
      <w:pPr>
        <w:spacing w:before="600"/>
        <w:jc w:val="center"/>
      </w:pPr>
      <w:r>
        <w:rPr>
          <w:rtl/>
        </w:rPr>
        <w:t>___________</w:t>
      </w:r>
    </w:p>
    <w:sectPr w:rsidR="004B42DE" w:rsidRPr="004B42D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B8" w:rsidRPr="009D2DB8" w:rsidRDefault="009D2DB8" w:rsidP="009D2DB8">
    <w:pPr>
      <w:pStyle w:val="Footer"/>
    </w:pPr>
    <w:r>
      <w:fldChar w:fldCharType="begin"/>
    </w:r>
    <w:r w:rsidRPr="009D2DB8">
      <w:instrText xml:space="preserve"> FILENAME \p \* MERGEFORMAT </w:instrText>
    </w:r>
    <w:r>
      <w:fldChar w:fldCharType="separate"/>
    </w:r>
    <w:r w:rsidR="009440B2">
      <w:rPr>
        <w:noProof/>
      </w:rPr>
      <w:t>P:\ARA\ITU-R\CONF-R\CMR15\000\009ADD22ADD06A.docx</w:t>
    </w:r>
    <w:r>
      <w:fldChar w:fldCharType="end"/>
    </w:r>
    <w:r w:rsidRPr="009D2DB8">
      <w:t xml:space="preserve">   (</w:t>
    </w:r>
    <w:r>
      <w:t>383655</w:t>
    </w:r>
    <w:r w:rsidRPr="009D2DB8">
      <w:t>)</w:t>
    </w:r>
    <w:r w:rsidRPr="009D2DB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440B2">
      <w:rPr>
        <w:noProof/>
      </w:rPr>
      <w:t>15.07.15</w:t>
    </w:r>
    <w:r w:rsidRPr="00B12661">
      <w:fldChar w:fldCharType="end"/>
    </w:r>
    <w:r w:rsidRPr="009D2DB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440B2">
      <w:rPr>
        <w:noProof/>
      </w:rPr>
      <w:t>15.07.15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D2DB8" w:rsidRDefault="00281F5F" w:rsidP="009D2DB8">
    <w:pPr>
      <w:pStyle w:val="Footer"/>
    </w:pPr>
    <w:r>
      <w:fldChar w:fldCharType="begin"/>
    </w:r>
    <w:r w:rsidRPr="009D2DB8">
      <w:instrText xml:space="preserve"> FILENAME \p \* MERGEFORMAT </w:instrText>
    </w:r>
    <w:r>
      <w:fldChar w:fldCharType="separate"/>
    </w:r>
    <w:r w:rsidR="009440B2">
      <w:rPr>
        <w:noProof/>
      </w:rPr>
      <w:t>P:\ARA\ITU-R\CONF-R\CMR15\000\009ADD22ADD06A.docx</w:t>
    </w:r>
    <w:r>
      <w:fldChar w:fldCharType="end"/>
    </w:r>
    <w:r w:rsidRPr="009D2DB8">
      <w:t xml:space="preserve">   (</w:t>
    </w:r>
    <w:r w:rsidR="009D2DB8">
      <w:t>383655</w:t>
    </w:r>
    <w:r w:rsidRPr="009D2DB8">
      <w:t>)</w:t>
    </w:r>
    <w:r w:rsidRPr="009D2DB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440B2">
      <w:rPr>
        <w:noProof/>
      </w:rPr>
      <w:t>15.07.15</w:t>
    </w:r>
    <w:r w:rsidRPr="00B12661">
      <w:fldChar w:fldCharType="end"/>
    </w:r>
    <w:r w:rsidRPr="009D2DB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440B2">
      <w:rPr>
        <w:noProof/>
      </w:rPr>
      <w:t>15.07.15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440B2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9(Add.22)(Add.6)-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0844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65BC"/>
    <w:rsid w:val="00167364"/>
    <w:rsid w:val="001903B2"/>
    <w:rsid w:val="001E190C"/>
    <w:rsid w:val="001E54F6"/>
    <w:rsid w:val="001E5A8C"/>
    <w:rsid w:val="00201A0A"/>
    <w:rsid w:val="002075D4"/>
    <w:rsid w:val="00211B2A"/>
    <w:rsid w:val="00213489"/>
    <w:rsid w:val="00223660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62D7B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5A9"/>
    <w:rsid w:val="00422C04"/>
    <w:rsid w:val="00426144"/>
    <w:rsid w:val="00461FA7"/>
    <w:rsid w:val="00470CBD"/>
    <w:rsid w:val="0047407D"/>
    <w:rsid w:val="00480548"/>
    <w:rsid w:val="004909DD"/>
    <w:rsid w:val="004A05E6"/>
    <w:rsid w:val="004A067E"/>
    <w:rsid w:val="004A6C66"/>
    <w:rsid w:val="004A7AA0"/>
    <w:rsid w:val="004B42DE"/>
    <w:rsid w:val="004C11BC"/>
    <w:rsid w:val="004D4AE6"/>
    <w:rsid w:val="004E34FA"/>
    <w:rsid w:val="004E68C3"/>
    <w:rsid w:val="00505FCA"/>
    <w:rsid w:val="00510C2D"/>
    <w:rsid w:val="00510CD7"/>
    <w:rsid w:val="005169F4"/>
    <w:rsid w:val="005210D1"/>
    <w:rsid w:val="00523146"/>
    <w:rsid w:val="00523275"/>
    <w:rsid w:val="00524316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3696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0009"/>
    <w:rsid w:val="00713FB9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54C6"/>
    <w:rsid w:val="00795C07"/>
    <w:rsid w:val="007A0802"/>
    <w:rsid w:val="007A26BB"/>
    <w:rsid w:val="007B1FCA"/>
    <w:rsid w:val="007C2C12"/>
    <w:rsid w:val="007C3CFA"/>
    <w:rsid w:val="007E0E8B"/>
    <w:rsid w:val="007F08CA"/>
    <w:rsid w:val="007F3DBC"/>
    <w:rsid w:val="007F7FC3"/>
    <w:rsid w:val="00810482"/>
    <w:rsid w:val="00814B5D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1BDB"/>
    <w:rsid w:val="008B4E93"/>
    <w:rsid w:val="008D4F14"/>
    <w:rsid w:val="008D6ACC"/>
    <w:rsid w:val="008D7AF0"/>
    <w:rsid w:val="008E32DD"/>
    <w:rsid w:val="008F33DC"/>
    <w:rsid w:val="008F4626"/>
    <w:rsid w:val="009004DF"/>
    <w:rsid w:val="00904AA5"/>
    <w:rsid w:val="00905D21"/>
    <w:rsid w:val="009440B2"/>
    <w:rsid w:val="00951718"/>
    <w:rsid w:val="00954CCB"/>
    <w:rsid w:val="00960962"/>
    <w:rsid w:val="00972CE0"/>
    <w:rsid w:val="009A3D30"/>
    <w:rsid w:val="009B0BD8"/>
    <w:rsid w:val="009D2DB8"/>
    <w:rsid w:val="009D6348"/>
    <w:rsid w:val="009E1730"/>
    <w:rsid w:val="009E613F"/>
    <w:rsid w:val="009F042B"/>
    <w:rsid w:val="009F7BA0"/>
    <w:rsid w:val="00A03FD6"/>
    <w:rsid w:val="00A06302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1C7D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2682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46B9"/>
    <w:rsid w:val="00CC030E"/>
    <w:rsid w:val="00CC57D0"/>
    <w:rsid w:val="00CC68C4"/>
    <w:rsid w:val="00CC79A4"/>
    <w:rsid w:val="00CD0FDE"/>
    <w:rsid w:val="00CE0E68"/>
    <w:rsid w:val="00CE5BA4"/>
    <w:rsid w:val="00D25120"/>
    <w:rsid w:val="00D3152A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2C32"/>
    <w:rsid w:val="00DF3B72"/>
    <w:rsid w:val="00E10821"/>
    <w:rsid w:val="00E165ED"/>
    <w:rsid w:val="00E22C20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EF529E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584A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7A41FE2-5CFF-4BF2-AE76-353EE17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R15-WRC15-C-0009!A22-A6!MSW-A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B5801-6C14-4DA9-BD8D-8DA9ED23900E}">
  <ds:schemaRefs>
    <ds:schemaRef ds:uri="http://www.w3.org/XML/1998/namespace"/>
    <ds:schemaRef ds:uri="http://purl.org/dc/elements/1.1/"/>
    <ds:schemaRef ds:uri="http://purl.org/dc/terms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45C21275-468D-4C4F-B51B-0DD1A0F5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R15-WRC15-C-0009!A22-A6!MSW-A</vt:lpstr>
    </vt:vector>
  </TitlesOfParts>
  <Manager>General Secretariat - Pool</Manager>
  <Company>International Telecommunication Union (ITU)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R15-WRC15-C-0009!A22-A6!MSW-A</dc:title>
  <dc:creator>Documents Proposals Manager (DPM)</dc:creator>
  <cp:keywords>DPM_v5.2015.7.6_prod</cp:keywords>
  <cp:lastModifiedBy>Ajlouni, Nour</cp:lastModifiedBy>
  <cp:revision>8</cp:revision>
  <cp:lastPrinted>2015-07-15T13:39:00Z</cp:lastPrinted>
  <dcterms:created xsi:type="dcterms:W3CDTF">2015-07-15T13:36:00Z</dcterms:created>
  <dcterms:modified xsi:type="dcterms:W3CDTF">2015-07-15T14:23:00Z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