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6 to</w:t>
            </w:r>
            <w:r>
              <w:rPr>
                <w:rFonts w:ascii="Verdana" w:eastAsia="SimSun" w:hAnsi="Verdana" w:cs="Traditional Arabic"/>
                <w:b/>
                <w:sz w:val="20"/>
              </w:rPr>
              <w:br/>
              <w:t>Document 9(Add.22)</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C41C45" w:rsidRDefault="00E55816" w:rsidP="00C41C45">
            <w:pPr>
              <w:pStyle w:val="Source"/>
            </w:pPr>
            <w:r w:rsidRPr="00C41C45">
              <w:rPr>
                <w:rFonts w:eastAsia="SimSun"/>
              </w:rPr>
              <w:t>European Common Proposals</w:t>
            </w:r>
          </w:p>
        </w:tc>
      </w:tr>
      <w:tr w:rsidR="00E55816" w:rsidRPr="00C324A8" w:rsidTr="00025864">
        <w:trPr>
          <w:cantSplit/>
          <w:trHeight w:val="23"/>
        </w:trPr>
        <w:tc>
          <w:tcPr>
            <w:tcW w:w="10031" w:type="dxa"/>
            <w:gridSpan w:val="2"/>
            <w:shd w:val="clear" w:color="auto" w:fill="auto"/>
          </w:tcPr>
          <w:p w:rsidR="00E55816" w:rsidRPr="00C41C45" w:rsidRDefault="007D5320" w:rsidP="00C41C45">
            <w:pPr>
              <w:pStyle w:val="Title1"/>
            </w:pPr>
            <w:r w:rsidRPr="00C41C45">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C41C45" w:rsidRDefault="004B13CB" w:rsidP="00C41C45">
            <w:pPr>
              <w:pStyle w:val="Agendaitem"/>
            </w:pPr>
            <w:r w:rsidRPr="00C41C45">
              <w:rPr>
                <w:rFonts w:eastAsia="SimSun"/>
              </w:rPr>
              <w:t>Agenda item 9.1(9.1.6)</w:t>
            </w:r>
          </w:p>
        </w:tc>
      </w:tr>
    </w:tbl>
    <w:bookmarkEnd w:id="6"/>
    <w:bookmarkEnd w:id="7"/>
    <w:p w:rsidR="008207C3" w:rsidRPr="000002F2" w:rsidRDefault="008207C3" w:rsidP="008207C3">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053504" w:rsidRPr="000002F2" w:rsidRDefault="00053504" w:rsidP="00053504">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355BE0" w:rsidP="008758C3">
      <w:r>
        <w:t xml:space="preserve">9.1 (9.1.6) </w:t>
      </w:r>
      <w:r>
        <w:tab/>
        <w:t xml:space="preserve">Resolution </w:t>
      </w:r>
      <w:r w:rsidRPr="00B2753A">
        <w:rPr>
          <w:b/>
          <w:bCs/>
        </w:rPr>
        <w:t>957 (WRC-12)</w:t>
      </w:r>
      <w:r>
        <w:t xml:space="preserve"> − Studies towards review of the definitions of fixed service, fixed station and mobile station</w:t>
      </w:r>
    </w:p>
    <w:p w:rsidR="00363808" w:rsidRPr="00053504" w:rsidRDefault="00363808" w:rsidP="00363808">
      <w:pPr>
        <w:pStyle w:val="headingb0"/>
        <w:rPr>
          <w:lang w:val="en-US"/>
        </w:rPr>
      </w:pPr>
      <w:r w:rsidRPr="00053504">
        <w:rPr>
          <w:lang w:val="en-US"/>
        </w:rPr>
        <w:t>Introduction</w:t>
      </w:r>
    </w:p>
    <w:p w:rsidR="00363808" w:rsidRPr="002D68DF" w:rsidRDefault="00363808" w:rsidP="00363808">
      <w:r w:rsidRPr="002D68DF">
        <w:t xml:space="preserve">Resolution </w:t>
      </w:r>
      <w:r w:rsidRPr="002D68DF">
        <w:rPr>
          <w:rStyle w:val="Strong"/>
          <w:b w:val="0"/>
          <w:bCs w:val="0"/>
        </w:rPr>
        <w:t>957 (WRC-12)</w:t>
      </w:r>
      <w:r w:rsidRPr="002D68DF">
        <w:t xml:space="preserve"> resolves to review the definitions of fixed service, fixed station and mobile station for possible modification and invites ITU-R to conduct the necessary studies including on the potential impact of such modifications. </w:t>
      </w:r>
    </w:p>
    <w:p w:rsidR="00363808" w:rsidRPr="002D68DF" w:rsidRDefault="00363808" w:rsidP="00363808">
      <w:r w:rsidRPr="002D68DF">
        <w:t>The Resolution furthermore instructs the Director of the Radiocommunication Bureau to provide the results of these studies in his report to WRC-15 for conside</w:t>
      </w:r>
      <w:r w:rsidR="00114F5E" w:rsidRPr="002D68DF">
        <w:t>ration under a</w:t>
      </w:r>
      <w:r w:rsidRPr="002D68DF">
        <w:t>genda item 9.1 (see Resolution 807</w:t>
      </w:r>
      <w:r w:rsidRPr="002D68DF">
        <w:rPr>
          <w:rStyle w:val="Strong"/>
        </w:rPr>
        <w:t xml:space="preserve"> </w:t>
      </w:r>
      <w:r w:rsidRPr="002D68DF">
        <w:rPr>
          <w:rStyle w:val="Strong"/>
          <w:b w:val="0"/>
          <w:bCs w:val="0"/>
        </w:rPr>
        <w:t>(WRC-12)</w:t>
      </w:r>
      <w:r w:rsidRPr="002D68DF">
        <w:t>) and appropriate action.</w:t>
      </w:r>
    </w:p>
    <w:p w:rsidR="00363808" w:rsidRPr="002D68DF" w:rsidRDefault="00363808" w:rsidP="00363808">
      <w:r w:rsidRPr="002D68DF">
        <w:t xml:space="preserve">Europe is of the view that there is no need to modify the existing definitions of fixed service, fixed station and mobile station. The existing definitions have worked for decades both for administrations and for the ITU without any problems. Furthermore, any change to the </w:t>
      </w:r>
      <w:r w:rsidR="00250F7B" w:rsidRPr="002D68DF">
        <w:t>definitions</w:t>
      </w:r>
      <w:r w:rsidRPr="002D68DF">
        <w:t xml:space="preserve"> may have unintended </w:t>
      </w:r>
      <w:r w:rsidR="00250F7B" w:rsidRPr="002D68DF">
        <w:t>consequences</w:t>
      </w:r>
      <w:r w:rsidRPr="002D68DF">
        <w:t xml:space="preserve"> for existing use and procedures. Changes may also have negative regulatory impact on existing allocations to other radiocommunication services.</w:t>
      </w:r>
    </w:p>
    <w:p w:rsidR="00187BD9" w:rsidRPr="008207C3" w:rsidRDefault="00363808" w:rsidP="00363808">
      <w:pPr>
        <w:rPr>
          <w:lang w:val="en-US"/>
        </w:rPr>
      </w:pPr>
      <w:r w:rsidRPr="002D68DF">
        <w:t xml:space="preserve">These European Proposals therefore propose not to change the definitions of fixed service, fixed station and mobile station in Article 1 of the Radio Regulations. Furthermore it is also proposed to suppress  Resolution </w:t>
      </w:r>
      <w:r w:rsidRPr="002D68DF">
        <w:rPr>
          <w:rStyle w:val="Strong"/>
          <w:b w:val="0"/>
          <w:bCs w:val="0"/>
        </w:rPr>
        <w:t>957 (WRC-12)</w:t>
      </w:r>
      <w:r w:rsidRPr="002D68DF">
        <w:t>.</w:t>
      </w:r>
      <w:r w:rsidR="00187BD9" w:rsidRPr="008207C3">
        <w:rPr>
          <w:lang w:val="en-US"/>
        </w:rPr>
        <w:br w:type="page"/>
      </w:r>
    </w:p>
    <w:p w:rsidR="009B463A" w:rsidRDefault="00355BE0" w:rsidP="009B463A">
      <w:pPr>
        <w:pStyle w:val="ArtNo"/>
        <w:rPr>
          <w:lang w:val="en-US"/>
        </w:rPr>
      </w:pPr>
      <w:bookmarkStart w:id="8" w:name="_Toc327956572"/>
      <w:r w:rsidRPr="005A38D0">
        <w:lastRenderedPageBreak/>
        <w:t>ARTICLE</w:t>
      </w:r>
      <w:r>
        <w:rPr>
          <w:lang w:val="en-US"/>
        </w:rPr>
        <w:t xml:space="preserve"> </w:t>
      </w:r>
      <w:r>
        <w:rPr>
          <w:rStyle w:val="href"/>
          <w:rFonts w:eastAsiaTheme="majorEastAsia"/>
          <w:color w:val="000000"/>
          <w:lang w:val="en-US"/>
        </w:rPr>
        <w:t>1</w:t>
      </w:r>
      <w:bookmarkEnd w:id="8"/>
    </w:p>
    <w:p w:rsidR="009B463A" w:rsidRDefault="00355BE0" w:rsidP="009B463A">
      <w:pPr>
        <w:pStyle w:val="Arttitle"/>
        <w:rPr>
          <w:lang w:val="en-US"/>
        </w:rPr>
      </w:pPr>
      <w:bookmarkStart w:id="9" w:name="_Toc327956573"/>
      <w:r>
        <w:t xml:space="preserve">Terms </w:t>
      </w:r>
      <w:r w:rsidRPr="005A38D0">
        <w:t>and</w:t>
      </w:r>
      <w:r>
        <w:t xml:space="preserve"> definitions</w:t>
      </w:r>
      <w:bookmarkEnd w:id="9"/>
    </w:p>
    <w:p w:rsidR="009B463A" w:rsidRDefault="00355BE0" w:rsidP="009B463A">
      <w:pPr>
        <w:pStyle w:val="Section1"/>
        <w:rPr>
          <w:lang w:val="en-US"/>
        </w:rPr>
      </w:pPr>
      <w:r w:rsidRPr="00F61243">
        <w:t>Section</w:t>
      </w:r>
      <w:r>
        <w:rPr>
          <w:lang w:val="en-US"/>
        </w:rPr>
        <w:t xml:space="preserve"> III – Radio services</w:t>
      </w:r>
    </w:p>
    <w:p w:rsidR="00E0035B" w:rsidRDefault="00355BE0">
      <w:pPr>
        <w:pStyle w:val="Proposal"/>
      </w:pPr>
      <w:r>
        <w:rPr>
          <w:u w:val="single"/>
        </w:rPr>
        <w:t>NOC</w:t>
      </w:r>
      <w:r>
        <w:tab/>
        <w:t>EUR/9A22</w:t>
      </w:r>
      <w:r w:rsidR="002879EA">
        <w:t>A6</w:t>
      </w:r>
      <w:r>
        <w:t>/1</w:t>
      </w:r>
    </w:p>
    <w:p w:rsidR="009B463A" w:rsidRDefault="00355BE0" w:rsidP="009B463A">
      <w:pPr>
        <w:rPr>
          <w:lang w:val="en-US"/>
        </w:rPr>
      </w:pPr>
      <w:r w:rsidRPr="005A38D0">
        <w:rPr>
          <w:rStyle w:val="Artdef"/>
        </w:rPr>
        <w:t>1.20</w:t>
      </w:r>
      <w:r w:rsidRPr="00EF2C5C">
        <w:rPr>
          <w:rStyle w:val="Artdef"/>
        </w:rPr>
        <w:tab/>
      </w:r>
      <w:r w:rsidRPr="00EF2C5C">
        <w:rPr>
          <w:rStyle w:val="Artdef"/>
        </w:rPr>
        <w:tab/>
      </w:r>
      <w:r w:rsidRPr="00D44CC4">
        <w:rPr>
          <w:i/>
          <w:iCs/>
          <w:lang w:val="en-US"/>
        </w:rPr>
        <w:t>fixed service:  A radiocommunication service</w:t>
      </w:r>
      <w:r>
        <w:rPr>
          <w:lang w:val="en-US"/>
        </w:rPr>
        <w:t xml:space="preserve"> between specified fixed points.</w:t>
      </w:r>
    </w:p>
    <w:p w:rsidR="00E0035B" w:rsidRDefault="00355BE0">
      <w:pPr>
        <w:pStyle w:val="Reasons"/>
      </w:pPr>
      <w:r>
        <w:rPr>
          <w:b/>
        </w:rPr>
        <w:t>Reasons:</w:t>
      </w:r>
      <w:r>
        <w:tab/>
      </w:r>
      <w:r w:rsidR="00BF39E6">
        <w:t>No need to change this definition.</w:t>
      </w:r>
    </w:p>
    <w:p w:rsidR="009B463A" w:rsidRDefault="00355BE0" w:rsidP="009B463A">
      <w:pPr>
        <w:pStyle w:val="Section1"/>
        <w:rPr>
          <w:lang w:val="en-US"/>
        </w:rPr>
      </w:pPr>
      <w:r>
        <w:rPr>
          <w:lang w:val="en-US"/>
        </w:rPr>
        <w:t>Section IV – Radio stations and systems</w:t>
      </w:r>
    </w:p>
    <w:p w:rsidR="00E0035B" w:rsidRDefault="00355BE0">
      <w:pPr>
        <w:pStyle w:val="Proposal"/>
      </w:pPr>
      <w:r>
        <w:rPr>
          <w:u w:val="single"/>
        </w:rPr>
        <w:t>NOC</w:t>
      </w:r>
      <w:r>
        <w:tab/>
        <w:t>EUR/9A22</w:t>
      </w:r>
      <w:r w:rsidR="002879EA">
        <w:t>A6</w:t>
      </w:r>
      <w:r>
        <w:t>/2</w:t>
      </w:r>
    </w:p>
    <w:p w:rsidR="009B463A" w:rsidRDefault="00355BE0" w:rsidP="009B463A">
      <w:pPr>
        <w:rPr>
          <w:lang w:val="en-US"/>
        </w:rPr>
      </w:pPr>
      <w:r w:rsidRPr="00285B91">
        <w:rPr>
          <w:rStyle w:val="Artdef"/>
        </w:rPr>
        <w:t>1.66</w:t>
      </w:r>
      <w:r w:rsidRPr="00EF2C5C">
        <w:rPr>
          <w:rStyle w:val="Artdef"/>
        </w:rPr>
        <w:tab/>
      </w:r>
      <w:r w:rsidRPr="00EF2C5C">
        <w:rPr>
          <w:rStyle w:val="Artdef"/>
        </w:rPr>
        <w:tab/>
      </w:r>
      <w:r w:rsidRPr="00890103">
        <w:rPr>
          <w:i/>
          <w:iCs/>
          <w:lang w:val="en-US"/>
        </w:rPr>
        <w:t>fixed station:</w:t>
      </w:r>
      <w:r>
        <w:rPr>
          <w:lang w:val="en-US"/>
        </w:rPr>
        <w:t>  A</w:t>
      </w:r>
      <w:r w:rsidRPr="00890103">
        <w:rPr>
          <w:i/>
          <w:iCs/>
          <w:lang w:val="en-US"/>
        </w:rPr>
        <w:t xml:space="preserve"> station</w:t>
      </w:r>
      <w:r>
        <w:rPr>
          <w:lang w:val="en-US"/>
        </w:rPr>
        <w:t xml:space="preserve"> in the </w:t>
      </w:r>
      <w:r w:rsidRPr="00890103">
        <w:rPr>
          <w:i/>
          <w:iCs/>
          <w:lang w:val="en-US"/>
        </w:rPr>
        <w:t>fixed service</w:t>
      </w:r>
      <w:r>
        <w:rPr>
          <w:lang w:val="en-US"/>
        </w:rPr>
        <w:t>.</w:t>
      </w:r>
    </w:p>
    <w:p w:rsidR="00E0035B" w:rsidRDefault="00355BE0">
      <w:pPr>
        <w:pStyle w:val="Reasons"/>
      </w:pPr>
      <w:r>
        <w:rPr>
          <w:b/>
        </w:rPr>
        <w:t>Reasons:</w:t>
      </w:r>
      <w:r>
        <w:tab/>
      </w:r>
      <w:r w:rsidR="00E200D2">
        <w:t>No need to change this definition.</w:t>
      </w:r>
    </w:p>
    <w:p w:rsidR="00E0035B" w:rsidRDefault="00355BE0">
      <w:pPr>
        <w:pStyle w:val="Proposal"/>
      </w:pPr>
      <w:r>
        <w:rPr>
          <w:u w:val="single"/>
        </w:rPr>
        <w:t>NOC</w:t>
      </w:r>
      <w:r>
        <w:tab/>
        <w:t>EUR/9A22</w:t>
      </w:r>
      <w:r w:rsidR="002879EA">
        <w:t>A6</w:t>
      </w:r>
      <w:r>
        <w:t>/3</w:t>
      </w:r>
    </w:p>
    <w:p w:rsidR="009B463A" w:rsidRDefault="00355BE0" w:rsidP="009B463A">
      <w:pPr>
        <w:rPr>
          <w:lang w:val="en-US"/>
        </w:rPr>
      </w:pPr>
      <w:r w:rsidRPr="00285B91">
        <w:rPr>
          <w:rStyle w:val="Artdef"/>
        </w:rPr>
        <w:t>1.67</w:t>
      </w:r>
      <w:r w:rsidRPr="00EF2C5C">
        <w:rPr>
          <w:rStyle w:val="Artdef"/>
        </w:rPr>
        <w:tab/>
      </w:r>
      <w:r w:rsidRPr="00EF2C5C">
        <w:rPr>
          <w:rStyle w:val="Artdef"/>
        </w:rPr>
        <w:tab/>
      </w:r>
      <w:r>
        <w:rPr>
          <w:i/>
          <w:lang w:val="en-US"/>
        </w:rPr>
        <w:t>mobile station:  </w:t>
      </w:r>
      <w:r>
        <w:rPr>
          <w:lang w:val="en-US"/>
        </w:rPr>
        <w:t>A</w:t>
      </w:r>
      <w:r>
        <w:rPr>
          <w:i/>
          <w:lang w:val="en-US"/>
        </w:rPr>
        <w:t xml:space="preserve"> station</w:t>
      </w:r>
      <w:r>
        <w:rPr>
          <w:lang w:val="en-US"/>
        </w:rPr>
        <w:t xml:space="preserve"> in the</w:t>
      </w:r>
      <w:r>
        <w:rPr>
          <w:i/>
          <w:lang w:val="en-US"/>
        </w:rPr>
        <w:t xml:space="preserve"> mobile service</w:t>
      </w:r>
      <w:r>
        <w:rPr>
          <w:lang w:val="en-US"/>
        </w:rPr>
        <w:t xml:space="preserve"> intended to be used while in motion or during halts at unspecified points.</w:t>
      </w:r>
    </w:p>
    <w:p w:rsidR="00E0035B" w:rsidRDefault="00355BE0">
      <w:pPr>
        <w:pStyle w:val="Reasons"/>
      </w:pPr>
      <w:r>
        <w:rPr>
          <w:b/>
        </w:rPr>
        <w:t>Reasons:</w:t>
      </w:r>
      <w:r>
        <w:tab/>
      </w:r>
      <w:r w:rsidR="00E200D2">
        <w:t>No need to change this definition.</w:t>
      </w:r>
    </w:p>
    <w:p w:rsidR="00E0035B" w:rsidRDefault="00355BE0">
      <w:pPr>
        <w:pStyle w:val="Proposal"/>
      </w:pPr>
      <w:r>
        <w:t>SUP</w:t>
      </w:r>
      <w:r>
        <w:tab/>
        <w:t>EUR/9A22</w:t>
      </w:r>
      <w:r w:rsidR="002879EA">
        <w:t>A6</w:t>
      </w:r>
      <w:r>
        <w:t>/4</w:t>
      </w:r>
    </w:p>
    <w:p w:rsidR="004415B9" w:rsidRPr="006905BC" w:rsidRDefault="00355BE0" w:rsidP="004415B9">
      <w:pPr>
        <w:pStyle w:val="ResNo"/>
      </w:pPr>
      <w:r w:rsidRPr="006905BC">
        <w:t xml:space="preserve">RESOLUTION </w:t>
      </w:r>
      <w:r w:rsidRPr="006905BC">
        <w:rPr>
          <w:rStyle w:val="href"/>
        </w:rPr>
        <w:t>957</w:t>
      </w:r>
      <w:r w:rsidRPr="006905BC">
        <w:t xml:space="preserve"> (WRC</w:t>
      </w:r>
      <w:r w:rsidRPr="006905BC">
        <w:noBreakHyphen/>
        <w:t>12)</w:t>
      </w:r>
    </w:p>
    <w:p w:rsidR="004415B9" w:rsidRPr="006905BC" w:rsidRDefault="00355BE0" w:rsidP="00651EBE">
      <w:pPr>
        <w:pStyle w:val="Restitle"/>
        <w:rPr>
          <w:i/>
        </w:rPr>
      </w:pPr>
      <w:bookmarkStart w:id="10" w:name="_Toc327364609"/>
      <w:r w:rsidRPr="006905BC">
        <w:t xml:space="preserve">Studies towards review of the definitions of </w:t>
      </w:r>
      <w:r w:rsidRPr="006905BC">
        <w:rPr>
          <w:i/>
        </w:rPr>
        <w:t>fixed service</w:t>
      </w:r>
      <w:r w:rsidRPr="006905BC">
        <w:t xml:space="preserve">, </w:t>
      </w:r>
      <w:r w:rsidRPr="006905BC">
        <w:rPr>
          <w:i/>
        </w:rPr>
        <w:t>fixed station</w:t>
      </w:r>
      <w:r w:rsidRPr="006905BC">
        <w:t xml:space="preserve"> and </w:t>
      </w:r>
      <w:r w:rsidRPr="006905BC">
        <w:rPr>
          <w:i/>
        </w:rPr>
        <w:t>mobile station</w:t>
      </w:r>
      <w:bookmarkEnd w:id="10"/>
    </w:p>
    <w:p w:rsidR="00E0035B" w:rsidRDefault="00355BE0">
      <w:pPr>
        <w:pStyle w:val="Reasons"/>
      </w:pPr>
      <w:r>
        <w:rPr>
          <w:b/>
        </w:rPr>
        <w:t>Reasons:</w:t>
      </w:r>
      <w:r>
        <w:tab/>
      </w:r>
      <w:r w:rsidR="00E200D2">
        <w:t>This Resolution is no longer necessary.</w:t>
      </w:r>
    </w:p>
    <w:p w:rsidR="00E200D2" w:rsidRDefault="00E200D2">
      <w:pPr>
        <w:pStyle w:val="Reasons"/>
      </w:pPr>
    </w:p>
    <w:p w:rsidR="00E200D2" w:rsidRDefault="00E200D2" w:rsidP="0032202E">
      <w:pPr>
        <w:pStyle w:val="Reasons"/>
      </w:pPr>
    </w:p>
    <w:p w:rsidR="00E200D2" w:rsidRDefault="00E200D2">
      <w:pPr>
        <w:jc w:val="center"/>
      </w:pPr>
      <w:r>
        <w:t>______________</w:t>
      </w:r>
      <w:bookmarkStart w:id="11" w:name="_GoBack"/>
      <w:bookmarkEnd w:id="11"/>
    </w:p>
    <w:sectPr w:rsidR="00E200D2">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55BE0">
      <w:rPr>
        <w:noProof/>
        <w:lang w:val="en-US"/>
      </w:rPr>
      <w:t>Y:\APP\BR\POOL\WRC-15\DOC (Contributions)\1-100\009ADD22ADD06E.docx</w:t>
    </w:r>
    <w:r>
      <w:fldChar w:fldCharType="end"/>
    </w:r>
    <w:r w:rsidRPr="0041348E">
      <w:rPr>
        <w:lang w:val="en-US"/>
      </w:rPr>
      <w:tab/>
    </w:r>
    <w:r>
      <w:fldChar w:fldCharType="begin"/>
    </w:r>
    <w:r>
      <w:instrText xml:space="preserve"> SAVEDATE \@ DD.MM.YY </w:instrText>
    </w:r>
    <w:r>
      <w:fldChar w:fldCharType="separate"/>
    </w:r>
    <w:r w:rsidR="00654FFD">
      <w:rPr>
        <w:noProof/>
      </w:rPr>
      <w:t>03.07.15</w:t>
    </w:r>
    <w:r>
      <w:fldChar w:fldCharType="end"/>
    </w:r>
    <w:r w:rsidRPr="0041348E">
      <w:rPr>
        <w:lang w:val="en-US"/>
      </w:rPr>
      <w:tab/>
    </w:r>
    <w:r>
      <w:fldChar w:fldCharType="begin"/>
    </w:r>
    <w:r>
      <w:instrText xml:space="preserve"> PRINTDATE \@ DD.MM.YY </w:instrText>
    </w:r>
    <w:r>
      <w:fldChar w:fldCharType="separate"/>
    </w:r>
    <w:r w:rsidR="00355BE0">
      <w:rPr>
        <w:noProof/>
      </w:rPr>
      <w:t>03.07.15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A9" w:rsidRPr="0041348E" w:rsidRDefault="006A44A9" w:rsidP="006A44A9">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P:\ENG\ITU-R\CONF-R\CMR15\000\009ADD22ADD06E.docx</w:t>
    </w:r>
    <w:r>
      <w:fldChar w:fldCharType="end"/>
    </w:r>
    <w:r>
      <w:t xml:space="preserve"> (383655)</w:t>
    </w:r>
    <w:r w:rsidRPr="0041348E">
      <w:rPr>
        <w:lang w:val="en-US"/>
      </w:rPr>
      <w:tab/>
    </w:r>
    <w:r>
      <w:fldChar w:fldCharType="begin"/>
    </w:r>
    <w:r>
      <w:instrText xml:space="preserve"> SAVEDATE \@ DD.MM.YY </w:instrText>
    </w:r>
    <w:r>
      <w:fldChar w:fldCharType="separate"/>
    </w:r>
    <w:r>
      <w:t>08.07.15</w:t>
    </w:r>
    <w:r>
      <w:fldChar w:fldCharType="end"/>
    </w:r>
    <w:r w:rsidRPr="0041348E">
      <w:rPr>
        <w:lang w:val="en-US"/>
      </w:rPr>
      <w:tab/>
    </w:r>
    <w:r>
      <w:fldChar w:fldCharType="begin"/>
    </w:r>
    <w:r>
      <w:instrText xml:space="preserve"> PRINTDATE \@ DD.MM.YY </w:instrText>
    </w:r>
    <w:r>
      <w:fldChar w:fldCharType="separate"/>
    </w:r>
    <w:r>
      <w:t>03.07.15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83746">
      <w:rPr>
        <w:lang w:val="en-US"/>
      </w:rPr>
      <w:t>P:\ENG\ITU-R\CONF-R\CMR15\000\009ADD22ADD06E.docx</w:t>
    </w:r>
    <w:r>
      <w:fldChar w:fldCharType="end"/>
    </w:r>
    <w:r w:rsidR="00083746">
      <w:t xml:space="preserve"> (383655)</w:t>
    </w:r>
    <w:r w:rsidRPr="0041348E">
      <w:rPr>
        <w:lang w:val="en-US"/>
      </w:rPr>
      <w:tab/>
    </w:r>
    <w:r>
      <w:fldChar w:fldCharType="begin"/>
    </w:r>
    <w:r>
      <w:instrText xml:space="preserve"> SAVEDATE \@ DD.MM.YY </w:instrText>
    </w:r>
    <w:r>
      <w:fldChar w:fldCharType="separate"/>
    </w:r>
    <w:r w:rsidR="00083746">
      <w:t>08.07.15</w:t>
    </w:r>
    <w:r>
      <w:fldChar w:fldCharType="end"/>
    </w:r>
    <w:r w:rsidRPr="0041348E">
      <w:rPr>
        <w:lang w:val="en-US"/>
      </w:rPr>
      <w:tab/>
    </w:r>
    <w:r>
      <w:fldChar w:fldCharType="begin"/>
    </w:r>
    <w:r>
      <w:instrText xml:space="preserve"> PRINTDATE \@ DD.MM.YY </w:instrText>
    </w:r>
    <w:r>
      <w:fldChar w:fldCharType="separate"/>
    </w:r>
    <w:r w:rsidR="00083746">
      <w:t>03.07.15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A44A9">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9(Add.22)(Add.6)</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3504"/>
    <w:rsid w:val="00077239"/>
    <w:rsid w:val="00083746"/>
    <w:rsid w:val="00086491"/>
    <w:rsid w:val="00091346"/>
    <w:rsid w:val="0009706C"/>
    <w:rsid w:val="000D154B"/>
    <w:rsid w:val="000F73FF"/>
    <w:rsid w:val="00114CF7"/>
    <w:rsid w:val="00114F5E"/>
    <w:rsid w:val="00123B68"/>
    <w:rsid w:val="00126F2E"/>
    <w:rsid w:val="00146F6F"/>
    <w:rsid w:val="00187BD9"/>
    <w:rsid w:val="00190B55"/>
    <w:rsid w:val="001C3B5F"/>
    <w:rsid w:val="001D058F"/>
    <w:rsid w:val="002009EA"/>
    <w:rsid w:val="00202CA0"/>
    <w:rsid w:val="00216B6D"/>
    <w:rsid w:val="00241FA2"/>
    <w:rsid w:val="00250F7B"/>
    <w:rsid w:val="00271316"/>
    <w:rsid w:val="002879EA"/>
    <w:rsid w:val="002B349C"/>
    <w:rsid w:val="002D58BE"/>
    <w:rsid w:val="002D68DF"/>
    <w:rsid w:val="00355BE0"/>
    <w:rsid w:val="00361B37"/>
    <w:rsid w:val="00363808"/>
    <w:rsid w:val="00377BD3"/>
    <w:rsid w:val="00384088"/>
    <w:rsid w:val="003852CE"/>
    <w:rsid w:val="0039169B"/>
    <w:rsid w:val="003A7F8C"/>
    <w:rsid w:val="003B2284"/>
    <w:rsid w:val="003B532E"/>
    <w:rsid w:val="003D0F8B"/>
    <w:rsid w:val="003E0DB6"/>
    <w:rsid w:val="0041348E"/>
    <w:rsid w:val="00420873"/>
    <w:rsid w:val="00483967"/>
    <w:rsid w:val="00492075"/>
    <w:rsid w:val="004969AD"/>
    <w:rsid w:val="004A26C4"/>
    <w:rsid w:val="004B13CB"/>
    <w:rsid w:val="004D5D5C"/>
    <w:rsid w:val="0050139F"/>
    <w:rsid w:val="0055140B"/>
    <w:rsid w:val="005964AB"/>
    <w:rsid w:val="005C099A"/>
    <w:rsid w:val="005C31A5"/>
    <w:rsid w:val="005E10C9"/>
    <w:rsid w:val="005E290B"/>
    <w:rsid w:val="005E61DD"/>
    <w:rsid w:val="005E7056"/>
    <w:rsid w:val="006023DF"/>
    <w:rsid w:val="00616219"/>
    <w:rsid w:val="00654FFD"/>
    <w:rsid w:val="00657DE0"/>
    <w:rsid w:val="00685313"/>
    <w:rsid w:val="00692833"/>
    <w:rsid w:val="006A44A9"/>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207C3"/>
    <w:rsid w:val="00872FC8"/>
    <w:rsid w:val="008845D0"/>
    <w:rsid w:val="008B43F2"/>
    <w:rsid w:val="008B6CFF"/>
    <w:rsid w:val="009274B4"/>
    <w:rsid w:val="00934EA2"/>
    <w:rsid w:val="00944A5C"/>
    <w:rsid w:val="00952A66"/>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94AD0"/>
    <w:rsid w:val="00BB3A95"/>
    <w:rsid w:val="00BF39E6"/>
    <w:rsid w:val="00C0018F"/>
    <w:rsid w:val="00C16A5A"/>
    <w:rsid w:val="00C20466"/>
    <w:rsid w:val="00C214ED"/>
    <w:rsid w:val="00C234E6"/>
    <w:rsid w:val="00C324A8"/>
    <w:rsid w:val="00C41C45"/>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07A2"/>
    <w:rsid w:val="00E0035B"/>
    <w:rsid w:val="00E03C94"/>
    <w:rsid w:val="00E200D2"/>
    <w:rsid w:val="00E205BC"/>
    <w:rsid w:val="00E26226"/>
    <w:rsid w:val="00E45D05"/>
    <w:rsid w:val="00E55816"/>
    <w:rsid w:val="00E55AEF"/>
    <w:rsid w:val="00E976C1"/>
    <w:rsid w:val="00EA12E5"/>
    <w:rsid w:val="00EB55C6"/>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D20D54C-902C-424A-8FA1-86640802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headingb0">
    <w:name w:val="heading_b"/>
    <w:basedOn w:val="Heading3"/>
    <w:next w:val="Normal"/>
    <w:rsid w:val="00363808"/>
    <w:pPr>
      <w:tabs>
        <w:tab w:val="left" w:pos="567"/>
        <w:tab w:val="left" w:pos="1701"/>
        <w:tab w:val="left" w:pos="2835"/>
      </w:tabs>
      <w:spacing w:before="160"/>
      <w:ind w:left="0" w:firstLine="0"/>
      <w:outlineLvl w:val="9"/>
    </w:pPr>
    <w:rPr>
      <w:bCs/>
      <w:lang w:val="fr-FR"/>
    </w:rPr>
  </w:style>
  <w:style w:type="character" w:styleId="Strong">
    <w:name w:val="Strong"/>
    <w:aliases w:val="ECC HL bold"/>
    <w:basedOn w:val="DefaultParagraphFont"/>
    <w:qFormat/>
    <w:rsid w:val="00363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R15-WRC15-C-0009!A22-A6!MSW-E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5E1CF5F8-1567-48A5-97BA-E7736867007E}">
  <ds:schemaRefs>
    <ds:schemaRef ds:uri="http://purl.org/dc/dcmitype/"/>
    <ds:schemaRef ds:uri="996b2e75-67fd-4955-a3b0-5ab9934cb50b"/>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2A913F-3C76-4820-BA8A-D24DF4C2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R15-WRC15-C-0009!A22-A6!MSW-E</vt:lpstr>
    </vt:vector>
  </TitlesOfParts>
  <Manager>General Secretariat - Pool</Manager>
  <Company>International Telecommunication Union (ITU)</Company>
  <LinksUpToDate>false</LinksUpToDate>
  <CharactersWithSpaces>2580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R15-WRC15-C-0009!A22-A6!MSW-E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4</cp:revision>
  <cp:lastPrinted>2015-07-03T13:58:00Z</cp:lastPrinted>
  <dcterms:created xsi:type="dcterms:W3CDTF">2015-07-08T08:03:00Z</dcterms:created>
  <dcterms:modified xsi:type="dcterms:W3CDTF">2015-07-08T08:04:00Z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