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UNION INTERNATIONALE DES T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L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eastAsia="SimSun" w:hAnsi="Verdana" w:cs="Traditional Arabic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717EA9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717EA9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6 au</w:t>
            </w:r>
            <w:r w:rsidRPr="00717EA9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9(Add.22)</w:t>
            </w:r>
            <w:r w:rsidR="00BB1D82" w:rsidRPr="00717EA9">
              <w:rPr>
                <w:rFonts w:ascii="Verdana" w:eastAsia="SimSun" w:hAnsi="Verdana" w:cs="Traditional Arabic"/>
                <w:b/>
                <w:sz w:val="20"/>
                <w:lang w:val="fr-CH"/>
              </w:rPr>
              <w:t>-</w:t>
            </w:r>
            <w:r w:rsidRPr="00717EA9">
              <w:rPr>
                <w:rFonts w:ascii="Verdana" w:eastAsia="SimSun" w:hAnsi="Verdana" w:cs="Traditional Arabic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717EA9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24 juin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812C8B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812C8B">
              <w:rPr>
                <w:rFonts w:eastAsia="SimSun"/>
                <w:lang w:val="en-US"/>
              </w:rPr>
              <w:t>Propositions européennes communes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812C8B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812C8B">
              <w:rPr>
                <w:rFonts w:eastAsia="SimSun"/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812C8B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Pr="00812C8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812C8B">
              <w:rPr>
                <w:rFonts w:eastAsia="SimSun"/>
              </w:rPr>
              <w:t>Point 9.1(9.1.6) de l'ordre du jour</w:t>
            </w:r>
          </w:p>
        </w:tc>
      </w:tr>
    </w:tbl>
    <w:bookmarkEnd w:id="5"/>
    <w:p w:rsidR="00D9071C" w:rsidRPr="007B55A9" w:rsidRDefault="00D9071C" w:rsidP="00812C8B">
      <w:pPr>
        <w:pStyle w:val="Normalaftertitle"/>
        <w:rPr>
          <w:lang w:val="fr-CH"/>
        </w:rPr>
      </w:pPr>
      <w:r w:rsidRPr="007B55A9">
        <w:rPr>
          <w:lang w:val="fr-CH"/>
        </w:rPr>
        <w:t>9</w:t>
      </w:r>
      <w:r w:rsidRPr="007B55A9">
        <w:rPr>
          <w:lang w:val="fr-CH"/>
        </w:rPr>
        <w:tab/>
        <w:t>examiner et approuver le rapport du Directeur du Bureau des radiocommunications, conformément à l'article 7 de la Convention:</w:t>
      </w:r>
    </w:p>
    <w:p w:rsidR="00D9071C" w:rsidRPr="007B55A9" w:rsidRDefault="00D9071C" w:rsidP="00D9071C">
      <w:pPr>
        <w:rPr>
          <w:lang w:val="fr-CH"/>
        </w:rPr>
      </w:pPr>
      <w:r w:rsidRPr="007B55A9">
        <w:rPr>
          <w:lang w:val="fr-CH"/>
        </w:rPr>
        <w:t>9.1</w:t>
      </w:r>
      <w:r w:rsidRPr="007B55A9">
        <w:rPr>
          <w:lang w:val="fr-CH"/>
        </w:rPr>
        <w:tab/>
        <w:t>sur les activités du Secteur des radiocommunications depuis la CMR</w:t>
      </w:r>
      <w:r w:rsidRPr="007B55A9">
        <w:rPr>
          <w:lang w:val="fr-CH"/>
        </w:rPr>
        <w:noBreakHyphen/>
        <w:t xml:space="preserve">12; </w:t>
      </w:r>
    </w:p>
    <w:p w:rsidR="001C0E40" w:rsidRPr="00C23F23" w:rsidRDefault="001F5926" w:rsidP="008F7B44">
      <w:pPr>
        <w:rPr>
          <w:lang w:val="fr-CH"/>
        </w:rPr>
      </w:pPr>
      <w:r>
        <w:rPr>
          <w:lang w:val="fr-CH"/>
        </w:rPr>
        <w:t xml:space="preserve">9.1(9.1.6) </w:t>
      </w:r>
      <w:r>
        <w:rPr>
          <w:lang w:val="fr-CH"/>
        </w:rPr>
        <w:tab/>
      </w:r>
      <w:r w:rsidRPr="00552143">
        <w:rPr>
          <w:lang w:val="fr-CH"/>
        </w:rPr>
        <w:t xml:space="preserve">Résolution </w:t>
      </w:r>
      <w:r w:rsidRPr="009F4645">
        <w:rPr>
          <w:b/>
          <w:bCs/>
          <w:lang w:val="fr-CH"/>
        </w:rPr>
        <w:t>957 (CMR-12)</w:t>
      </w:r>
      <w:r w:rsidRPr="00552143">
        <w:rPr>
          <w:lang w:val="fr-CH"/>
        </w:rPr>
        <w:t xml:space="preserve"> – Etudes en vue de l'examen des définitions des termes service fixe, station fixe et station mobile</w:t>
      </w:r>
    </w:p>
    <w:p w:rsidR="00B50362" w:rsidRDefault="00B50362" w:rsidP="00B50362">
      <w:pPr>
        <w:pStyle w:val="Headingb"/>
        <w:rPr>
          <w:lang w:val="fr-CH"/>
        </w:rPr>
      </w:pPr>
      <w:r>
        <w:rPr>
          <w:lang w:val="fr-CH"/>
        </w:rPr>
        <w:t>Introduction</w:t>
      </w:r>
    </w:p>
    <w:p w:rsidR="00B50362" w:rsidRDefault="00135B10" w:rsidP="002E3DB7">
      <w:r>
        <w:t xml:space="preserve">Par sa </w:t>
      </w:r>
      <w:r w:rsidR="00B50362">
        <w:t xml:space="preserve">Résolution </w:t>
      </w:r>
      <w:r w:rsidR="00B50362">
        <w:rPr>
          <w:rStyle w:val="href"/>
        </w:rPr>
        <w:t>957</w:t>
      </w:r>
      <w:r w:rsidR="002E3DB7">
        <w:rPr>
          <w:rStyle w:val="href"/>
        </w:rPr>
        <w:t xml:space="preserve"> (CMR-12)</w:t>
      </w:r>
      <w:r>
        <w:rPr>
          <w:rStyle w:val="href"/>
        </w:rPr>
        <w:t xml:space="preserve">, la </w:t>
      </w:r>
      <w:r w:rsidR="00B50362">
        <w:t>CMR</w:t>
      </w:r>
      <w:r>
        <w:t xml:space="preserve"> a </w:t>
      </w:r>
      <w:r w:rsidR="001F5926">
        <w:rPr>
          <w:lang w:val="fr-CH"/>
        </w:rPr>
        <w:t>d</w:t>
      </w:r>
      <w:r>
        <w:rPr>
          <w:lang w:val="fr-CH"/>
        </w:rPr>
        <w:t>écidé</w:t>
      </w:r>
      <w:r w:rsidR="001F5926">
        <w:rPr>
          <w:lang w:val="fr-CH"/>
        </w:rPr>
        <w:t xml:space="preserve"> </w:t>
      </w:r>
      <w:r w:rsidR="00B50362">
        <w:t xml:space="preserve">d'examiner les définitions des termes </w:t>
      </w:r>
      <w:r w:rsidR="00B50362" w:rsidRPr="00D77332">
        <w:t>service fixe, station fixe et station mobile</w:t>
      </w:r>
      <w:r w:rsidR="00B50362">
        <w:t xml:space="preserve"> en vue d'une éventuelle modification</w:t>
      </w:r>
      <w:r>
        <w:t xml:space="preserve"> et a </w:t>
      </w:r>
      <w:r>
        <w:rPr>
          <w:lang w:val="fr-CH"/>
        </w:rPr>
        <w:t>invité</w:t>
      </w:r>
      <w:r w:rsidR="00B50362">
        <w:rPr>
          <w:lang w:val="fr-CH"/>
        </w:rPr>
        <w:t xml:space="preserve"> l'UIT-R</w:t>
      </w:r>
      <w:r w:rsidR="001F5926">
        <w:rPr>
          <w:lang w:val="fr-CH"/>
        </w:rPr>
        <w:t xml:space="preserve"> </w:t>
      </w:r>
      <w:r w:rsidR="00B50362">
        <w:t>à procéder aux études nécessaires</w:t>
      </w:r>
      <w:r w:rsidR="00D77332">
        <w:t>, notamment à étudier l'incidence potentielle de ces modifications.</w:t>
      </w:r>
      <w:r>
        <w:t xml:space="preserve"> </w:t>
      </w:r>
    </w:p>
    <w:p w:rsidR="00B50362" w:rsidRDefault="00D77332" w:rsidP="001F5926">
      <w:r>
        <w:rPr>
          <w:lang w:val="fr-CH"/>
        </w:rPr>
        <w:t>Elle a en outre chargé</w:t>
      </w:r>
      <w:r w:rsidR="00B50362">
        <w:rPr>
          <w:lang w:val="fr-CH"/>
        </w:rPr>
        <w:t xml:space="preserve"> le Directeur du Bureau des radiocommunications</w:t>
      </w:r>
      <w:r w:rsidR="001F5926">
        <w:rPr>
          <w:lang w:val="fr-CH"/>
        </w:rPr>
        <w:t xml:space="preserve"> </w:t>
      </w:r>
      <w:r w:rsidR="00B50362">
        <w:t xml:space="preserve">de communiquer les résultats de ces études dans son rapport à la CMR-15 (voir la Résolution </w:t>
      </w:r>
      <w:r w:rsidR="00B50362" w:rsidRPr="002E3DB7">
        <w:t>807 (CMR-12))</w:t>
      </w:r>
      <w:r w:rsidR="00B50362">
        <w:rPr>
          <w:b/>
          <w:bCs/>
        </w:rPr>
        <w:t xml:space="preserve"> </w:t>
      </w:r>
      <w:r w:rsidR="00B50362">
        <w:t>pour qu'elle les examine au titre du point 9.1 de l'ordre du jour et prenne les mesures voulues</w:t>
      </w:r>
      <w:r w:rsidR="00B67DE6">
        <w:t>.</w:t>
      </w:r>
    </w:p>
    <w:p w:rsidR="006E4841" w:rsidRPr="002D68DF" w:rsidRDefault="00D77332" w:rsidP="002E3DB7">
      <w:r>
        <w:t>L'</w:t>
      </w:r>
      <w:r w:rsidR="006E4841" w:rsidRPr="002D68DF">
        <w:t xml:space="preserve">Europe </w:t>
      </w:r>
      <w:r>
        <w:t>estime qu'il n'est pas nécessaire de modifier</w:t>
      </w:r>
      <w:r w:rsidR="006E4841" w:rsidRPr="002D68DF">
        <w:t xml:space="preserve"> </w:t>
      </w:r>
      <w:r>
        <w:t xml:space="preserve">les </w:t>
      </w:r>
      <w:r w:rsidR="006E4841" w:rsidRPr="002D68DF">
        <w:t>d</w:t>
      </w:r>
      <w:r>
        <w:t>é</w:t>
      </w:r>
      <w:r w:rsidR="006E4841" w:rsidRPr="002D68DF">
        <w:t xml:space="preserve">finitions </w:t>
      </w:r>
      <w:r>
        <w:t>existantes des termes service fixe</w:t>
      </w:r>
      <w:r w:rsidR="006E4841" w:rsidRPr="002D68DF">
        <w:t xml:space="preserve">, station </w:t>
      </w:r>
      <w:r>
        <w:t xml:space="preserve">fixe et </w:t>
      </w:r>
      <w:r w:rsidR="006E4841" w:rsidRPr="002D68DF">
        <w:t>station</w:t>
      </w:r>
      <w:r>
        <w:t xml:space="preserve"> </w:t>
      </w:r>
      <w:r w:rsidRPr="002D68DF">
        <w:t>mobile</w:t>
      </w:r>
      <w:r w:rsidR="006E4841" w:rsidRPr="002D68DF">
        <w:t xml:space="preserve">. </w:t>
      </w:r>
      <w:r w:rsidR="002E3DB7">
        <w:t>L</w:t>
      </w:r>
      <w:r>
        <w:t xml:space="preserve">es définitions existantes </w:t>
      </w:r>
      <w:r w:rsidR="002E3DB7">
        <w:t xml:space="preserve">sont utilisées depuis des décennies par les </w:t>
      </w:r>
      <w:r w:rsidR="006E4841" w:rsidRPr="002D68DF">
        <w:t xml:space="preserve">administrations </w:t>
      </w:r>
      <w:r>
        <w:t>et l'UIT</w:t>
      </w:r>
      <w:r w:rsidR="002E3DB7">
        <w:t xml:space="preserve"> sans poser de problème</w:t>
      </w:r>
      <w:r w:rsidR="006E4841" w:rsidRPr="002D68DF">
        <w:t xml:space="preserve">. </w:t>
      </w:r>
      <w:r w:rsidR="00811EED">
        <w:t>En outre</w:t>
      </w:r>
      <w:r w:rsidR="006E4841" w:rsidRPr="002D68DF">
        <w:t xml:space="preserve">, </w:t>
      </w:r>
      <w:r w:rsidR="00811EED">
        <w:t xml:space="preserve">toute modification des </w:t>
      </w:r>
      <w:r w:rsidR="006E4841" w:rsidRPr="002D68DF">
        <w:t>d</w:t>
      </w:r>
      <w:r w:rsidR="00811EED">
        <w:t>é</w:t>
      </w:r>
      <w:r w:rsidR="006E4841" w:rsidRPr="002D68DF">
        <w:t xml:space="preserve">finitions </w:t>
      </w:r>
      <w:r w:rsidR="00811EED">
        <w:t>risque d'avoir des consé</w:t>
      </w:r>
      <w:r w:rsidR="006E4841" w:rsidRPr="002D68DF">
        <w:t xml:space="preserve">quences </w:t>
      </w:r>
      <w:r w:rsidR="00811EED">
        <w:t xml:space="preserve">imprévues pour les utilisations et les procédures existantes et risque aussi d'avoir des incidences réglementaires négatives sur les attributions existantes aux autres services de </w:t>
      </w:r>
      <w:r w:rsidR="006E4841" w:rsidRPr="002D68DF">
        <w:t>radiocommunication.</w:t>
      </w:r>
    </w:p>
    <w:p w:rsidR="00B50362" w:rsidRPr="00B50362" w:rsidRDefault="002E3DB7" w:rsidP="00812C8B">
      <w:r>
        <w:t>Dans l</w:t>
      </w:r>
      <w:r w:rsidR="00811EED">
        <w:t>es présentes propositions européennes</w:t>
      </w:r>
      <w:r>
        <w:t>,</w:t>
      </w:r>
      <w:r w:rsidR="00811EED">
        <w:t xml:space="preserve"> </w:t>
      </w:r>
      <w:r>
        <w:t xml:space="preserve">il est </w:t>
      </w:r>
      <w:r w:rsidR="00811EED">
        <w:t xml:space="preserve">donc </w:t>
      </w:r>
      <w:r>
        <w:t>proposé</w:t>
      </w:r>
      <w:r w:rsidR="00811EED">
        <w:t xml:space="preserve"> de ne pas modifier les </w:t>
      </w:r>
      <w:r w:rsidR="006E4841" w:rsidRPr="002D68DF">
        <w:t>d</w:t>
      </w:r>
      <w:r w:rsidR="00811EED">
        <w:t>é</w:t>
      </w:r>
      <w:r w:rsidR="006E4841" w:rsidRPr="002D68DF">
        <w:t xml:space="preserve">finitions </w:t>
      </w:r>
      <w:r w:rsidR="00811EED">
        <w:t xml:space="preserve">des termes </w:t>
      </w:r>
      <w:r w:rsidR="006E4841" w:rsidRPr="002D68DF">
        <w:t>service</w:t>
      </w:r>
      <w:r w:rsidR="00811EED">
        <w:t xml:space="preserve"> fixe</w:t>
      </w:r>
      <w:r w:rsidR="006E4841" w:rsidRPr="002D68DF">
        <w:t xml:space="preserve">, station </w:t>
      </w:r>
      <w:r w:rsidR="00811EED">
        <w:t xml:space="preserve">fixe et </w:t>
      </w:r>
      <w:r w:rsidR="006E4841" w:rsidRPr="002D68DF">
        <w:t xml:space="preserve">station </w:t>
      </w:r>
      <w:r w:rsidR="00811EED">
        <w:t>mobile données dans l'</w:t>
      </w:r>
      <w:r w:rsidR="006E4841" w:rsidRPr="002D68DF">
        <w:t xml:space="preserve">Article 1 </w:t>
      </w:r>
      <w:r w:rsidR="00811EED">
        <w:t>du Règlement des radiocommunications</w:t>
      </w:r>
      <w:r w:rsidR="006E4841" w:rsidRPr="002D68DF">
        <w:t xml:space="preserve">. </w:t>
      </w:r>
      <w:r>
        <w:t>En outre</w:t>
      </w:r>
      <w:r w:rsidR="00811EED">
        <w:t xml:space="preserve">, il est </w:t>
      </w:r>
      <w:r w:rsidR="00812C8B">
        <w:t>aussi</w:t>
      </w:r>
      <w:r w:rsidR="00811EED">
        <w:t xml:space="preserve"> proposé de supprimer la </w:t>
      </w:r>
      <w:r w:rsidR="006E4841" w:rsidRPr="002D68DF">
        <w:t>R</w:t>
      </w:r>
      <w:r w:rsidR="00811EED">
        <w:t>é</w:t>
      </w:r>
      <w:r w:rsidR="006E4841" w:rsidRPr="002D68DF">
        <w:t xml:space="preserve">solution </w:t>
      </w:r>
      <w:r w:rsidR="006E4841" w:rsidRPr="002E3DB7">
        <w:rPr>
          <w:rStyle w:val="Strong"/>
          <w:b w:val="0"/>
          <w:bCs w:val="0"/>
        </w:rPr>
        <w:t>957 (</w:t>
      </w:r>
      <w:r w:rsidR="00811EED" w:rsidRPr="002E3DB7">
        <w:rPr>
          <w:rStyle w:val="Strong"/>
          <w:b w:val="0"/>
          <w:bCs w:val="0"/>
        </w:rPr>
        <w:t>CMR</w:t>
      </w:r>
      <w:r w:rsidR="006E4841" w:rsidRPr="002E3DB7">
        <w:rPr>
          <w:rStyle w:val="Strong"/>
          <w:b w:val="0"/>
          <w:bCs w:val="0"/>
        </w:rPr>
        <w:t>-12)</w:t>
      </w:r>
      <w:r w:rsidR="006E4841" w:rsidRPr="002D68DF">
        <w:t>.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1F5926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1</w:t>
      </w:r>
    </w:p>
    <w:p w:rsidR="004A6A8C" w:rsidRDefault="001F5926" w:rsidP="00D94B99">
      <w:pPr>
        <w:pStyle w:val="Arttitle"/>
      </w:pPr>
      <w:r>
        <w:t>Termes et définitions</w:t>
      </w:r>
    </w:p>
    <w:p w:rsidR="004A6A8C" w:rsidRDefault="001F5926" w:rsidP="00D94B99">
      <w:pPr>
        <w:pStyle w:val="Section1"/>
      </w:pPr>
      <w:r>
        <w:t>Section III – Services radioélectriques</w:t>
      </w:r>
    </w:p>
    <w:p w:rsidR="00CE4BF8" w:rsidRDefault="001F5926">
      <w:pPr>
        <w:pStyle w:val="Proposal"/>
      </w:pPr>
      <w:r>
        <w:rPr>
          <w:u w:val="single"/>
        </w:rPr>
        <w:t>NOC</w:t>
      </w:r>
      <w:r>
        <w:tab/>
        <w:t>EUR/9</w:t>
      </w:r>
      <w:r w:rsidR="008371A2">
        <w:t>A22A6</w:t>
      </w:r>
      <w:r>
        <w:t>/1</w:t>
      </w:r>
    </w:p>
    <w:p w:rsidR="004A6A8C" w:rsidRDefault="001F5926" w:rsidP="00D94B99">
      <w:r w:rsidRPr="009D3550">
        <w:rPr>
          <w:rStyle w:val="Artdef"/>
        </w:rPr>
        <w:t>1.20</w:t>
      </w:r>
      <w:r w:rsidRPr="0061407F">
        <w:tab/>
      </w:r>
      <w:r w:rsidRPr="00880E98">
        <w:tab/>
      </w:r>
      <w:r w:rsidRPr="000C4B1B">
        <w:rPr>
          <w:i/>
          <w:iCs/>
        </w:rPr>
        <w:t>service fixe</w:t>
      </w:r>
      <w:r w:rsidRPr="0061407F">
        <w:t>:  </w:t>
      </w:r>
      <w:r w:rsidRPr="00F83ADB">
        <w:rPr>
          <w:i/>
          <w:iCs/>
        </w:rPr>
        <w:t>Service de radiocommunication</w:t>
      </w:r>
      <w:r w:rsidRPr="00880E98">
        <w:t xml:space="preserve"> entre points fixes déterminés.</w:t>
      </w:r>
    </w:p>
    <w:p w:rsidR="00CE4BF8" w:rsidRDefault="001F5926">
      <w:pPr>
        <w:pStyle w:val="Reasons"/>
      </w:pPr>
      <w:r>
        <w:rPr>
          <w:b/>
        </w:rPr>
        <w:t>Motifs:</w:t>
      </w:r>
      <w:r>
        <w:tab/>
      </w:r>
      <w:r w:rsidR="00B67DE6">
        <w:t>Il n'est pas nécessaire de modifier cette définition.</w:t>
      </w:r>
    </w:p>
    <w:p w:rsidR="004A6A8C" w:rsidRDefault="001F5926" w:rsidP="00D94B99">
      <w:pPr>
        <w:pStyle w:val="Section1"/>
      </w:pPr>
      <w:r>
        <w:t>Section IV – Stations et systèmes radioélectriques</w:t>
      </w:r>
    </w:p>
    <w:p w:rsidR="00CE4BF8" w:rsidRDefault="001F5926">
      <w:pPr>
        <w:pStyle w:val="Proposal"/>
      </w:pPr>
      <w:r>
        <w:rPr>
          <w:u w:val="single"/>
        </w:rPr>
        <w:t>NOC</w:t>
      </w:r>
      <w:r>
        <w:tab/>
        <w:t>EUR/9</w:t>
      </w:r>
      <w:r w:rsidR="008371A2">
        <w:t>A22A6</w:t>
      </w:r>
      <w:r>
        <w:t>/2</w:t>
      </w:r>
    </w:p>
    <w:p w:rsidR="004A6A8C" w:rsidRPr="00880E98" w:rsidRDefault="001F5926" w:rsidP="00D94B99">
      <w:r w:rsidRPr="009D3550">
        <w:rPr>
          <w:rStyle w:val="Artdef"/>
        </w:rPr>
        <w:t>1.66</w:t>
      </w:r>
      <w:r w:rsidRPr="0061407F">
        <w:tab/>
      </w:r>
      <w:r w:rsidRPr="00880E98">
        <w:tab/>
      </w:r>
      <w:r w:rsidRPr="00A05E8E">
        <w:rPr>
          <w:i/>
          <w:iCs/>
        </w:rPr>
        <w:t>station fixe</w:t>
      </w:r>
      <w:r w:rsidRPr="0061407F">
        <w:t>:  </w:t>
      </w:r>
      <w:r w:rsidRPr="00A05E8E">
        <w:rPr>
          <w:i/>
          <w:iCs/>
        </w:rPr>
        <w:t>Station</w:t>
      </w:r>
      <w:r w:rsidRPr="00880E98">
        <w:t xml:space="preserve"> du</w:t>
      </w:r>
      <w:r w:rsidRPr="0061407F">
        <w:t xml:space="preserve"> </w:t>
      </w:r>
      <w:r w:rsidRPr="00A05E8E">
        <w:rPr>
          <w:i/>
          <w:iCs/>
        </w:rPr>
        <w:t>service fixe</w:t>
      </w:r>
      <w:r w:rsidRPr="00880E98">
        <w:t>.</w:t>
      </w:r>
    </w:p>
    <w:p w:rsidR="00CE4BF8" w:rsidRDefault="001F5926">
      <w:pPr>
        <w:pStyle w:val="Reasons"/>
      </w:pPr>
      <w:r>
        <w:rPr>
          <w:b/>
        </w:rPr>
        <w:t>Motifs:</w:t>
      </w:r>
      <w:r>
        <w:tab/>
      </w:r>
      <w:r w:rsidR="007E6D1D">
        <w:t>Il n'est pas nécessaire de modifier cette définition.</w:t>
      </w:r>
    </w:p>
    <w:p w:rsidR="00CE4BF8" w:rsidRDefault="001F5926">
      <w:pPr>
        <w:pStyle w:val="Proposal"/>
      </w:pPr>
      <w:r>
        <w:rPr>
          <w:u w:val="single"/>
        </w:rPr>
        <w:t>NOC</w:t>
      </w:r>
      <w:r>
        <w:tab/>
        <w:t>EUR/9</w:t>
      </w:r>
      <w:r w:rsidR="008371A2">
        <w:t>A22A6</w:t>
      </w:r>
      <w:r>
        <w:t>/3</w:t>
      </w:r>
    </w:p>
    <w:p w:rsidR="004A6A8C" w:rsidRPr="00880E98" w:rsidRDefault="001F5926" w:rsidP="00D94B99">
      <w:r w:rsidRPr="009D3550">
        <w:rPr>
          <w:rStyle w:val="Artdef"/>
        </w:rPr>
        <w:t>1.67</w:t>
      </w:r>
      <w:r w:rsidRPr="0061407F">
        <w:tab/>
      </w:r>
      <w:r w:rsidRPr="00880E98">
        <w:tab/>
      </w:r>
      <w:r w:rsidRPr="00A05E8E">
        <w:rPr>
          <w:i/>
          <w:iCs/>
        </w:rPr>
        <w:t>station mobile</w:t>
      </w:r>
      <w:r w:rsidRPr="0061407F">
        <w:t>:  </w:t>
      </w:r>
      <w:r w:rsidRPr="00A05E8E">
        <w:rPr>
          <w:i/>
          <w:iCs/>
        </w:rPr>
        <w:t xml:space="preserve">Station </w:t>
      </w:r>
      <w:r w:rsidRPr="0046637E">
        <w:t>du</w:t>
      </w:r>
      <w:r w:rsidRPr="00A05E8E">
        <w:rPr>
          <w:i/>
          <w:iCs/>
        </w:rPr>
        <w:t xml:space="preserve"> service mobile</w:t>
      </w:r>
      <w:r w:rsidRPr="00880E98">
        <w:t xml:space="preserve"> destinée à être utilisée lorsqu'elle est en mouvement, ou pendant des haltes en des points non déterminés.</w:t>
      </w:r>
    </w:p>
    <w:p w:rsidR="00CE4BF8" w:rsidRDefault="001F5926">
      <w:pPr>
        <w:pStyle w:val="Reasons"/>
      </w:pPr>
      <w:r>
        <w:rPr>
          <w:b/>
        </w:rPr>
        <w:t>Motifs:</w:t>
      </w:r>
      <w:r>
        <w:tab/>
      </w:r>
      <w:r w:rsidR="007E6D1D">
        <w:t>Il n'est pas nécessaire de modifier cette définition.</w:t>
      </w:r>
      <w:bookmarkStart w:id="6" w:name="_GoBack"/>
      <w:bookmarkEnd w:id="6"/>
    </w:p>
    <w:p w:rsidR="00CE4BF8" w:rsidRDefault="001F5926">
      <w:pPr>
        <w:pStyle w:val="Proposal"/>
      </w:pPr>
      <w:r>
        <w:t>SUP</w:t>
      </w:r>
      <w:r>
        <w:tab/>
        <w:t>EUR/9</w:t>
      </w:r>
      <w:r w:rsidR="008371A2">
        <w:t>A22A6</w:t>
      </w:r>
      <w:r>
        <w:t>/4</w:t>
      </w:r>
    </w:p>
    <w:p w:rsidR="00DD4258" w:rsidRPr="00605981" w:rsidRDefault="001F5926" w:rsidP="00DD4258">
      <w:pPr>
        <w:pStyle w:val="ResNo"/>
      </w:pPr>
      <w:r>
        <w:t xml:space="preserve">RÉSOLUTION </w:t>
      </w:r>
      <w:r w:rsidRPr="00880E4B">
        <w:rPr>
          <w:rStyle w:val="href"/>
        </w:rPr>
        <w:t>957</w:t>
      </w:r>
      <w:r w:rsidRPr="00605981">
        <w:t xml:space="preserve"> (CMR-12)</w:t>
      </w:r>
    </w:p>
    <w:p w:rsidR="00DD4258" w:rsidRPr="009C7CEE" w:rsidRDefault="001F5926" w:rsidP="00AC1F0E">
      <w:pPr>
        <w:pStyle w:val="Restitle"/>
      </w:pPr>
      <w:r w:rsidRPr="009C7CEE">
        <w:t xml:space="preserve">Etudes en vue de l'examen des définitions des termes </w:t>
      </w:r>
      <w:r w:rsidRPr="009C7CEE">
        <w:rPr>
          <w:i/>
          <w:iCs/>
        </w:rPr>
        <w:t>service fixe</w:t>
      </w:r>
      <w:r w:rsidRPr="009C7CEE">
        <w:t xml:space="preserve">, </w:t>
      </w:r>
      <w:r w:rsidRPr="009C7CEE">
        <w:br/>
      </w:r>
      <w:r w:rsidRPr="009C7CEE">
        <w:rPr>
          <w:i/>
          <w:iCs/>
        </w:rPr>
        <w:t>station fixe</w:t>
      </w:r>
      <w:r w:rsidRPr="009C7CEE">
        <w:t xml:space="preserve"> et </w:t>
      </w:r>
      <w:r w:rsidRPr="009C7CEE">
        <w:rPr>
          <w:i/>
          <w:iCs/>
        </w:rPr>
        <w:t>station mobile</w:t>
      </w:r>
    </w:p>
    <w:p w:rsidR="00CE4BF8" w:rsidRDefault="001F5926">
      <w:pPr>
        <w:pStyle w:val="Reasons"/>
        <w:rPr>
          <w:color w:val="000000"/>
        </w:rPr>
      </w:pPr>
      <w:r>
        <w:rPr>
          <w:b/>
        </w:rPr>
        <w:t>Motifs:</w:t>
      </w:r>
      <w:r>
        <w:tab/>
      </w:r>
      <w:r w:rsidR="007E6D1D">
        <w:rPr>
          <w:color w:val="000000"/>
        </w:rPr>
        <w:t>Cette Résolution n'a plus lieu d'être.</w:t>
      </w:r>
    </w:p>
    <w:p w:rsidR="003306E6" w:rsidRDefault="003306E6" w:rsidP="0032202E">
      <w:pPr>
        <w:pStyle w:val="Reasons"/>
      </w:pPr>
    </w:p>
    <w:p w:rsidR="003306E6" w:rsidRDefault="003306E6">
      <w:pPr>
        <w:jc w:val="center"/>
      </w:pPr>
      <w:r>
        <w:t>______________</w:t>
      </w:r>
    </w:p>
    <w:p w:rsidR="003306E6" w:rsidRDefault="003306E6">
      <w:pPr>
        <w:pStyle w:val="Reasons"/>
      </w:pPr>
    </w:p>
    <w:sectPr w:rsidR="003306E6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42" w:rsidRDefault="00764342">
      <w:r>
        <w:separator/>
      </w:r>
    </w:p>
  </w:endnote>
  <w:endnote w:type="continuationSeparator" w:id="0">
    <w:p w:rsidR="00764342" w:rsidRDefault="0076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E3DB7">
      <w:rPr>
        <w:noProof/>
        <w:lang w:val="en-US"/>
      </w:rPr>
      <w:t>P:\TRAD\F\LING\Bouchard\383655f_cmr.docx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2C8B">
      <w:rPr>
        <w:noProof/>
      </w:rPr>
      <w:t>10.07.15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E3DB7">
      <w:rPr>
        <w:noProof/>
      </w:rPr>
      <w:t>10.07.15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306E6">
      <w:rPr>
        <w:lang w:val="en-US"/>
      </w:rPr>
      <w:t>P:\FRA\ITU-R\CONF-R\CMR15\000\009ADD22ADD06F.docx</w:t>
    </w:r>
    <w:r>
      <w:fldChar w:fldCharType="end"/>
    </w:r>
    <w:r w:rsidR="003306E6">
      <w:t xml:space="preserve"> (383655)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2C8B">
      <w:t>10.07.15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E3DB7">
      <w:t>10.07.15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306E6">
      <w:rPr>
        <w:lang w:val="en-US"/>
      </w:rPr>
      <w:t>P:\FRA\ITU-R\CONF-R\CMR15\000\009ADD22ADD06F.docx</w:t>
    </w:r>
    <w:r>
      <w:fldChar w:fldCharType="end"/>
    </w:r>
    <w:r w:rsidR="003306E6">
      <w:t xml:space="preserve"> (383655)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2C8B">
      <w:t>10.07.15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E3DB7">
      <w:t>10.07.15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42" w:rsidRDefault="00764342">
      <w:r>
        <w:rPr>
          <w:b/>
        </w:rPr>
        <w:t>_______________</w:t>
      </w:r>
    </w:p>
  </w:footnote>
  <w:footnote w:type="continuationSeparator" w:id="0">
    <w:p w:rsidR="00764342" w:rsidRDefault="0076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306E6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9(Add.22)(Add.6)-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82E5F"/>
    <w:rsid w:val="000A4755"/>
    <w:rsid w:val="000B2E0C"/>
    <w:rsid w:val="000B3D0C"/>
    <w:rsid w:val="001167B9"/>
    <w:rsid w:val="001267A0"/>
    <w:rsid w:val="00135B10"/>
    <w:rsid w:val="0015203F"/>
    <w:rsid w:val="00160C64"/>
    <w:rsid w:val="0018169B"/>
    <w:rsid w:val="0019352B"/>
    <w:rsid w:val="001960D0"/>
    <w:rsid w:val="001F5926"/>
    <w:rsid w:val="00204306"/>
    <w:rsid w:val="00232FD2"/>
    <w:rsid w:val="0026554E"/>
    <w:rsid w:val="002A4622"/>
    <w:rsid w:val="002A6F8F"/>
    <w:rsid w:val="002B17E5"/>
    <w:rsid w:val="002C0EBF"/>
    <w:rsid w:val="002C28A4"/>
    <w:rsid w:val="002E3DB7"/>
    <w:rsid w:val="00315AFE"/>
    <w:rsid w:val="003306E6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E4841"/>
    <w:rsid w:val="00701BAE"/>
    <w:rsid w:val="00717EA9"/>
    <w:rsid w:val="00721F04"/>
    <w:rsid w:val="00730E95"/>
    <w:rsid w:val="007426B9"/>
    <w:rsid w:val="00764342"/>
    <w:rsid w:val="00774362"/>
    <w:rsid w:val="00786598"/>
    <w:rsid w:val="007A04E8"/>
    <w:rsid w:val="007E6D1D"/>
    <w:rsid w:val="00811EED"/>
    <w:rsid w:val="00812C8B"/>
    <w:rsid w:val="008371A2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50362"/>
    <w:rsid w:val="00B64FD0"/>
    <w:rsid w:val="00B67DE6"/>
    <w:rsid w:val="00BA5BD0"/>
    <w:rsid w:val="00BB1D82"/>
    <w:rsid w:val="00BF26E7"/>
    <w:rsid w:val="00C53FCA"/>
    <w:rsid w:val="00C76BAF"/>
    <w:rsid w:val="00C814B9"/>
    <w:rsid w:val="00CD516F"/>
    <w:rsid w:val="00CE4BF8"/>
    <w:rsid w:val="00D119A7"/>
    <w:rsid w:val="00D25FBA"/>
    <w:rsid w:val="00D32B28"/>
    <w:rsid w:val="00D42954"/>
    <w:rsid w:val="00D66EAC"/>
    <w:rsid w:val="00D72148"/>
    <w:rsid w:val="00D730DF"/>
    <w:rsid w:val="00D772F0"/>
    <w:rsid w:val="00D77332"/>
    <w:rsid w:val="00D77BDC"/>
    <w:rsid w:val="00D9071C"/>
    <w:rsid w:val="00DC402B"/>
    <w:rsid w:val="00DE0932"/>
    <w:rsid w:val="00E03A27"/>
    <w:rsid w:val="00E049F1"/>
    <w:rsid w:val="00E37A25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65E59D0-1A1E-4193-BE55-59CCE419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CallChar">
    <w:name w:val="Call Char"/>
    <w:basedOn w:val="DefaultParagraphFont"/>
    <w:link w:val="Call"/>
    <w:locked/>
    <w:rsid w:val="00B50362"/>
    <w:rPr>
      <w:rFonts w:ascii="Times New Roman" w:hAnsi="Times New Roman"/>
      <w:i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B50362"/>
    <w:pPr>
      <w:ind w:left="720"/>
      <w:contextualSpacing/>
    </w:pPr>
  </w:style>
  <w:style w:type="character" w:styleId="Strong">
    <w:name w:val="Strong"/>
    <w:aliases w:val="ECC HL bold"/>
    <w:basedOn w:val="DefaultParagraphFont"/>
    <w:qFormat/>
    <w:rsid w:val="006E4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R15-WRC15-C-0009!A22-A6!MSW-F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009DC-2C7F-4508-86FF-FDE8855BF614}">
  <ds:schemaRefs>
    <ds:schemaRef ds:uri="http://purl.org/dc/dcmitype/"/>
    <ds:schemaRef ds:uri="http://schemas.microsoft.com/office/2006/documentManagement/types"/>
    <ds:schemaRef ds:uri="http://purl.org/dc/elements/1.1/"/>
    <ds:schemaRef ds:uri="996b2e75-67fd-4955-a3b0-5ab9934cb50b"/>
    <ds:schemaRef ds:uri="http://purl.org/dc/terms/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R15-WRC15-C-0009!A22-A6!MSW-F</vt:lpstr>
    </vt:vector>
  </TitlesOfParts>
  <Manager>Secrétariat général - Pool</Manager>
  <Company>Union internationale des télécommunications (UIT)</Company>
  <LinksUpToDate>false</LinksUpToDate>
  <CharactersWithSpaces>2930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R15-WRC15-C-0009!A22-A6!MSW-F</dc:title>
  <dc:subject>Conférence mondiale des radiocommunications - 2015</dc:subject>
  <dc:creator>Documents Proposals Manager (DPM)</dc:creator>
  <cp:keywords>DPM_v5.2015.7.6_prod</cp:keywords>
  <dc:description/>
  <cp:lastModifiedBy>Jones, Jacqueline</cp:lastModifiedBy>
  <cp:revision>3</cp:revision>
  <cp:lastPrinted>2015-07-10T07:45:00Z</cp:lastPrinted>
  <dcterms:created xsi:type="dcterms:W3CDTF">2015-07-14T14:00:00Z</dcterms:created>
  <dcterms:modified xsi:type="dcterms:W3CDTF">2015-07-14T14:03:00Z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