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24B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</w:t>
            </w:r>
            <w:r w:rsidR="00A424B0">
              <w:rPr>
                <w:rFonts w:ascii="Verdana" w:hAnsi="Verdana" w:cs="Traditional Arabic"/>
                <w:b/>
                <w:sz w:val="20"/>
              </w:rPr>
              <w:t>22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A424B0">
              <w:rPr>
                <w:rFonts w:ascii="Verdana" w:hAnsi="Verdana" w:cs="Traditional Arabic"/>
                <w:b/>
                <w:sz w:val="20"/>
              </w:rPr>
              <w:t>8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rPr>
                <w:rFonts w:ascii="Verdana" w:hAnsi="Verdana" w:cs="Traditional Arabic"/>
              </w:rPr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C29F4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A424B0">
              <w:rPr>
                <w:rFonts w:asciiTheme="majorBidi" w:hAnsiTheme="majorBidi" w:cstheme="majorBidi"/>
              </w:rPr>
              <w:t>9.1(9.1.8)</w:t>
            </w:r>
          </w:p>
        </w:tc>
      </w:tr>
    </w:tbl>
    <w:bookmarkEnd w:id="7"/>
    <w:p w:rsidR="00A424B0" w:rsidRDefault="00A424B0" w:rsidP="00A424B0">
      <w:pPr>
        <w:pStyle w:val="Normalaftertitle0"/>
        <w:rPr>
          <w:lang w:val="en-US" w:eastAsia="zh-CN"/>
        </w:rPr>
      </w:pPr>
      <w:r>
        <w:rPr>
          <w:lang w:val="en-US" w:eastAsia="zh-CN"/>
        </w:rPr>
        <w:t>9</w:t>
      </w:r>
      <w:r>
        <w:rPr>
          <w:lang w:val="en-US" w:eastAsia="zh-CN"/>
        </w:rPr>
        <w:tab/>
      </w:r>
      <w:r>
        <w:rPr>
          <w:rFonts w:hint="eastAsia"/>
          <w:lang w:val="zh-CN" w:eastAsia="zh-CN"/>
        </w:rPr>
        <w:t>按照《公约》第</w:t>
      </w:r>
      <w:r>
        <w:rPr>
          <w:lang w:eastAsia="zh-CN"/>
        </w:rPr>
        <w:t>7</w:t>
      </w:r>
      <w:r>
        <w:rPr>
          <w:rFonts w:hint="eastAsia"/>
          <w:lang w:val="zh-CN" w:eastAsia="zh-CN"/>
        </w:rPr>
        <w:t>条，</w:t>
      </w:r>
      <w:r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并批准无线电通信局主任关于下列内容的报告：</w:t>
      </w:r>
    </w:p>
    <w:p w:rsidR="00A424B0" w:rsidRDefault="00A424B0" w:rsidP="00A424B0">
      <w:pPr>
        <w:rPr>
          <w:lang w:val="en-US" w:eastAsia="zh-CN"/>
        </w:rPr>
      </w:pPr>
      <w:r>
        <w:rPr>
          <w:lang w:val="en-US" w:eastAsia="zh-CN"/>
        </w:rPr>
        <w:t>9.1</w:t>
      </w:r>
      <w:r>
        <w:rPr>
          <w:b/>
          <w:lang w:val="en-US" w:eastAsia="zh-CN"/>
        </w:rPr>
        <w:tab/>
      </w:r>
      <w:r>
        <w:rPr>
          <w:rFonts w:hint="eastAsia"/>
          <w:color w:val="000000"/>
          <w:lang w:eastAsia="zh-CN"/>
        </w:rPr>
        <w:t>自</w:t>
      </w:r>
      <w:r>
        <w:rPr>
          <w:color w:val="000000"/>
          <w:lang w:eastAsia="zh-CN"/>
        </w:rPr>
        <w:t>WRC-12</w:t>
      </w:r>
      <w:r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8B1477" w:rsidP="00FC29F4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(9.1.8)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757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FC29F4">
        <w:rPr>
          <w:rFonts w:hint="eastAsia"/>
          <w:lang w:eastAsia="zh-CN"/>
        </w:rPr>
        <w:t>纳</w:t>
      </w:r>
      <w:r>
        <w:rPr>
          <w:rFonts w:hint="eastAsia"/>
          <w:lang w:eastAsia="zh-CN"/>
        </w:rPr>
        <w:t>卫星和</w:t>
      </w:r>
      <w:r w:rsidR="00FC29F4">
        <w:rPr>
          <w:rFonts w:hint="eastAsia"/>
          <w:lang w:eastAsia="zh-CN"/>
        </w:rPr>
        <w:t>皮</w:t>
      </w:r>
      <w:r>
        <w:rPr>
          <w:rFonts w:hint="eastAsia"/>
          <w:lang w:eastAsia="zh-CN"/>
        </w:rPr>
        <w:t>卫星的规则问题</w:t>
      </w:r>
    </w:p>
    <w:p w:rsidR="00A424B0" w:rsidRPr="006B6EE7" w:rsidRDefault="00FC29F4" w:rsidP="00A424B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A424B0" w:rsidRPr="00591DB8" w:rsidRDefault="00FC29F4" w:rsidP="006F725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欧洲认识到，由于小型卫星的开发和发射与日俱增，纳卫星和皮卫星面临监管挑战。欧洲认为，没有必要为部署纳卫星和皮卫星修改第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CN"/>
        </w:rPr>
        <w:t>条，因为目前的规则框架足够灵活。此外，这些条款的变更可能带来不必要的复杂化。</w:t>
      </w:r>
      <w:r>
        <w:rPr>
          <w:rFonts w:hint="eastAsia"/>
          <w:lang w:val="en-US" w:eastAsia="zh-CN"/>
        </w:rPr>
        <w:t xml:space="preserve"> </w:t>
      </w:r>
    </w:p>
    <w:p w:rsidR="00A424B0" w:rsidRPr="00591DB8" w:rsidRDefault="00FC29F4" w:rsidP="006F725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欧洲认为，应努力提高人们对卫星申报相关规则程序的认识和了解。为此，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应编制有关适用规则的材料，由各主管部门分发给</w:t>
      </w:r>
      <w:r w:rsidR="00137A57">
        <w:rPr>
          <w:rFonts w:hint="eastAsia"/>
          <w:lang w:val="en-US" w:eastAsia="zh-CN"/>
        </w:rPr>
        <w:t>各国</w:t>
      </w:r>
      <w:r>
        <w:rPr>
          <w:rFonts w:hint="eastAsia"/>
          <w:lang w:val="en-US" w:eastAsia="zh-CN"/>
        </w:rPr>
        <w:t>从事小卫星开发、生产、操作和发射的</w:t>
      </w:r>
      <w:r w:rsidR="00137A57">
        <w:rPr>
          <w:rFonts w:hint="eastAsia"/>
          <w:lang w:val="en-US" w:eastAsia="zh-CN"/>
        </w:rPr>
        <w:t>实体。就此，欧洲计划围绕上述材料的编制和分发拟议一项新的</w:t>
      </w:r>
      <w:r w:rsidR="00137A57">
        <w:rPr>
          <w:rFonts w:hint="eastAsia"/>
          <w:lang w:val="en-US" w:eastAsia="zh-CN"/>
        </w:rPr>
        <w:t>ITU-R</w:t>
      </w:r>
      <w:r w:rsidR="00137A57">
        <w:rPr>
          <w:rFonts w:hint="eastAsia"/>
          <w:lang w:val="en-US" w:eastAsia="zh-CN"/>
        </w:rPr>
        <w:t>决议。</w:t>
      </w:r>
      <w:r w:rsidR="00137A57">
        <w:rPr>
          <w:rFonts w:hint="eastAsia"/>
          <w:lang w:val="en-US" w:eastAsia="zh-CN"/>
        </w:rPr>
        <w:t xml:space="preserve"> 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B2F88" w:rsidRDefault="008B1477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EUR/9A22</w:t>
      </w:r>
      <w:r w:rsidR="00B9169A">
        <w:rPr>
          <w:lang w:eastAsia="zh-CN"/>
        </w:rPr>
        <w:t>A8</w:t>
      </w:r>
      <w:r>
        <w:rPr>
          <w:lang w:eastAsia="zh-CN"/>
        </w:rPr>
        <w:t>/1</w:t>
      </w:r>
    </w:p>
    <w:p w:rsidR="00DB1CAC" w:rsidRPr="00AE2760" w:rsidRDefault="008B1477" w:rsidP="001B1D1D">
      <w:pPr>
        <w:pStyle w:val="ArtNo"/>
        <w:rPr>
          <w:lang w:eastAsia="zh-CN"/>
        </w:rPr>
      </w:pPr>
      <w:bookmarkStart w:id="8" w:name="_Toc329768672"/>
      <w:r w:rsidRPr="003E57A5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8"/>
    </w:p>
    <w:p w:rsidR="00DB1CAC" w:rsidRDefault="008B1477" w:rsidP="00D331C9">
      <w:pPr>
        <w:pStyle w:val="Arttitle"/>
        <w:rPr>
          <w:lang w:eastAsia="zh-CN"/>
        </w:rPr>
      </w:pPr>
      <w:bookmarkStart w:id="9" w:name="_Toc329768673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 w:rsidRPr="001B1D1D">
        <w:rPr>
          <w:rStyle w:val="FootnoteReference"/>
          <w:szCs w:val="18"/>
          <w:lang w:eastAsia="zh-CN"/>
        </w:rPr>
        <w:t>1, 2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rFonts w:ascii="Times New Roman italic" w:hAnsi="Times New Roman italic" w:cs="Times New Roman italic" w:hint="eastAsia"/>
          <w:iCs/>
          <w:szCs w:val="18"/>
          <w:lang w:eastAsia="zh-CN"/>
        </w:rPr>
        <w:t>8</w:t>
      </w:r>
      <w:r w:rsidRPr="001B1D1D">
        <w:rPr>
          <w:rStyle w:val="FootnoteReference"/>
          <w:rFonts w:ascii="STKaiti" w:eastAsia="STKaiti" w:hAnsi="STKaiti" w:cs="Times New Roman italic" w:hint="eastAsia"/>
          <w:iCs/>
          <w:szCs w:val="18"/>
          <w:lang w:eastAsia="zh-CN"/>
        </w:rPr>
        <w:t>之二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12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9"/>
    </w:p>
    <w:p w:rsidR="00BB2F88" w:rsidRPr="00B9169A" w:rsidRDefault="008B1477" w:rsidP="00137A57">
      <w:pPr>
        <w:pStyle w:val="Reasons"/>
        <w:rPr>
          <w:lang w:val="en-US" w:eastAsia="zh-CN"/>
        </w:rPr>
      </w:pPr>
      <w:r>
        <w:rPr>
          <w:b/>
          <w:lang w:eastAsia="zh-CN"/>
        </w:rPr>
        <w:t>理由</w:t>
      </w:r>
      <w:r w:rsidRPr="00B9169A">
        <w:rPr>
          <w:b/>
          <w:lang w:val="en-US" w:eastAsia="zh-CN"/>
        </w:rPr>
        <w:t>：</w:t>
      </w:r>
      <w:r w:rsidRPr="00B9169A">
        <w:rPr>
          <w:lang w:val="en-US" w:eastAsia="zh-CN"/>
        </w:rPr>
        <w:tab/>
      </w:r>
      <w:r w:rsidR="00137A57">
        <w:rPr>
          <w:rFonts w:hint="eastAsia"/>
          <w:lang w:eastAsia="zh-CN"/>
        </w:rPr>
        <w:t>在此问题下，无需修改第</w:t>
      </w:r>
      <w:r w:rsidR="00137A57">
        <w:rPr>
          <w:rFonts w:hint="eastAsia"/>
          <w:lang w:eastAsia="zh-CN"/>
        </w:rPr>
        <w:t>9</w:t>
      </w:r>
      <w:r w:rsidR="00137A57">
        <w:rPr>
          <w:rFonts w:hint="eastAsia"/>
          <w:lang w:eastAsia="zh-CN"/>
        </w:rPr>
        <w:t>条。</w:t>
      </w:r>
    </w:p>
    <w:p w:rsidR="00BB2F88" w:rsidRPr="00FC29F4" w:rsidRDefault="008B1477">
      <w:pPr>
        <w:pStyle w:val="Proposal"/>
        <w:rPr>
          <w:lang w:val="en-US"/>
        </w:rPr>
      </w:pPr>
      <w:r w:rsidRPr="00FC29F4">
        <w:rPr>
          <w:u w:val="single"/>
          <w:lang w:val="en-US"/>
        </w:rPr>
        <w:t>NOC</w:t>
      </w:r>
      <w:r w:rsidRPr="00FC29F4">
        <w:rPr>
          <w:lang w:val="en-US"/>
        </w:rPr>
        <w:tab/>
        <w:t>EUR/9A22</w:t>
      </w:r>
      <w:r w:rsidR="00B9169A" w:rsidRPr="00FC29F4">
        <w:rPr>
          <w:lang w:val="en-US"/>
        </w:rPr>
        <w:t>A8</w:t>
      </w:r>
      <w:r w:rsidRPr="00FC29F4">
        <w:rPr>
          <w:lang w:val="en-US"/>
        </w:rPr>
        <w:t>/2</w:t>
      </w:r>
    </w:p>
    <w:p w:rsidR="00DB1CAC" w:rsidRPr="00F439B1" w:rsidRDefault="008B1477" w:rsidP="00F439B1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8B1477" w:rsidP="002944B0">
      <w:pPr>
        <w:pStyle w:val="Arttitle"/>
        <w:rPr>
          <w:bCs/>
          <w:sz w:val="16"/>
          <w:szCs w:val="16"/>
          <w:lang w:val="en-US" w:eastAsia="zh-CN"/>
        </w:rPr>
      </w:pPr>
      <w:bookmarkStart w:id="10" w:name="_Toc329768676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D13ACF">
        <w:rPr>
          <w:rFonts w:ascii="STKaiti" w:eastAsia="STKaiti" w:hAnsi="STKaiti" w:cs="Times New Roman italic"/>
          <w:position w:val="6"/>
          <w:sz w:val="16"/>
          <w:szCs w:val="16"/>
          <w:lang w:val="en-US" w:eastAsia="zh-CN"/>
        </w:rPr>
        <w:t> 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10"/>
    </w:p>
    <w:p w:rsidR="00BB2F88" w:rsidRDefault="008B1477" w:rsidP="00137A5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37A57" w:rsidRPr="00137A57">
        <w:rPr>
          <w:rFonts w:hint="eastAsia"/>
          <w:lang w:eastAsia="zh-CN"/>
        </w:rPr>
        <w:t>在此问题下，无需修改第</w:t>
      </w:r>
      <w:r w:rsidR="00137A57">
        <w:rPr>
          <w:rFonts w:hint="eastAsia"/>
          <w:lang w:eastAsia="zh-CN"/>
        </w:rPr>
        <w:t>11</w:t>
      </w:r>
      <w:r w:rsidR="00137A57" w:rsidRPr="00137A57">
        <w:rPr>
          <w:rFonts w:hint="eastAsia"/>
          <w:lang w:eastAsia="zh-CN"/>
        </w:rPr>
        <w:t>条</w:t>
      </w:r>
      <w:r w:rsidR="00137A57">
        <w:rPr>
          <w:rFonts w:hint="eastAsia"/>
          <w:lang w:eastAsia="zh-CN"/>
        </w:rPr>
        <w:t>。</w:t>
      </w:r>
    </w:p>
    <w:p w:rsidR="00BB2F88" w:rsidRDefault="008B147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EUR/9A22</w:t>
      </w:r>
      <w:r w:rsidR="00B9169A">
        <w:rPr>
          <w:lang w:eastAsia="zh-CN"/>
        </w:rPr>
        <w:t>A8</w:t>
      </w:r>
      <w:r>
        <w:rPr>
          <w:lang w:eastAsia="zh-CN"/>
        </w:rPr>
        <w:t>/3</w:t>
      </w:r>
    </w:p>
    <w:p w:rsidR="007B4F46" w:rsidRPr="003A607A" w:rsidRDefault="008B1477" w:rsidP="00B9169A">
      <w:pPr>
        <w:pStyle w:val="ResNo"/>
        <w:rPr>
          <w:lang w:val="en-US" w:eastAsia="zh-CN"/>
        </w:rPr>
      </w:pPr>
      <w:bookmarkStart w:id="11" w:name="_Toc328053230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757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WRC-12</w:t>
      </w:r>
      <w:r>
        <w:rPr>
          <w:rFonts w:hint="eastAsia"/>
          <w:lang w:val="en-US" w:eastAsia="zh-CN"/>
        </w:rPr>
        <w:t>）</w:t>
      </w:r>
      <w:bookmarkEnd w:id="11"/>
    </w:p>
    <w:p w:rsidR="007B4F46" w:rsidRPr="001F62ED" w:rsidRDefault="00137A57" w:rsidP="00137A57">
      <w:pPr>
        <w:pStyle w:val="Restitle"/>
        <w:rPr>
          <w:lang w:eastAsia="zh-CN"/>
        </w:rPr>
      </w:pPr>
      <w:bookmarkStart w:id="12" w:name="_Toc328053231"/>
      <w:r>
        <w:rPr>
          <w:rFonts w:hint="eastAsia"/>
          <w:lang w:eastAsia="zh-CN"/>
        </w:rPr>
        <w:t>纳</w:t>
      </w:r>
      <w:r w:rsidR="008B1477">
        <w:rPr>
          <w:rFonts w:hint="eastAsia"/>
          <w:lang w:eastAsia="zh-CN"/>
        </w:rPr>
        <w:t>卫星和</w:t>
      </w:r>
      <w:r>
        <w:rPr>
          <w:rFonts w:hint="eastAsia"/>
          <w:lang w:eastAsia="zh-CN"/>
        </w:rPr>
        <w:t>皮</w:t>
      </w:r>
      <w:r w:rsidR="008B1477">
        <w:rPr>
          <w:rFonts w:hint="eastAsia"/>
          <w:lang w:eastAsia="zh-CN"/>
        </w:rPr>
        <w:t>卫星的规则问题</w:t>
      </w:r>
      <w:bookmarkEnd w:id="12"/>
    </w:p>
    <w:p w:rsidR="00BB2F88" w:rsidRDefault="008B1477">
      <w:pPr>
        <w:pStyle w:val="Reasons"/>
        <w:rPr>
          <w:rFonts w:hAnsi="SimSun"/>
          <w:b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8135FC">
        <w:rPr>
          <w:rFonts w:hint="eastAsia"/>
          <w:lang w:eastAsia="zh-CN"/>
        </w:rPr>
        <w:t>该决议已不再需要</w:t>
      </w:r>
      <w:r w:rsidRPr="008135FC">
        <w:rPr>
          <w:rFonts w:hAnsi="SimSun" w:hint="eastAsia"/>
          <w:bCs/>
          <w:lang w:eastAsia="zh-CN"/>
        </w:rPr>
        <w:t>。</w:t>
      </w:r>
    </w:p>
    <w:p w:rsidR="006F7254" w:rsidRDefault="006F7254">
      <w:pPr>
        <w:pStyle w:val="Reasons"/>
        <w:rPr>
          <w:rFonts w:hAnsi="SimSun"/>
          <w:bCs/>
          <w:lang w:eastAsia="zh-CN"/>
        </w:rPr>
      </w:pPr>
    </w:p>
    <w:p w:rsidR="006F7254" w:rsidRDefault="006F7254" w:rsidP="0032202E">
      <w:pPr>
        <w:pStyle w:val="Reasons"/>
      </w:pPr>
    </w:p>
    <w:p w:rsidR="006F7254" w:rsidRDefault="006F7254">
      <w:pPr>
        <w:jc w:val="center"/>
      </w:pPr>
      <w:r>
        <w:t>______________</w:t>
      </w:r>
    </w:p>
    <w:p w:rsidR="006F7254" w:rsidRPr="006F7254" w:rsidRDefault="006F7254">
      <w:pPr>
        <w:pStyle w:val="Reasons"/>
        <w:rPr>
          <w:rFonts w:hint="eastAsia"/>
          <w:lang w:eastAsia="zh-CN"/>
        </w:rPr>
      </w:pPr>
    </w:p>
    <w:sectPr w:rsidR="006F7254" w:rsidRPr="006F72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54" w:rsidRDefault="006F7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9A" w:rsidRDefault="000B2932" w:rsidP="00B9169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P:\CHI\ITU-R\CONF-R\CMR15\000\009ADD22ADD08C.docx</w:t>
    </w:r>
    <w:r>
      <w:fldChar w:fldCharType="end"/>
    </w:r>
    <w:r w:rsidR="00B9169A">
      <w:t xml:space="preserve"> (383657)</w:t>
    </w:r>
    <w:r w:rsidR="00B9169A">
      <w:tab/>
    </w:r>
    <w:r w:rsidR="00B9169A">
      <w:fldChar w:fldCharType="begin"/>
    </w:r>
    <w:r w:rsidR="00B9169A">
      <w:instrText xml:space="preserve"> SAVEDATE \@ DD.MM.YY </w:instrText>
    </w:r>
    <w:r w:rsidR="00B9169A">
      <w:fldChar w:fldCharType="separate"/>
    </w:r>
    <w:r>
      <w:t>10.07.15</w:t>
    </w:r>
    <w:r w:rsidR="00B9169A">
      <w:fldChar w:fldCharType="end"/>
    </w:r>
    <w:r w:rsidR="00B9169A">
      <w:tab/>
    </w:r>
    <w:r w:rsidR="00B9169A">
      <w:fldChar w:fldCharType="begin"/>
    </w:r>
    <w:r w:rsidR="00B9169A">
      <w:instrText xml:space="preserve"> PRINTDATE \@ DD.MM.YY </w:instrText>
    </w:r>
    <w:r w:rsidR="00B9169A">
      <w:fldChar w:fldCharType="separate"/>
    </w:r>
    <w:r>
      <w:t>10.07.15</w:t>
    </w:r>
    <w:r w:rsidR="00B9169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B0" w:rsidRDefault="00137A57">
    <w:pPr>
      <w:pStyle w:val="Footer"/>
    </w:pPr>
    <w:fldSimple w:instr=" FILENAME \p  \* MERGEFORMAT ">
      <w:r w:rsidR="000B2932">
        <w:t>P:\CHI\ITU-R\CONF-R\CMR15\000\009ADD22ADD08C.docx</w:t>
      </w:r>
    </w:fldSimple>
    <w:bookmarkStart w:id="13" w:name="_GoBack"/>
    <w:bookmarkEnd w:id="13"/>
    <w:r w:rsidR="00B9169A">
      <w:t xml:space="preserve"> (383657)</w:t>
    </w:r>
    <w:r w:rsidR="00A424B0">
      <w:tab/>
    </w:r>
    <w:r w:rsidR="00A424B0">
      <w:fldChar w:fldCharType="begin"/>
    </w:r>
    <w:r w:rsidR="00A424B0">
      <w:instrText xml:space="preserve"> SAVEDATE \@ DD.MM.YY </w:instrText>
    </w:r>
    <w:r w:rsidR="00A424B0">
      <w:fldChar w:fldCharType="separate"/>
    </w:r>
    <w:r w:rsidR="000B2932">
      <w:t>10.07.15</w:t>
    </w:r>
    <w:r w:rsidR="00A424B0">
      <w:fldChar w:fldCharType="end"/>
    </w:r>
    <w:r w:rsidR="00A424B0">
      <w:tab/>
    </w:r>
    <w:r w:rsidR="00A424B0">
      <w:fldChar w:fldCharType="begin"/>
    </w:r>
    <w:r w:rsidR="00A424B0">
      <w:instrText xml:space="preserve"> PRINTDATE \@ DD.MM.YY </w:instrText>
    </w:r>
    <w:r w:rsidR="00A424B0">
      <w:fldChar w:fldCharType="separate"/>
    </w:r>
    <w:r w:rsidR="000B2932">
      <w:t>10.07.15</w:t>
    </w:r>
    <w:r w:rsidR="00A424B0">
      <w:fldChar w:fldCharType="end"/>
    </w:r>
  </w:p>
  <w:p w:rsidR="00B851D4" w:rsidRPr="00DA0469" w:rsidRDefault="00B851D4" w:rsidP="00A424B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54" w:rsidRDefault="006F7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293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9(Add.22)(Add.8)-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54" w:rsidRDefault="006F7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B2932"/>
    <w:rsid w:val="000C09BA"/>
    <w:rsid w:val="000C1F1E"/>
    <w:rsid w:val="000C6AA7"/>
    <w:rsid w:val="000E26F6"/>
    <w:rsid w:val="00123C07"/>
    <w:rsid w:val="00137A5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6F7254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1477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24B0"/>
    <w:rsid w:val="00A466E6"/>
    <w:rsid w:val="00A815BE"/>
    <w:rsid w:val="00AA5DA1"/>
    <w:rsid w:val="00AE369F"/>
    <w:rsid w:val="00B026CB"/>
    <w:rsid w:val="00B711CC"/>
    <w:rsid w:val="00B851D4"/>
    <w:rsid w:val="00B868FC"/>
    <w:rsid w:val="00B9169A"/>
    <w:rsid w:val="00B95072"/>
    <w:rsid w:val="00BB26CD"/>
    <w:rsid w:val="00BB2F88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29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05B7F67-BF47-422D-A8D9-B8E16E5B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R15-WRC15-C-0009!A22-A8!MSW-C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AFDA9-A973-479C-82AF-7EA72735783F}">
  <ds:schemaRefs>
    <ds:schemaRef ds:uri="996b2e75-67fd-4955-a3b0-5ab9934cb50b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313</Words>
  <Characters>418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R15-WRC15-C-0009!A22-A8!MSW-C</vt:lpstr>
    </vt:vector>
  </TitlesOfParts>
  <Manager>General Secretariat - Pool</Manager>
  <Company>International Telecommunication Union (ITU)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R15-WRC15-C-0009!A22-A8!MSW-C</dc:title>
  <dc:subject>World Radiocommunication Conference - 2015</dc:subject>
  <dc:creator>Documents Proposals Manager (DPM)</dc:creator>
  <cp:keywords>DPM_v5.2015.7.6_prod</cp:keywords>
  <dc:description/>
  <cp:lastModifiedBy>Yuan, Tianxiang</cp:lastModifiedBy>
  <cp:revision>6</cp:revision>
  <cp:lastPrinted>2015-07-10T09:37:00Z</cp:lastPrinted>
  <dcterms:created xsi:type="dcterms:W3CDTF">2015-07-08T12:03:00Z</dcterms:created>
  <dcterms:modified xsi:type="dcterms:W3CDTF">2015-07-10T09:37:00Z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