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1622F4" w:rsidTr="0050008E">
        <w:trPr>
          <w:cantSplit/>
        </w:trPr>
        <w:tc>
          <w:tcPr>
            <w:tcW w:w="6911" w:type="dxa"/>
          </w:tcPr>
          <w:p w:rsidR="00BB1D82" w:rsidRPr="001622F4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1622F4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1622F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1622F4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1622F4" w:rsidRDefault="002C28A4" w:rsidP="002C28A4">
            <w:pPr>
              <w:spacing w:before="0"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1622F4"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622F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1622F4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1622F4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1622F4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1622F4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1622F4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1622F4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1622F4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1622F4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622F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8 au</w:t>
            </w: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9(Add.22)</w:t>
            </w:r>
            <w:r w:rsidR="00BB1D82"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1622F4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622F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1622F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>24 juin 2015</w:t>
            </w:r>
          </w:p>
        </w:tc>
      </w:tr>
      <w:tr w:rsidR="00690C7B" w:rsidRPr="001622F4" w:rsidTr="00BB1D82">
        <w:trPr>
          <w:cantSplit/>
        </w:trPr>
        <w:tc>
          <w:tcPr>
            <w:tcW w:w="6911" w:type="dxa"/>
          </w:tcPr>
          <w:p w:rsidR="00690C7B" w:rsidRPr="001622F4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1622F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1622F4">
              <w:rPr>
                <w:rFonts w:ascii="Verdana" w:eastAsia="SimSun" w:hAnsi="Verdana" w:cs="Traditional Arabic"/>
                <w:b/>
                <w:sz w:val="20"/>
                <w:lang w:val="fr-CH"/>
              </w:rPr>
              <w:t>Original: anglais</w:t>
            </w:r>
          </w:p>
        </w:tc>
      </w:tr>
      <w:tr w:rsidR="00690C7B" w:rsidRPr="001622F4" w:rsidTr="00C11970">
        <w:trPr>
          <w:cantSplit/>
        </w:trPr>
        <w:tc>
          <w:tcPr>
            <w:tcW w:w="10031" w:type="dxa"/>
            <w:gridSpan w:val="2"/>
          </w:tcPr>
          <w:p w:rsidR="00690C7B" w:rsidRPr="001622F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1622F4" w:rsidTr="0050008E">
        <w:trPr>
          <w:cantSplit/>
        </w:trPr>
        <w:tc>
          <w:tcPr>
            <w:tcW w:w="10031" w:type="dxa"/>
            <w:gridSpan w:val="2"/>
          </w:tcPr>
          <w:p w:rsidR="00690C7B" w:rsidRPr="009457E2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9457E2">
              <w:rPr>
                <w:rFonts w:eastAsia="SimSun"/>
                <w:lang w:val="fr-CH"/>
              </w:rPr>
              <w:t>Propositions européennes communes</w:t>
            </w:r>
          </w:p>
        </w:tc>
      </w:tr>
      <w:tr w:rsidR="00690C7B" w:rsidRPr="001622F4" w:rsidTr="0050008E">
        <w:trPr>
          <w:cantSplit/>
        </w:trPr>
        <w:tc>
          <w:tcPr>
            <w:tcW w:w="10031" w:type="dxa"/>
            <w:gridSpan w:val="2"/>
          </w:tcPr>
          <w:p w:rsidR="00690C7B" w:rsidRPr="009457E2" w:rsidRDefault="001622F4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9457E2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1622F4" w:rsidTr="0050008E">
        <w:trPr>
          <w:cantSplit/>
        </w:trPr>
        <w:tc>
          <w:tcPr>
            <w:tcW w:w="10031" w:type="dxa"/>
            <w:gridSpan w:val="2"/>
          </w:tcPr>
          <w:p w:rsidR="00690C7B" w:rsidRPr="009457E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1622F4" w:rsidTr="0050008E">
        <w:trPr>
          <w:cantSplit/>
        </w:trPr>
        <w:tc>
          <w:tcPr>
            <w:tcW w:w="10031" w:type="dxa"/>
            <w:gridSpan w:val="2"/>
          </w:tcPr>
          <w:p w:rsidR="00690C7B" w:rsidRPr="009457E2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9457E2">
              <w:rPr>
                <w:rFonts w:eastAsia="SimSun"/>
              </w:rPr>
              <w:t>Point 9.1(9.1.8) de l'ordre du jour</w:t>
            </w:r>
          </w:p>
        </w:tc>
      </w:tr>
      <w:bookmarkEnd w:id="5"/>
    </w:tbl>
    <w:p w:rsidR="007E019B" w:rsidRPr="001622F4" w:rsidRDefault="007E019B" w:rsidP="006172D0">
      <w:pPr>
        <w:rPr>
          <w:lang w:val="fr-CH"/>
        </w:rPr>
      </w:pPr>
    </w:p>
    <w:p w:rsidR="007E019B" w:rsidRPr="001622F4" w:rsidRDefault="007E019B" w:rsidP="007E019B">
      <w:pPr>
        <w:rPr>
          <w:lang w:val="fr-CH"/>
        </w:rPr>
      </w:pPr>
      <w:r w:rsidRPr="001622F4">
        <w:rPr>
          <w:lang w:val="fr-CH"/>
        </w:rPr>
        <w:t>9</w:t>
      </w:r>
      <w:r w:rsidRPr="001622F4">
        <w:rPr>
          <w:lang w:val="fr-CH"/>
        </w:rPr>
        <w:tab/>
        <w:t>examiner et approuver le rapport du Directeur du Bureau des radiocommunications, conformément à l'article 7 de la Convention:</w:t>
      </w:r>
    </w:p>
    <w:p w:rsidR="007E019B" w:rsidRPr="001622F4" w:rsidRDefault="007E019B" w:rsidP="007E019B">
      <w:pPr>
        <w:rPr>
          <w:lang w:val="fr-CH"/>
        </w:rPr>
      </w:pPr>
      <w:r w:rsidRPr="001622F4">
        <w:rPr>
          <w:lang w:val="fr-CH"/>
        </w:rPr>
        <w:t>9.1</w:t>
      </w:r>
      <w:r w:rsidRPr="001622F4">
        <w:rPr>
          <w:lang w:val="fr-CH"/>
        </w:rPr>
        <w:tab/>
        <w:t>sur les activités du Secteur des radiocommunications depuis la CMR</w:t>
      </w:r>
      <w:r w:rsidRPr="001622F4">
        <w:rPr>
          <w:lang w:val="fr-CH"/>
        </w:rPr>
        <w:noBreakHyphen/>
        <w:t xml:space="preserve">12; </w:t>
      </w:r>
    </w:p>
    <w:p w:rsidR="001C0E40" w:rsidRPr="001622F4" w:rsidRDefault="00F2546D" w:rsidP="006172D0">
      <w:pPr>
        <w:rPr>
          <w:lang w:val="fr-CH"/>
        </w:rPr>
      </w:pPr>
      <w:r w:rsidRPr="001622F4">
        <w:rPr>
          <w:lang w:val="fr-CH"/>
        </w:rPr>
        <w:t>9.1(9.1.8)</w:t>
      </w:r>
      <w:r w:rsidRPr="001622F4">
        <w:rPr>
          <w:lang w:val="fr-CH"/>
        </w:rPr>
        <w:tab/>
        <w:t xml:space="preserve">Résolution </w:t>
      </w:r>
      <w:r w:rsidRPr="001622F4">
        <w:rPr>
          <w:b/>
          <w:bCs/>
          <w:lang w:val="fr-CH"/>
        </w:rPr>
        <w:t>757 (CMR-12)</w:t>
      </w:r>
      <w:r w:rsidRPr="001622F4">
        <w:rPr>
          <w:lang w:val="fr-CH"/>
        </w:rPr>
        <w:t xml:space="preserve"> – Aspects réglementaires des nanosatellites et des picosatellites</w:t>
      </w:r>
    </w:p>
    <w:p w:rsidR="007E019B" w:rsidRPr="001622F4" w:rsidRDefault="007E019B" w:rsidP="008203BF">
      <w:pPr>
        <w:pStyle w:val="Headingb"/>
        <w:rPr>
          <w:lang w:val="fr-CH"/>
        </w:rPr>
      </w:pPr>
      <w:r w:rsidRPr="008203BF">
        <w:t>Introduction</w:t>
      </w:r>
    </w:p>
    <w:p w:rsidR="00296E87" w:rsidRDefault="001622F4" w:rsidP="008203BF">
      <w:pPr>
        <w:rPr>
          <w:lang w:val="fr-CH"/>
        </w:rPr>
      </w:pPr>
      <w:r>
        <w:rPr>
          <w:lang w:val="fr-CH"/>
        </w:rPr>
        <w:t xml:space="preserve">L’Europe </w:t>
      </w:r>
      <w:r w:rsidR="008203BF">
        <w:rPr>
          <w:lang w:val="fr-CH"/>
        </w:rPr>
        <w:t>re</w:t>
      </w:r>
      <w:r>
        <w:rPr>
          <w:lang w:val="fr-CH"/>
        </w:rPr>
        <w:t xml:space="preserve">connaît que l’augmentation du nombre de petits satellites en cours </w:t>
      </w:r>
      <w:r w:rsidR="008203BF">
        <w:rPr>
          <w:lang w:val="fr-CH"/>
        </w:rPr>
        <w:t>de mise au point</w:t>
      </w:r>
      <w:r w:rsidR="00296E87">
        <w:rPr>
          <w:lang w:val="fr-CH"/>
        </w:rPr>
        <w:t xml:space="preserve"> </w:t>
      </w:r>
      <w:r w:rsidR="008203BF">
        <w:rPr>
          <w:lang w:val="fr-CH"/>
        </w:rPr>
        <w:t>ou</w:t>
      </w:r>
      <w:r w:rsidR="00296E87">
        <w:rPr>
          <w:lang w:val="fr-CH"/>
        </w:rPr>
        <w:t xml:space="preserve"> lancés </w:t>
      </w:r>
      <w:r>
        <w:rPr>
          <w:lang w:val="fr-CH"/>
        </w:rPr>
        <w:t>entraîne</w:t>
      </w:r>
      <w:r w:rsidR="00296E87">
        <w:rPr>
          <w:lang w:val="fr-CH"/>
        </w:rPr>
        <w:t xml:space="preserve"> des problèmes réglementaires </w:t>
      </w:r>
      <w:r w:rsidR="008203BF">
        <w:rPr>
          <w:lang w:val="fr-CH"/>
        </w:rPr>
        <w:t>associés aux</w:t>
      </w:r>
      <w:r w:rsidR="00296E87">
        <w:rPr>
          <w:lang w:val="fr-CH"/>
        </w:rPr>
        <w:t xml:space="preserve"> nanosatellites et </w:t>
      </w:r>
      <w:r w:rsidR="008203BF">
        <w:rPr>
          <w:lang w:val="fr-CH"/>
        </w:rPr>
        <w:t>aux</w:t>
      </w:r>
      <w:r w:rsidR="00296E87">
        <w:rPr>
          <w:lang w:val="fr-CH"/>
        </w:rPr>
        <w:t xml:space="preserve"> picosatellites. L’Europe estime qu’il n’est pas nécessaire de modifier les Articles 9 et 11 pour permettre le déploiement de nanosatellites et de picosatellites, étant donné que le cadre réglementaire existant est suffisamment souple. Par ailleurs, </w:t>
      </w:r>
      <w:r w:rsidR="008203BF">
        <w:rPr>
          <w:lang w:val="fr-CH"/>
        </w:rPr>
        <w:t>toute</w:t>
      </w:r>
      <w:r w:rsidR="00296E87">
        <w:rPr>
          <w:lang w:val="fr-CH"/>
        </w:rPr>
        <w:t xml:space="preserve"> modification </w:t>
      </w:r>
      <w:r w:rsidR="008203BF">
        <w:rPr>
          <w:lang w:val="fr-CH"/>
        </w:rPr>
        <w:t>de</w:t>
      </w:r>
      <w:r w:rsidR="00296E87">
        <w:rPr>
          <w:lang w:val="fr-CH"/>
        </w:rPr>
        <w:t xml:space="preserve"> ces Articles risque d’entraîner des complications inutiles.</w:t>
      </w:r>
    </w:p>
    <w:p w:rsidR="00296E87" w:rsidRDefault="00296E87" w:rsidP="008203BF">
      <w:pPr>
        <w:rPr>
          <w:lang w:val="fr-CH"/>
        </w:rPr>
      </w:pPr>
      <w:r>
        <w:rPr>
          <w:lang w:val="fr-CH"/>
        </w:rPr>
        <w:t xml:space="preserve">L’Europe considère qu’il conviendrait de </w:t>
      </w:r>
      <w:r w:rsidR="008203BF">
        <w:rPr>
          <w:lang w:val="fr-CH"/>
        </w:rPr>
        <w:t>s'employer à</w:t>
      </w:r>
      <w:r>
        <w:rPr>
          <w:lang w:val="fr-CH"/>
        </w:rPr>
        <w:t xml:space="preserve"> mieux faire connaître les procédures réglementaires pertinentes se rapportant à la notification des réseaux à satellite. Pour ce faire, l’UIT</w:t>
      </w:r>
      <w:r w:rsidR="008203BF">
        <w:rPr>
          <w:lang w:val="fr-CH"/>
        </w:rPr>
        <w:noBreakHyphen/>
      </w:r>
      <w:r>
        <w:rPr>
          <w:lang w:val="fr-CH"/>
        </w:rPr>
        <w:t xml:space="preserve">R devrait </w:t>
      </w:r>
      <w:r w:rsidR="008203BF">
        <w:rPr>
          <w:lang w:val="fr-CH"/>
        </w:rPr>
        <w:t>élaborer des</w:t>
      </w:r>
      <w:r>
        <w:rPr>
          <w:lang w:val="fr-CH"/>
        </w:rPr>
        <w:t xml:space="preserve"> document</w:t>
      </w:r>
      <w:r w:rsidR="008203BF">
        <w:rPr>
          <w:lang w:val="fr-CH"/>
        </w:rPr>
        <w:t>s</w:t>
      </w:r>
      <w:r>
        <w:rPr>
          <w:lang w:val="fr-CH"/>
        </w:rPr>
        <w:t xml:space="preserve"> décrivant les dispositions applicables</w:t>
      </w:r>
      <w:r w:rsidR="008203BF">
        <w:rPr>
          <w:lang w:val="fr-CH"/>
        </w:rPr>
        <w:t>,</w:t>
      </w:r>
      <w:r>
        <w:rPr>
          <w:lang w:val="fr-CH"/>
        </w:rPr>
        <w:t xml:space="preserve"> </w:t>
      </w:r>
      <w:r w:rsidR="008203BF">
        <w:rPr>
          <w:lang w:val="fr-CH"/>
        </w:rPr>
        <w:t>que les</w:t>
      </w:r>
      <w:r>
        <w:rPr>
          <w:lang w:val="fr-CH"/>
        </w:rPr>
        <w:t xml:space="preserve"> administrations</w:t>
      </w:r>
      <w:r w:rsidR="008203BF">
        <w:rPr>
          <w:lang w:val="fr-CH"/>
        </w:rPr>
        <w:t xml:space="preserve"> diffuseraient</w:t>
      </w:r>
      <w:r>
        <w:rPr>
          <w:lang w:val="fr-CH"/>
        </w:rPr>
        <w:t xml:space="preserve"> pour informe</w:t>
      </w:r>
      <w:r w:rsidR="008203BF">
        <w:rPr>
          <w:lang w:val="fr-CH"/>
        </w:rPr>
        <w:t>r</w:t>
      </w:r>
      <w:r>
        <w:rPr>
          <w:lang w:val="fr-CH"/>
        </w:rPr>
        <w:t xml:space="preserve"> les entités nationales intervenant dans </w:t>
      </w:r>
      <w:r w:rsidR="008203BF">
        <w:rPr>
          <w:lang w:val="fr-CH"/>
        </w:rPr>
        <w:t>la mise au point</w:t>
      </w:r>
      <w:r>
        <w:rPr>
          <w:lang w:val="fr-CH"/>
        </w:rPr>
        <w:t xml:space="preserve">, la fabrication, l’exploitation et le lancement de petits satellites. </w:t>
      </w:r>
      <w:r w:rsidR="008203BF">
        <w:rPr>
          <w:lang w:val="fr-CH"/>
        </w:rPr>
        <w:t>L</w:t>
      </w:r>
      <w:r>
        <w:rPr>
          <w:lang w:val="fr-CH"/>
        </w:rPr>
        <w:t xml:space="preserve">’Europe </w:t>
      </w:r>
      <w:r w:rsidR="008203BF">
        <w:rPr>
          <w:lang w:val="fr-CH"/>
        </w:rPr>
        <w:t>profite de cette occasion pour faire</w:t>
      </w:r>
      <w:r>
        <w:rPr>
          <w:lang w:val="fr-CH"/>
        </w:rPr>
        <w:t xml:space="preserve"> savoir qu’elle souhaite proposer une nouvelle Résolution UIT-R relative à l’élaboration et à la diffusion de ce</w:t>
      </w:r>
      <w:r w:rsidR="008203BF">
        <w:rPr>
          <w:lang w:val="fr-CH"/>
        </w:rPr>
        <w:t>s</w:t>
      </w:r>
      <w:r>
        <w:rPr>
          <w:lang w:val="fr-CH"/>
        </w:rPr>
        <w:t xml:space="preserve"> document</w:t>
      </w:r>
      <w:r w:rsidR="008203BF">
        <w:rPr>
          <w:lang w:val="fr-CH"/>
        </w:rPr>
        <w:t>s</w:t>
      </w:r>
      <w:r>
        <w:rPr>
          <w:lang w:val="fr-CH"/>
        </w:rPr>
        <w:t>.</w:t>
      </w:r>
    </w:p>
    <w:p w:rsidR="007E019B" w:rsidRPr="001622F4" w:rsidRDefault="008203BF" w:rsidP="008203BF">
      <w:pPr>
        <w:pStyle w:val="Headingb"/>
        <w:rPr>
          <w:lang w:val="fr-CH"/>
        </w:rPr>
      </w:pPr>
      <w:r>
        <w:rPr>
          <w:lang w:val="fr-CH"/>
        </w:rPr>
        <w:t>Propositions</w:t>
      </w:r>
    </w:p>
    <w:p w:rsidR="0015203F" w:rsidRPr="001622F4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1622F4">
        <w:rPr>
          <w:lang w:val="fr-CH"/>
        </w:rPr>
        <w:br w:type="page"/>
      </w:r>
    </w:p>
    <w:p w:rsidR="00715A07" w:rsidRPr="001622F4" w:rsidRDefault="00F2546D">
      <w:pPr>
        <w:pStyle w:val="Proposal"/>
        <w:rPr>
          <w:lang w:val="fr-CH"/>
        </w:rPr>
      </w:pPr>
      <w:r w:rsidRPr="001622F4">
        <w:rPr>
          <w:u w:val="single"/>
          <w:lang w:val="fr-CH"/>
        </w:rPr>
        <w:lastRenderedPageBreak/>
        <w:t>NOC</w:t>
      </w:r>
      <w:r w:rsidRPr="001622F4">
        <w:rPr>
          <w:lang w:val="fr-CH"/>
        </w:rPr>
        <w:tab/>
        <w:t>EUR/9A22</w:t>
      </w:r>
      <w:r w:rsidR="007E019B" w:rsidRPr="001622F4">
        <w:rPr>
          <w:lang w:val="fr-CH"/>
        </w:rPr>
        <w:t>A8</w:t>
      </w:r>
      <w:r w:rsidRPr="001622F4">
        <w:rPr>
          <w:lang w:val="fr-CH"/>
        </w:rPr>
        <w:t>/1</w:t>
      </w:r>
    </w:p>
    <w:p w:rsidR="004A6A8C" w:rsidRPr="001622F4" w:rsidRDefault="00F2546D" w:rsidP="006B1E68">
      <w:pPr>
        <w:pStyle w:val="ArtNo"/>
        <w:rPr>
          <w:lang w:val="fr-CH"/>
        </w:rPr>
      </w:pPr>
      <w:r w:rsidRPr="001622F4">
        <w:rPr>
          <w:lang w:val="fr-CH"/>
        </w:rPr>
        <w:t xml:space="preserve">ARTICLE </w:t>
      </w:r>
      <w:r w:rsidRPr="001622F4">
        <w:rPr>
          <w:rStyle w:val="href"/>
          <w:color w:val="000000"/>
          <w:lang w:val="fr-CH"/>
        </w:rPr>
        <w:t>9</w:t>
      </w:r>
    </w:p>
    <w:p w:rsidR="004A6A8C" w:rsidRPr="001622F4" w:rsidRDefault="00F2546D" w:rsidP="00D44795">
      <w:pPr>
        <w:pStyle w:val="Arttitle"/>
        <w:rPr>
          <w:lang w:val="fr-CH"/>
        </w:rPr>
      </w:pPr>
      <w:r w:rsidRPr="001622F4">
        <w:rPr>
          <w:lang w:val="fr-CH"/>
        </w:rPr>
        <w:t>Procédure à appliquer pour effectu</w:t>
      </w:r>
      <w:bookmarkStart w:id="6" w:name="_GoBack"/>
      <w:bookmarkEnd w:id="6"/>
      <w:r w:rsidRPr="001622F4">
        <w:rPr>
          <w:lang w:val="fr-CH"/>
        </w:rPr>
        <w:t>er la coordination avec d'autres administrations ou obtenir leur accord</w:t>
      </w:r>
      <w:r w:rsidRPr="001622F4">
        <w:rPr>
          <w:rStyle w:val="FootnoteReference"/>
          <w:lang w:val="fr-CH"/>
        </w:rPr>
        <w:t>1, 2, 3, 4, 5, 6, 7, 8, 8bis </w:t>
      </w:r>
      <w:r w:rsidRPr="001622F4">
        <w:rPr>
          <w:b w:val="0"/>
          <w:bCs/>
          <w:sz w:val="16"/>
          <w:szCs w:val="16"/>
          <w:lang w:val="fr-CH"/>
        </w:rPr>
        <w:t>   (CMR-12)</w:t>
      </w:r>
    </w:p>
    <w:p w:rsidR="00715A07" w:rsidRPr="001622F4" w:rsidRDefault="00F2546D" w:rsidP="008203BF">
      <w:pPr>
        <w:pStyle w:val="Reasons"/>
        <w:spacing w:line="720" w:lineRule="auto"/>
        <w:rPr>
          <w:lang w:val="fr-CH"/>
        </w:rPr>
      </w:pPr>
      <w:r w:rsidRPr="001622F4">
        <w:rPr>
          <w:b/>
          <w:lang w:val="fr-CH"/>
        </w:rPr>
        <w:t>Motifs:</w:t>
      </w:r>
      <w:r w:rsidRPr="001622F4">
        <w:rPr>
          <w:lang w:val="fr-CH"/>
        </w:rPr>
        <w:tab/>
      </w:r>
      <w:r w:rsidR="00C36FA2">
        <w:rPr>
          <w:lang w:val="fr-CH"/>
        </w:rPr>
        <w:t xml:space="preserve">Il n’est pas nécessaire de modifier l’Article 9 au titre de </w:t>
      </w:r>
      <w:r w:rsidR="008203BF">
        <w:rPr>
          <w:lang w:val="fr-CH"/>
        </w:rPr>
        <w:t>cette question</w:t>
      </w:r>
      <w:r w:rsidR="00C36FA2">
        <w:rPr>
          <w:lang w:val="fr-CH"/>
        </w:rPr>
        <w:t>.</w:t>
      </w:r>
    </w:p>
    <w:p w:rsidR="00715A07" w:rsidRPr="001622F4" w:rsidRDefault="00F2546D">
      <w:pPr>
        <w:pStyle w:val="Proposal"/>
        <w:rPr>
          <w:lang w:val="fr-CH"/>
        </w:rPr>
      </w:pPr>
      <w:r w:rsidRPr="001622F4">
        <w:rPr>
          <w:u w:val="single"/>
          <w:lang w:val="fr-CH"/>
        </w:rPr>
        <w:t>NOC</w:t>
      </w:r>
      <w:r w:rsidRPr="001622F4">
        <w:rPr>
          <w:lang w:val="fr-CH"/>
        </w:rPr>
        <w:tab/>
        <w:t>EUR/9A22</w:t>
      </w:r>
      <w:r w:rsidR="008203BF">
        <w:rPr>
          <w:lang w:val="fr-CH"/>
        </w:rPr>
        <w:t>A8</w:t>
      </w:r>
      <w:r w:rsidRPr="001622F4">
        <w:rPr>
          <w:lang w:val="fr-CH"/>
        </w:rPr>
        <w:t>/2</w:t>
      </w:r>
    </w:p>
    <w:p w:rsidR="004A6A8C" w:rsidRPr="001622F4" w:rsidRDefault="00F2546D" w:rsidP="00501CC0">
      <w:pPr>
        <w:pStyle w:val="ArtNo"/>
        <w:rPr>
          <w:lang w:val="fr-CH"/>
        </w:rPr>
      </w:pPr>
      <w:r w:rsidRPr="001622F4">
        <w:rPr>
          <w:lang w:val="fr-CH"/>
        </w:rPr>
        <w:t xml:space="preserve">ARTICLE </w:t>
      </w:r>
      <w:r w:rsidRPr="001622F4">
        <w:rPr>
          <w:rStyle w:val="href"/>
          <w:lang w:val="fr-CH"/>
        </w:rPr>
        <w:t>11</w:t>
      </w:r>
    </w:p>
    <w:p w:rsidR="004A6A8C" w:rsidRPr="001622F4" w:rsidRDefault="00F2546D" w:rsidP="00DC7B57">
      <w:pPr>
        <w:pStyle w:val="Arttitle"/>
        <w:rPr>
          <w:lang w:val="fr-CH"/>
        </w:rPr>
      </w:pPr>
      <w:r w:rsidRPr="001622F4">
        <w:rPr>
          <w:lang w:val="fr-CH"/>
        </w:rPr>
        <w:t>Notification et inscription des assignations</w:t>
      </w:r>
      <w:r w:rsidRPr="001622F4">
        <w:rPr>
          <w:lang w:val="fr-CH"/>
        </w:rPr>
        <w:br/>
        <w:t>de fréquence</w:t>
      </w:r>
      <w:r w:rsidRPr="001622F4">
        <w:rPr>
          <w:rStyle w:val="FootnoteReference"/>
          <w:lang w:val="fr-CH"/>
        </w:rPr>
        <w:t>1, 2, 3, 4, 5, 6, 7, 7bis </w:t>
      </w:r>
      <w:r w:rsidRPr="001622F4">
        <w:rPr>
          <w:b w:val="0"/>
          <w:bCs/>
          <w:sz w:val="16"/>
          <w:szCs w:val="16"/>
          <w:lang w:val="fr-CH"/>
        </w:rPr>
        <w:t>  (CMR-12)</w:t>
      </w:r>
    </w:p>
    <w:p w:rsidR="00715A07" w:rsidRPr="001622F4" w:rsidRDefault="00F2546D">
      <w:pPr>
        <w:pStyle w:val="Reasons"/>
        <w:rPr>
          <w:lang w:val="fr-CH"/>
        </w:rPr>
      </w:pPr>
      <w:r w:rsidRPr="001622F4">
        <w:rPr>
          <w:b/>
          <w:lang w:val="fr-CH"/>
        </w:rPr>
        <w:t>Motifs:</w:t>
      </w:r>
      <w:r w:rsidRPr="001622F4">
        <w:rPr>
          <w:lang w:val="fr-CH"/>
        </w:rPr>
        <w:tab/>
      </w:r>
      <w:r w:rsidR="008203BF">
        <w:rPr>
          <w:lang w:val="fr-CH"/>
        </w:rPr>
        <w:t>Il n'est pas nécessaire de modifier l'Article 11 au titre de cette question.</w:t>
      </w:r>
    </w:p>
    <w:p w:rsidR="00715A07" w:rsidRPr="001622F4" w:rsidRDefault="00F2546D">
      <w:pPr>
        <w:pStyle w:val="Proposal"/>
        <w:rPr>
          <w:lang w:val="fr-CH"/>
        </w:rPr>
      </w:pPr>
      <w:r w:rsidRPr="001622F4">
        <w:rPr>
          <w:lang w:val="fr-CH"/>
        </w:rPr>
        <w:t>SUP</w:t>
      </w:r>
      <w:r w:rsidRPr="001622F4">
        <w:rPr>
          <w:lang w:val="fr-CH"/>
        </w:rPr>
        <w:tab/>
        <w:t>EUR/9A22</w:t>
      </w:r>
      <w:r w:rsidR="008203BF">
        <w:rPr>
          <w:lang w:val="fr-CH"/>
        </w:rPr>
        <w:t>A8</w:t>
      </w:r>
      <w:r w:rsidRPr="001622F4">
        <w:rPr>
          <w:lang w:val="fr-CH"/>
        </w:rPr>
        <w:t>/3</w:t>
      </w:r>
    </w:p>
    <w:p w:rsidR="00DD4258" w:rsidRPr="001622F4" w:rsidRDefault="00F2546D" w:rsidP="00DD4258">
      <w:pPr>
        <w:pStyle w:val="ResNo"/>
        <w:rPr>
          <w:lang w:val="fr-CH"/>
        </w:rPr>
      </w:pPr>
      <w:r w:rsidRPr="001622F4">
        <w:rPr>
          <w:caps w:val="0"/>
          <w:lang w:val="fr-CH"/>
        </w:rPr>
        <w:t xml:space="preserve">RÉSOLUTION </w:t>
      </w:r>
      <w:r w:rsidRPr="001622F4">
        <w:rPr>
          <w:rStyle w:val="href"/>
          <w:caps w:val="0"/>
          <w:lang w:val="fr-CH"/>
        </w:rPr>
        <w:t>757</w:t>
      </w:r>
      <w:r w:rsidRPr="001622F4">
        <w:rPr>
          <w:caps w:val="0"/>
          <w:lang w:val="fr-CH"/>
        </w:rPr>
        <w:t xml:space="preserve"> (CMR-12)</w:t>
      </w:r>
    </w:p>
    <w:p w:rsidR="00DD4258" w:rsidRPr="001622F4" w:rsidRDefault="00F2546D" w:rsidP="00AC1F0E">
      <w:pPr>
        <w:pStyle w:val="Restitle"/>
        <w:rPr>
          <w:lang w:val="fr-CH"/>
        </w:rPr>
      </w:pPr>
      <w:r w:rsidRPr="001622F4">
        <w:rPr>
          <w:lang w:val="fr-CH"/>
        </w:rPr>
        <w:t>Aspects réglementaires des nanosatellites et des picosatellites</w:t>
      </w:r>
    </w:p>
    <w:p w:rsidR="007E019B" w:rsidRPr="001622F4" w:rsidRDefault="00F2546D" w:rsidP="007E019B">
      <w:pPr>
        <w:pStyle w:val="Reasons"/>
        <w:rPr>
          <w:sz w:val="22"/>
          <w:lang w:val="fr-CH" w:eastAsia="zh-CN"/>
        </w:rPr>
      </w:pPr>
      <w:r w:rsidRPr="001622F4">
        <w:rPr>
          <w:b/>
          <w:lang w:val="fr-CH"/>
        </w:rPr>
        <w:t>Motifs:</w:t>
      </w:r>
      <w:r w:rsidRPr="001622F4">
        <w:rPr>
          <w:lang w:val="fr-CH"/>
        </w:rPr>
        <w:tab/>
      </w:r>
      <w:r w:rsidR="007E019B" w:rsidRPr="001622F4">
        <w:rPr>
          <w:lang w:val="fr-CH"/>
        </w:rPr>
        <w:t>Cette Résolution n'a plus lieu d'être.</w:t>
      </w:r>
    </w:p>
    <w:p w:rsidR="00715A07" w:rsidRPr="001622F4" w:rsidRDefault="00715A07">
      <w:pPr>
        <w:pStyle w:val="Reasons"/>
        <w:rPr>
          <w:lang w:val="fr-CH"/>
        </w:rPr>
      </w:pPr>
    </w:p>
    <w:p w:rsidR="00F2546D" w:rsidRPr="001622F4" w:rsidRDefault="00F2546D">
      <w:pPr>
        <w:pStyle w:val="Reasons"/>
        <w:rPr>
          <w:lang w:val="fr-CH"/>
        </w:rPr>
      </w:pPr>
    </w:p>
    <w:p w:rsidR="00F2546D" w:rsidRPr="001622F4" w:rsidRDefault="00F2546D" w:rsidP="00F2546D">
      <w:pPr>
        <w:jc w:val="center"/>
        <w:rPr>
          <w:lang w:val="fr-CH"/>
        </w:rPr>
      </w:pPr>
      <w:r w:rsidRPr="001622F4">
        <w:rPr>
          <w:lang w:val="fr-CH"/>
        </w:rPr>
        <w:t>___________</w:t>
      </w:r>
    </w:p>
    <w:sectPr w:rsidR="00F2546D" w:rsidRPr="001622F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03BF">
      <w:rPr>
        <w:noProof/>
      </w:rPr>
      <w:t>08.07.15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457E2">
      <w:rPr>
        <w:lang w:val="en-US"/>
      </w:rPr>
      <w:t>P:\FRA\ITU-R\CONF-R\CMR15\000\009ADD22ADD08F.docx</w:t>
    </w:r>
    <w:r>
      <w:fldChar w:fldCharType="end"/>
    </w:r>
    <w:r w:rsidR="009457E2">
      <w:t xml:space="preserve"> (383657)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03BF">
      <w:t>08.07.15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457E2">
      <w:rPr>
        <w:lang w:val="en-US"/>
      </w:rPr>
      <w:t>P:\FRA\ITU-R\CONF-R\CMR15\000\009ADD22ADD08F.docx</w:t>
    </w:r>
    <w:r>
      <w:fldChar w:fldCharType="end"/>
    </w:r>
    <w:r w:rsidR="009457E2">
      <w:t xml:space="preserve"> (383657)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03BF">
      <w:t>08.07.15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457E2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9(Add.22)(Add.8)-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1275A41-091D-4182-8995-AC2D3BBBA494}"/>
    <w:docVar w:name="dgnword-eventsink" w:val="400307808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622F4"/>
    <w:rsid w:val="0018169B"/>
    <w:rsid w:val="0019352B"/>
    <w:rsid w:val="001960D0"/>
    <w:rsid w:val="00204306"/>
    <w:rsid w:val="00232FD2"/>
    <w:rsid w:val="0026554E"/>
    <w:rsid w:val="00296E87"/>
    <w:rsid w:val="002A453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15A07"/>
    <w:rsid w:val="00721F04"/>
    <w:rsid w:val="00730E95"/>
    <w:rsid w:val="007426B9"/>
    <w:rsid w:val="00764342"/>
    <w:rsid w:val="00774362"/>
    <w:rsid w:val="00786598"/>
    <w:rsid w:val="007A04E8"/>
    <w:rsid w:val="007E019B"/>
    <w:rsid w:val="008203BF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457E2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36FA2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2546D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9E7FFB7-CD67-4ADF-8122-5F512C7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ReasonsChar">
    <w:name w:val="Reasons Char"/>
    <w:basedOn w:val="DefaultParagraphFont"/>
    <w:link w:val="Reasons"/>
    <w:locked/>
    <w:rsid w:val="007E019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R15-WRC15-C-0009!A22-A8!MSW-F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4E2C2-935D-4301-AE18-543C494DCEFF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R15-WRC15-C-0009!A22-A8!MSW-F</vt:lpstr>
    </vt:vector>
  </TitlesOfParts>
  <Manager>Secrétariat général - Pool</Manager>
  <Company>Union internationale des télécommunications (UIT)</Company>
  <LinksUpToDate>false</LinksUpToDate>
  <CharactersWithSpaces>2429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R15-WRC15-C-0009!A22-A8!MSW-F</dc:title>
  <dc:subject>Conférence mondiale des radiocommunications - 2015</dc:subject>
  <dc:creator>Documents Proposals Manager (DPM)</dc:creator>
  <cp:keywords>DPM_v5.2015.7.6_prod</cp:keywords>
  <dc:description/>
  <cp:lastModifiedBy>Jones, Jacqueline</cp:lastModifiedBy>
  <cp:revision>3</cp:revision>
  <cp:lastPrinted>2003-06-05T19:34:00Z</cp:lastPrinted>
  <dcterms:created xsi:type="dcterms:W3CDTF">2015-07-14T07:02:00Z</dcterms:created>
  <dcterms:modified xsi:type="dcterms:W3CDTF">2015-07-14T07:08:00Z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