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934B5" w:rsidTr="0050008E">
        <w:trPr>
          <w:cantSplit/>
        </w:trPr>
        <w:tc>
          <w:tcPr>
            <w:tcW w:w="6911" w:type="dxa"/>
          </w:tcPr>
          <w:p w:rsidR="0090121B" w:rsidRPr="000934B5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934B5">
              <w:rPr>
                <w:rFonts w:ascii="Verdana" w:eastAsia="SimSun" w:hAnsi="Verdana" w:cs="Traditional Arabic"/>
                <w:b/>
                <w:position w:val="6"/>
                <w:sz w:val="20"/>
              </w:rPr>
              <w:t>Conferencia Mundial de Radiocomunicaciones (CMR-15)</w:t>
            </w:r>
            <w:r w:rsidRPr="000934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934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0934B5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0934B5">
              <w:rPr>
                <w:noProof/>
                <w:lang w:val="en-GB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934B5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934B5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0934B5">
              <w:rPr>
                <w:rFonts w:ascii="Verdana" w:eastAsia="SimSun" w:hAnsi="Verdana" w:cs="Traditional Arabic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934B5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0934B5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934B5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934B5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0934B5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0934B5" w:rsidRDefault="00AE658F" w:rsidP="00F536BD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934B5">
              <w:rPr>
                <w:rFonts w:ascii="Verdana" w:eastAsia="SimSun" w:hAnsi="Verdana" w:cs="Traditional Arabic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934B5" w:rsidRDefault="00AE658F" w:rsidP="00F536BD">
            <w:pPr>
              <w:spacing w:before="0"/>
              <w:rPr>
                <w:rFonts w:ascii="Verdana" w:hAnsi="Verdana"/>
                <w:sz w:val="20"/>
              </w:rPr>
            </w:pPr>
            <w:r w:rsidRPr="000934B5">
              <w:rPr>
                <w:rFonts w:ascii="Verdana" w:eastAsia="SimSun" w:hAnsi="Verdana" w:cs="Traditional Arabic"/>
                <w:b/>
                <w:sz w:val="20"/>
              </w:rPr>
              <w:t>Addéndum 8 al</w:t>
            </w:r>
            <w:r w:rsidRPr="000934B5">
              <w:rPr>
                <w:rFonts w:ascii="Verdana" w:eastAsia="SimSun" w:hAnsi="Verdana" w:cs="Traditional Arabic"/>
                <w:b/>
                <w:sz w:val="20"/>
              </w:rPr>
              <w:br/>
              <w:t>Documento 9(Add.22)</w:t>
            </w:r>
            <w:r w:rsidR="0090121B" w:rsidRPr="000934B5">
              <w:rPr>
                <w:rFonts w:ascii="Verdana" w:eastAsia="SimSun" w:hAnsi="Verdana" w:cs="Traditional Arabic"/>
                <w:b/>
                <w:sz w:val="20"/>
              </w:rPr>
              <w:t>-</w:t>
            </w:r>
            <w:r w:rsidRPr="000934B5">
              <w:rPr>
                <w:rFonts w:ascii="Verdana" w:eastAsia="SimSun" w:hAnsi="Verdana" w:cs="Traditional Arabic"/>
                <w:b/>
                <w:sz w:val="20"/>
              </w:rPr>
              <w:t>S</w:t>
            </w:r>
          </w:p>
        </w:tc>
      </w:tr>
      <w:bookmarkEnd w:id="1"/>
      <w:tr w:rsidR="000A5B9A" w:rsidRPr="000934B5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934B5" w:rsidRDefault="000A5B9A" w:rsidP="00F536BD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934B5" w:rsidRDefault="000A5B9A" w:rsidP="00F536BD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934B5">
              <w:rPr>
                <w:rFonts w:ascii="Verdana" w:eastAsia="SimSun" w:hAnsi="Verdana" w:cs="Traditional Arabic"/>
                <w:b/>
                <w:sz w:val="20"/>
              </w:rPr>
              <w:t>24 de junio de 2015</w:t>
            </w:r>
          </w:p>
        </w:tc>
      </w:tr>
      <w:tr w:rsidR="000A5B9A" w:rsidRPr="000934B5" w:rsidTr="0090121B">
        <w:trPr>
          <w:cantSplit/>
        </w:trPr>
        <w:tc>
          <w:tcPr>
            <w:tcW w:w="6911" w:type="dxa"/>
          </w:tcPr>
          <w:p w:rsidR="000A5B9A" w:rsidRPr="000934B5" w:rsidRDefault="000A5B9A" w:rsidP="00F536BD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0934B5" w:rsidRDefault="000A5B9A" w:rsidP="00F536BD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934B5">
              <w:rPr>
                <w:rFonts w:ascii="Verdana" w:eastAsia="SimSun" w:hAnsi="Verdana" w:cs="Traditional Arabic"/>
                <w:b/>
                <w:sz w:val="20"/>
              </w:rPr>
              <w:t>Original: inglés</w:t>
            </w:r>
          </w:p>
        </w:tc>
      </w:tr>
      <w:tr w:rsidR="000A5B9A" w:rsidRPr="000934B5" w:rsidTr="006744FC">
        <w:trPr>
          <w:cantSplit/>
        </w:trPr>
        <w:tc>
          <w:tcPr>
            <w:tcW w:w="10031" w:type="dxa"/>
            <w:gridSpan w:val="2"/>
          </w:tcPr>
          <w:p w:rsidR="000A5B9A" w:rsidRPr="000934B5" w:rsidRDefault="000A5B9A" w:rsidP="00F536BD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0934B5" w:rsidTr="0050008E">
        <w:trPr>
          <w:cantSplit/>
        </w:trPr>
        <w:tc>
          <w:tcPr>
            <w:tcW w:w="10031" w:type="dxa"/>
            <w:gridSpan w:val="2"/>
          </w:tcPr>
          <w:p w:rsidR="000A5B9A" w:rsidRPr="000934B5" w:rsidRDefault="000A5B9A" w:rsidP="00F536BD">
            <w:pPr>
              <w:pStyle w:val="Source"/>
              <w:rPr>
                <w:rFonts w:asciiTheme="majorBidi" w:hAnsiTheme="majorBidi" w:cstheme="majorBidi"/>
              </w:rPr>
            </w:pPr>
            <w:bookmarkStart w:id="2" w:name="dsource" w:colFirst="0" w:colLast="0"/>
            <w:r w:rsidRPr="000934B5">
              <w:rPr>
                <w:rFonts w:asciiTheme="majorBidi" w:eastAsia="SimSun" w:hAnsiTheme="majorBidi" w:cstheme="majorBidi"/>
              </w:rPr>
              <w:t>Propuestas Comunes Europeas</w:t>
            </w:r>
          </w:p>
        </w:tc>
      </w:tr>
      <w:tr w:rsidR="000A5B9A" w:rsidRPr="000934B5" w:rsidTr="0050008E">
        <w:trPr>
          <w:cantSplit/>
        </w:trPr>
        <w:tc>
          <w:tcPr>
            <w:tcW w:w="10031" w:type="dxa"/>
            <w:gridSpan w:val="2"/>
          </w:tcPr>
          <w:p w:rsidR="000A5B9A" w:rsidRPr="000934B5" w:rsidRDefault="00672606" w:rsidP="00F536BD">
            <w:pPr>
              <w:pStyle w:val="Title1"/>
              <w:rPr>
                <w:rFonts w:asciiTheme="majorBidi" w:hAnsiTheme="majorBidi" w:cstheme="majorBidi"/>
              </w:rPr>
            </w:pPr>
            <w:bookmarkStart w:id="3" w:name="dtitle1" w:colFirst="0" w:colLast="0"/>
            <w:bookmarkEnd w:id="2"/>
            <w:r w:rsidRPr="000934B5">
              <w:rPr>
                <w:rFonts w:asciiTheme="majorBidi" w:eastAsia="SimSun" w:hAnsiTheme="majorBidi" w:cstheme="majorBidi"/>
              </w:rPr>
              <w:t>PROPUESTAS PARA LOS TRABAJOS DE LA CONFERENCIA</w:t>
            </w:r>
          </w:p>
        </w:tc>
      </w:tr>
      <w:tr w:rsidR="000A5B9A" w:rsidRPr="000934B5" w:rsidTr="0050008E">
        <w:trPr>
          <w:cantSplit/>
        </w:trPr>
        <w:tc>
          <w:tcPr>
            <w:tcW w:w="10031" w:type="dxa"/>
            <w:gridSpan w:val="2"/>
          </w:tcPr>
          <w:p w:rsidR="000A5B9A" w:rsidRPr="000934B5" w:rsidRDefault="000A5B9A" w:rsidP="00F536BD">
            <w:pPr>
              <w:pStyle w:val="Title2"/>
              <w:rPr>
                <w:rFonts w:asciiTheme="majorBidi" w:hAnsiTheme="majorBidi" w:cstheme="majorBidi"/>
              </w:rPr>
            </w:pPr>
            <w:bookmarkStart w:id="4" w:name="dtitle2" w:colFirst="0" w:colLast="0"/>
            <w:bookmarkEnd w:id="3"/>
          </w:p>
        </w:tc>
      </w:tr>
      <w:tr w:rsidR="000A5B9A" w:rsidRPr="000934B5" w:rsidTr="0050008E">
        <w:trPr>
          <w:cantSplit/>
        </w:trPr>
        <w:tc>
          <w:tcPr>
            <w:tcW w:w="10031" w:type="dxa"/>
            <w:gridSpan w:val="2"/>
          </w:tcPr>
          <w:p w:rsidR="000A5B9A" w:rsidRPr="000934B5" w:rsidRDefault="000A5B9A" w:rsidP="00F536BD">
            <w:pPr>
              <w:pStyle w:val="Agendaitem"/>
              <w:rPr>
                <w:rFonts w:asciiTheme="majorBidi" w:hAnsiTheme="majorBidi" w:cstheme="majorBidi"/>
              </w:rPr>
            </w:pPr>
            <w:bookmarkStart w:id="5" w:name="dtitle3" w:colFirst="0" w:colLast="0"/>
            <w:bookmarkEnd w:id="4"/>
            <w:r w:rsidRPr="000934B5">
              <w:rPr>
                <w:rFonts w:asciiTheme="majorBidi" w:eastAsia="SimSun" w:hAnsiTheme="majorBidi" w:cstheme="majorBidi"/>
              </w:rPr>
              <w:t>Punto 9.1(9.1.8) del orden del día</w:t>
            </w:r>
          </w:p>
        </w:tc>
      </w:tr>
    </w:tbl>
    <w:bookmarkEnd w:id="5"/>
    <w:p w:rsidR="00263076" w:rsidRPr="000934B5" w:rsidRDefault="00263076" w:rsidP="00F536BD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240"/>
      </w:pPr>
      <w:r w:rsidRPr="000934B5">
        <w:t>9</w:t>
      </w:r>
      <w:r w:rsidRPr="000934B5">
        <w:tab/>
        <w:t>examinar y aprobar el Informe del Director de la Oficina de Radiocomunicaciones, de conformidad con el Artículo 7 del Convenio:</w:t>
      </w:r>
    </w:p>
    <w:p w:rsidR="00263076" w:rsidRPr="000934B5" w:rsidRDefault="00263076" w:rsidP="00F536BD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  <w:r w:rsidRPr="000934B5">
        <w:t>9.1</w:t>
      </w:r>
      <w:r w:rsidRPr="000934B5">
        <w:tab/>
        <w:t>sobre las actividades del Sector de Radiocomunicaciones desde la CMR-12;</w:t>
      </w:r>
    </w:p>
    <w:p w:rsidR="001C0E40" w:rsidRPr="000934B5" w:rsidRDefault="001945E2" w:rsidP="00F536BD">
      <w:r w:rsidRPr="000934B5">
        <w:t>9.1</w:t>
      </w:r>
      <w:r w:rsidR="00263076" w:rsidRPr="000934B5">
        <w:t xml:space="preserve"> </w:t>
      </w:r>
      <w:r w:rsidRPr="000934B5">
        <w:t xml:space="preserve">(9.1.8) </w:t>
      </w:r>
      <w:r w:rsidRPr="000934B5">
        <w:tab/>
        <w:t xml:space="preserve">Resolución </w:t>
      </w:r>
      <w:r w:rsidRPr="000934B5">
        <w:rPr>
          <w:b/>
          <w:bCs/>
        </w:rPr>
        <w:t>757 (CMR-12)</w:t>
      </w:r>
      <w:r w:rsidRPr="000934B5">
        <w:t xml:space="preserve"> - Aspectos reglamentarios de los nanosatélites y los picosatélites</w:t>
      </w:r>
    </w:p>
    <w:p w:rsidR="00C83F3F" w:rsidRPr="000934B5" w:rsidRDefault="00C83F3F" w:rsidP="00F536BD">
      <w:pPr>
        <w:pStyle w:val="Headingb"/>
      </w:pPr>
      <w:r w:rsidRPr="000934B5">
        <w:t>Introducción</w:t>
      </w:r>
    </w:p>
    <w:p w:rsidR="00C83F3F" w:rsidRPr="000934B5" w:rsidRDefault="00C83F3F" w:rsidP="00F536BD">
      <w:r w:rsidRPr="000934B5">
        <w:t>Europ</w:t>
      </w:r>
      <w:r w:rsidR="000934B5">
        <w:t xml:space="preserve">a reconoce que, debido al número creciente de pequeños satélites en desarrollo y lanzados, existen desafíos reglamentarios asociados a los nanosatélites y los picosatélites. Europa considera que no hay necesidad de modificar los Artículos 9 y 11 para permitir el despliegue de </w:t>
      </w:r>
      <w:r w:rsidR="000934B5" w:rsidRPr="000934B5">
        <w:t>nanosatélites y picosatélites</w:t>
      </w:r>
      <w:r w:rsidR="000934B5">
        <w:t xml:space="preserve"> puesto que el actual marco reglamentario es lo suficientemente flexible. Además, cualquier modificación de los artículos citados podría añadir complicaciones innecesarias</w:t>
      </w:r>
      <w:r w:rsidRPr="000934B5">
        <w:t>.</w:t>
      </w:r>
    </w:p>
    <w:p w:rsidR="008750A8" w:rsidRPr="000934B5" w:rsidRDefault="00C83F3F" w:rsidP="00F536BD">
      <w:r w:rsidRPr="000934B5">
        <w:t>Europ</w:t>
      </w:r>
      <w:r w:rsidR="000934B5">
        <w:t>a cree que deberían desplegarse esfuerzos par</w:t>
      </w:r>
      <w:bookmarkStart w:id="6" w:name="_GoBack"/>
      <w:bookmarkEnd w:id="6"/>
      <w:r w:rsidR="000934B5">
        <w:t xml:space="preserve">a lograr una mayor sensibilización y conocimiento de los procedimientos reglamentarios pertinentes en relación con la notificación de satélites. Con este fin, el UIT-R debería elaborar material en que se describan las disposiciones reglamentarias aplicables y las administraciones difundirlo para informar a sus entidades nacionales implicadas en el desarrollo, la fabricación, la explotación y el lanzamiento de pequeños satélites. </w:t>
      </w:r>
      <w:r w:rsidR="000934B5">
        <w:lastRenderedPageBreak/>
        <w:t xml:space="preserve">Por la presente, Europa informa de su intención de proponer una nueva Resolución UIT-R relativa a dicha elaboración y difusión. </w:t>
      </w:r>
      <w:r w:rsidR="008750A8" w:rsidRPr="000934B5">
        <w:br w:type="page"/>
      </w:r>
    </w:p>
    <w:p w:rsidR="00CB1268" w:rsidRPr="000934B5" w:rsidRDefault="001945E2" w:rsidP="00F536BD">
      <w:pPr>
        <w:pStyle w:val="Proposal"/>
      </w:pPr>
      <w:r w:rsidRPr="000934B5">
        <w:rPr>
          <w:u w:val="single"/>
        </w:rPr>
        <w:t>NOC</w:t>
      </w:r>
      <w:r w:rsidRPr="000934B5">
        <w:tab/>
        <w:t>EUR/9A22</w:t>
      </w:r>
      <w:r w:rsidR="00B71859" w:rsidRPr="000934B5">
        <w:t>A8</w:t>
      </w:r>
      <w:r w:rsidRPr="000934B5">
        <w:t>/1</w:t>
      </w:r>
    </w:p>
    <w:p w:rsidR="00F008F3" w:rsidRPr="000934B5" w:rsidRDefault="001945E2" w:rsidP="00F536BD">
      <w:pPr>
        <w:pStyle w:val="ArtNo"/>
      </w:pPr>
      <w:r w:rsidRPr="000934B5">
        <w:t xml:space="preserve">ARTÍCULO </w:t>
      </w:r>
      <w:r w:rsidRPr="000934B5">
        <w:rPr>
          <w:rStyle w:val="href"/>
        </w:rPr>
        <w:t>9</w:t>
      </w:r>
    </w:p>
    <w:p w:rsidR="00F008F3" w:rsidRPr="000934B5" w:rsidRDefault="001945E2" w:rsidP="00F536BD">
      <w:pPr>
        <w:pStyle w:val="Arttitle"/>
        <w:rPr>
          <w:b w:val="0"/>
          <w:bCs/>
          <w:sz w:val="16"/>
        </w:rPr>
      </w:pPr>
      <w:r w:rsidRPr="000934B5">
        <w:t xml:space="preserve">Procedimiento para efectuar la coordinación u obtener el acuerdo </w:t>
      </w:r>
      <w:r w:rsidRPr="000934B5">
        <w:br/>
        <w:t>de otras administraciones</w:t>
      </w:r>
      <w:r w:rsidRPr="000934B5">
        <w:rPr>
          <w:rStyle w:val="FootnoteReference"/>
          <w:bCs/>
          <w:szCs w:val="18"/>
        </w:rPr>
        <w:t>1</w:t>
      </w:r>
      <w:r w:rsidRPr="000934B5">
        <w:rPr>
          <w:bCs/>
          <w:position w:val="6"/>
          <w:sz w:val="18"/>
          <w:szCs w:val="18"/>
        </w:rPr>
        <w:t xml:space="preserve">, </w:t>
      </w:r>
      <w:r w:rsidRPr="000934B5">
        <w:rPr>
          <w:rStyle w:val="FootnoteReference"/>
          <w:bCs/>
          <w:szCs w:val="18"/>
        </w:rPr>
        <w:t>2</w:t>
      </w:r>
      <w:r w:rsidRPr="000934B5">
        <w:rPr>
          <w:bCs/>
          <w:position w:val="6"/>
          <w:sz w:val="18"/>
          <w:szCs w:val="18"/>
        </w:rPr>
        <w:t xml:space="preserve">, </w:t>
      </w:r>
      <w:r w:rsidRPr="000934B5">
        <w:rPr>
          <w:rStyle w:val="FootnoteReference"/>
          <w:bCs/>
          <w:szCs w:val="18"/>
        </w:rPr>
        <w:t>3,</w:t>
      </w:r>
      <w:r w:rsidRPr="000934B5">
        <w:rPr>
          <w:bCs/>
          <w:position w:val="6"/>
          <w:sz w:val="18"/>
          <w:szCs w:val="18"/>
        </w:rPr>
        <w:t xml:space="preserve"> </w:t>
      </w:r>
      <w:r w:rsidRPr="000934B5">
        <w:rPr>
          <w:rStyle w:val="FootnoteReference"/>
          <w:bCs/>
          <w:szCs w:val="18"/>
        </w:rPr>
        <w:t>4</w:t>
      </w:r>
      <w:r w:rsidRPr="000934B5">
        <w:rPr>
          <w:bCs/>
          <w:position w:val="6"/>
          <w:sz w:val="18"/>
          <w:szCs w:val="18"/>
        </w:rPr>
        <w:t xml:space="preserve">, </w:t>
      </w:r>
      <w:r w:rsidRPr="000934B5">
        <w:rPr>
          <w:rStyle w:val="FootnoteReference"/>
          <w:bCs/>
          <w:szCs w:val="18"/>
        </w:rPr>
        <w:t>5</w:t>
      </w:r>
      <w:r w:rsidRPr="000934B5">
        <w:rPr>
          <w:bCs/>
          <w:position w:val="6"/>
          <w:sz w:val="18"/>
          <w:szCs w:val="18"/>
        </w:rPr>
        <w:t xml:space="preserve">, </w:t>
      </w:r>
      <w:r w:rsidRPr="000934B5">
        <w:rPr>
          <w:rStyle w:val="FootnoteReference"/>
          <w:bCs/>
          <w:szCs w:val="18"/>
        </w:rPr>
        <w:t>6</w:t>
      </w:r>
      <w:r w:rsidRPr="000934B5">
        <w:rPr>
          <w:bCs/>
          <w:position w:val="6"/>
          <w:sz w:val="18"/>
          <w:szCs w:val="18"/>
        </w:rPr>
        <w:t xml:space="preserve">, </w:t>
      </w:r>
      <w:r w:rsidRPr="000934B5">
        <w:rPr>
          <w:rStyle w:val="FootnoteReference"/>
          <w:bCs/>
          <w:szCs w:val="18"/>
        </w:rPr>
        <w:t>7</w:t>
      </w:r>
      <w:r w:rsidRPr="000934B5">
        <w:rPr>
          <w:bCs/>
          <w:position w:val="6"/>
          <w:sz w:val="18"/>
          <w:szCs w:val="18"/>
        </w:rPr>
        <w:t xml:space="preserve">, </w:t>
      </w:r>
      <w:r w:rsidRPr="000934B5">
        <w:rPr>
          <w:rStyle w:val="FootnoteReference"/>
          <w:bCs/>
          <w:szCs w:val="18"/>
        </w:rPr>
        <w:t>8, 8</w:t>
      </w:r>
      <w:r w:rsidRPr="000934B5">
        <w:rPr>
          <w:rStyle w:val="FootnoteReference"/>
          <w:bCs/>
          <w:i/>
          <w:iCs/>
          <w:szCs w:val="18"/>
        </w:rPr>
        <w:t>bis</w:t>
      </w:r>
      <w:r w:rsidRPr="000934B5">
        <w:rPr>
          <w:b w:val="0"/>
          <w:sz w:val="16"/>
          <w:szCs w:val="16"/>
        </w:rPr>
        <w:t>     </w:t>
      </w:r>
      <w:r w:rsidRPr="000934B5">
        <w:rPr>
          <w:b w:val="0"/>
          <w:sz w:val="16"/>
        </w:rPr>
        <w:t>(CMR-12)</w:t>
      </w:r>
    </w:p>
    <w:p w:rsidR="00CB1268" w:rsidRPr="000934B5" w:rsidRDefault="001945E2" w:rsidP="00F536BD">
      <w:pPr>
        <w:pStyle w:val="Reasons"/>
      </w:pPr>
      <w:r w:rsidRPr="000934B5">
        <w:rPr>
          <w:b/>
        </w:rPr>
        <w:t>Motivos:</w:t>
      </w:r>
      <w:r w:rsidRPr="000934B5">
        <w:tab/>
      </w:r>
      <w:r w:rsidR="00F52543" w:rsidRPr="000934B5">
        <w:t xml:space="preserve">No </w:t>
      </w:r>
      <w:r w:rsidR="000934B5">
        <w:t xml:space="preserve">es necesario modificar el Artículo 9 en relación con esta cuestión. </w:t>
      </w:r>
    </w:p>
    <w:p w:rsidR="00CB1268" w:rsidRPr="000934B5" w:rsidRDefault="001945E2" w:rsidP="00F536BD">
      <w:pPr>
        <w:pStyle w:val="Proposal"/>
      </w:pPr>
      <w:r w:rsidRPr="000934B5">
        <w:rPr>
          <w:u w:val="single"/>
        </w:rPr>
        <w:t>NOC</w:t>
      </w:r>
      <w:r w:rsidRPr="000934B5">
        <w:tab/>
        <w:t>EUR/9A22</w:t>
      </w:r>
      <w:r w:rsidR="0057509B" w:rsidRPr="000934B5">
        <w:t>A8</w:t>
      </w:r>
      <w:r w:rsidRPr="000934B5">
        <w:t>/2</w:t>
      </w:r>
    </w:p>
    <w:p w:rsidR="00F008F3" w:rsidRPr="000934B5" w:rsidRDefault="001945E2" w:rsidP="00F536BD">
      <w:pPr>
        <w:pStyle w:val="ArtNo"/>
      </w:pPr>
      <w:r w:rsidRPr="000934B5">
        <w:t xml:space="preserve">ARTÍCULO </w:t>
      </w:r>
      <w:r w:rsidRPr="000934B5">
        <w:rPr>
          <w:rStyle w:val="href"/>
        </w:rPr>
        <w:t>11</w:t>
      </w:r>
    </w:p>
    <w:p w:rsidR="00F008F3" w:rsidRPr="000934B5" w:rsidRDefault="001945E2" w:rsidP="00F536BD">
      <w:pPr>
        <w:pStyle w:val="Arttitle"/>
        <w:spacing w:before="120"/>
        <w:rPr>
          <w:bCs/>
        </w:rPr>
      </w:pPr>
      <w:r w:rsidRPr="000934B5">
        <w:t>Notificación e inscripción de asignaciones</w:t>
      </w:r>
      <w:r w:rsidRPr="000934B5">
        <w:br/>
        <w:t>de frecuencia</w:t>
      </w:r>
      <w:r w:rsidRPr="000934B5">
        <w:rPr>
          <w:rStyle w:val="FootnoteReference"/>
          <w:bCs/>
          <w:szCs w:val="18"/>
        </w:rPr>
        <w:t>1</w:t>
      </w:r>
      <w:r w:rsidRPr="000934B5">
        <w:rPr>
          <w:bCs/>
          <w:position w:val="6"/>
          <w:sz w:val="18"/>
          <w:szCs w:val="18"/>
        </w:rPr>
        <w:t xml:space="preserve">, </w:t>
      </w:r>
      <w:r w:rsidRPr="000934B5">
        <w:rPr>
          <w:rStyle w:val="FootnoteReference"/>
          <w:bCs/>
          <w:szCs w:val="18"/>
        </w:rPr>
        <w:t>2</w:t>
      </w:r>
      <w:r w:rsidRPr="000934B5">
        <w:rPr>
          <w:bCs/>
          <w:position w:val="6"/>
          <w:sz w:val="18"/>
          <w:szCs w:val="18"/>
        </w:rPr>
        <w:t xml:space="preserve">, </w:t>
      </w:r>
      <w:r w:rsidRPr="000934B5">
        <w:rPr>
          <w:rStyle w:val="FootnoteReference"/>
          <w:bCs/>
          <w:szCs w:val="18"/>
        </w:rPr>
        <w:t>3</w:t>
      </w:r>
      <w:r w:rsidRPr="000934B5">
        <w:rPr>
          <w:bCs/>
          <w:position w:val="6"/>
          <w:sz w:val="18"/>
          <w:szCs w:val="18"/>
        </w:rPr>
        <w:t xml:space="preserve">, </w:t>
      </w:r>
      <w:r w:rsidRPr="000934B5">
        <w:rPr>
          <w:rStyle w:val="FootnoteReference"/>
          <w:bCs/>
          <w:szCs w:val="18"/>
        </w:rPr>
        <w:t>4</w:t>
      </w:r>
      <w:r w:rsidRPr="000934B5">
        <w:rPr>
          <w:bCs/>
          <w:position w:val="6"/>
          <w:sz w:val="18"/>
          <w:szCs w:val="18"/>
        </w:rPr>
        <w:t xml:space="preserve">, </w:t>
      </w:r>
      <w:r w:rsidRPr="000934B5">
        <w:rPr>
          <w:rStyle w:val="FootnoteReference"/>
          <w:bCs/>
          <w:szCs w:val="18"/>
        </w:rPr>
        <w:t>5</w:t>
      </w:r>
      <w:r w:rsidRPr="000934B5">
        <w:rPr>
          <w:bCs/>
          <w:position w:val="6"/>
          <w:sz w:val="18"/>
          <w:szCs w:val="18"/>
        </w:rPr>
        <w:t xml:space="preserve">, </w:t>
      </w:r>
      <w:r w:rsidRPr="000934B5">
        <w:rPr>
          <w:rStyle w:val="FootnoteReference"/>
          <w:bCs/>
          <w:szCs w:val="18"/>
        </w:rPr>
        <w:t>6</w:t>
      </w:r>
      <w:r w:rsidRPr="000934B5">
        <w:rPr>
          <w:bCs/>
          <w:position w:val="6"/>
          <w:sz w:val="18"/>
          <w:szCs w:val="18"/>
        </w:rPr>
        <w:t xml:space="preserve">, </w:t>
      </w:r>
      <w:r w:rsidRPr="000934B5">
        <w:rPr>
          <w:rStyle w:val="FootnoteReference"/>
          <w:bCs/>
          <w:szCs w:val="18"/>
        </w:rPr>
        <w:t>7,</w:t>
      </w:r>
      <w:r w:rsidRPr="000934B5">
        <w:rPr>
          <w:bCs/>
          <w:sz w:val="18"/>
          <w:szCs w:val="18"/>
        </w:rPr>
        <w:t xml:space="preserve"> </w:t>
      </w:r>
      <w:r w:rsidRPr="000934B5">
        <w:rPr>
          <w:bCs/>
          <w:position w:val="6"/>
          <w:sz w:val="18"/>
          <w:szCs w:val="18"/>
        </w:rPr>
        <w:t>7</w:t>
      </w:r>
      <w:r w:rsidRPr="000934B5">
        <w:rPr>
          <w:bCs/>
          <w:i/>
          <w:iCs/>
          <w:position w:val="6"/>
          <w:sz w:val="18"/>
          <w:szCs w:val="18"/>
        </w:rPr>
        <w:t>bis</w:t>
      </w:r>
      <w:r w:rsidRPr="000934B5">
        <w:rPr>
          <w:b w:val="0"/>
          <w:sz w:val="16"/>
        </w:rPr>
        <w:t>     (CMR</w:t>
      </w:r>
      <w:r w:rsidRPr="000934B5">
        <w:rPr>
          <w:b w:val="0"/>
          <w:sz w:val="16"/>
        </w:rPr>
        <w:noBreakHyphen/>
        <w:t>12)</w:t>
      </w:r>
    </w:p>
    <w:p w:rsidR="00CB1268" w:rsidRPr="000934B5" w:rsidRDefault="001945E2" w:rsidP="00F536BD">
      <w:pPr>
        <w:pStyle w:val="Reasons"/>
      </w:pPr>
      <w:r w:rsidRPr="000934B5">
        <w:rPr>
          <w:b/>
        </w:rPr>
        <w:t>Motivos:</w:t>
      </w:r>
      <w:r w:rsidRPr="000934B5">
        <w:tab/>
      </w:r>
      <w:r w:rsidR="000934B5" w:rsidRPr="000934B5">
        <w:t xml:space="preserve">No es necesario modificar el Artículo </w:t>
      </w:r>
      <w:r w:rsidR="000934B5">
        <w:t>11</w:t>
      </w:r>
      <w:r w:rsidR="000934B5" w:rsidRPr="000934B5">
        <w:t xml:space="preserve"> en relación con esta cuestión</w:t>
      </w:r>
      <w:r w:rsidR="00F52543" w:rsidRPr="000934B5">
        <w:t>.</w:t>
      </w:r>
    </w:p>
    <w:p w:rsidR="00CB1268" w:rsidRPr="000934B5" w:rsidRDefault="001945E2" w:rsidP="00F536BD">
      <w:pPr>
        <w:pStyle w:val="Proposal"/>
      </w:pPr>
      <w:r w:rsidRPr="000934B5">
        <w:t>SUP</w:t>
      </w:r>
      <w:r w:rsidRPr="000934B5">
        <w:tab/>
        <w:t>EUR/9A22</w:t>
      </w:r>
      <w:r w:rsidR="0057509B" w:rsidRPr="000934B5">
        <w:t>A8</w:t>
      </w:r>
      <w:r w:rsidRPr="000934B5">
        <w:t>/3</w:t>
      </w:r>
    </w:p>
    <w:p w:rsidR="001B5C7C" w:rsidRPr="000934B5" w:rsidRDefault="001945E2" w:rsidP="00F536BD">
      <w:pPr>
        <w:pStyle w:val="ResNo"/>
      </w:pPr>
      <w:bookmarkStart w:id="7" w:name="_Toc328141486"/>
      <w:r w:rsidRPr="000934B5">
        <w:t xml:space="preserve">RESOLUCIÓN </w:t>
      </w:r>
      <w:r w:rsidRPr="000934B5">
        <w:rPr>
          <w:rStyle w:val="href"/>
        </w:rPr>
        <w:t>757</w:t>
      </w:r>
      <w:r w:rsidRPr="000934B5">
        <w:t xml:space="preserve"> (CMR-12)</w:t>
      </w:r>
      <w:bookmarkEnd w:id="7"/>
    </w:p>
    <w:p w:rsidR="001B5C7C" w:rsidRPr="000934B5" w:rsidRDefault="001945E2" w:rsidP="00F536BD">
      <w:pPr>
        <w:pStyle w:val="Restitle"/>
      </w:pPr>
      <w:bookmarkStart w:id="8" w:name="_Toc328141487"/>
      <w:r w:rsidRPr="000934B5">
        <w:t>Aspectos reglamentarios de los nanosatélites y los picosatélites</w:t>
      </w:r>
      <w:bookmarkEnd w:id="8"/>
    </w:p>
    <w:p w:rsidR="00CB1268" w:rsidRPr="000934B5" w:rsidRDefault="001945E2" w:rsidP="00F536BD">
      <w:pPr>
        <w:pStyle w:val="Reasons"/>
      </w:pPr>
      <w:r w:rsidRPr="000934B5">
        <w:rPr>
          <w:b/>
        </w:rPr>
        <w:t>Motivos:</w:t>
      </w:r>
      <w:r w:rsidRPr="000934B5">
        <w:tab/>
      </w:r>
      <w:r w:rsidR="000934B5">
        <w:t xml:space="preserve">Esta Resolución ya no es necesaria. </w:t>
      </w:r>
    </w:p>
    <w:p w:rsidR="001945E2" w:rsidRPr="000934B5" w:rsidRDefault="001945E2" w:rsidP="00F536BD">
      <w:pPr>
        <w:pStyle w:val="Reasons"/>
      </w:pPr>
    </w:p>
    <w:p w:rsidR="001945E2" w:rsidRPr="000934B5" w:rsidRDefault="001945E2" w:rsidP="00F536BD">
      <w:pPr>
        <w:jc w:val="center"/>
      </w:pPr>
      <w:r w:rsidRPr="000934B5">
        <w:t>______________</w:t>
      </w:r>
    </w:p>
    <w:p w:rsidR="001945E2" w:rsidRPr="000934B5" w:rsidRDefault="001945E2" w:rsidP="00F536BD">
      <w:pPr>
        <w:pStyle w:val="Reasons"/>
      </w:pPr>
    </w:p>
    <w:sectPr w:rsidR="001945E2" w:rsidRPr="000934B5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F211B5" w:rsidRDefault="0077084A">
    <w:pPr>
      <w:ind w:right="360"/>
    </w:pPr>
    <w:r>
      <w:fldChar w:fldCharType="begin"/>
    </w:r>
    <w:r w:rsidRPr="00F211B5">
      <w:instrText xml:space="preserve"> FILENAME \p  \* MERGEFORMAT </w:instrText>
    </w:r>
    <w:r>
      <w:fldChar w:fldCharType="separate"/>
    </w:r>
    <w:r w:rsidR="00F211B5">
      <w:rPr>
        <w:noProof/>
      </w:rPr>
      <w:t>P:\ESP\ITU-R\CONF-R\CMR15\000\009ADD22ADD08S.docx</w:t>
    </w:r>
    <w:r>
      <w:fldChar w:fldCharType="end"/>
    </w:r>
    <w:r w:rsidRPr="00F211B5">
      <w:tab/>
    </w:r>
    <w:r>
      <w:fldChar w:fldCharType="begin"/>
    </w:r>
    <w:r>
      <w:instrText xml:space="preserve"> SAVEDATE \@ DD.MM.YY </w:instrText>
    </w:r>
    <w:r>
      <w:fldChar w:fldCharType="separate"/>
    </w:r>
    <w:r w:rsidR="00F211B5">
      <w:rPr>
        <w:noProof/>
      </w:rPr>
      <w:t>10.07.15</w:t>
    </w:r>
    <w:r>
      <w:fldChar w:fldCharType="end"/>
    </w:r>
    <w:r w:rsidRPr="00F211B5">
      <w:tab/>
    </w:r>
    <w:r>
      <w:fldChar w:fldCharType="begin"/>
    </w:r>
    <w:r>
      <w:instrText xml:space="preserve"> PRINTDATE \@ DD.MM.YY </w:instrText>
    </w:r>
    <w:r>
      <w:fldChar w:fldCharType="separate"/>
    </w:r>
    <w:r w:rsidR="00F211B5">
      <w:rPr>
        <w:noProof/>
      </w:rPr>
      <w:t>10.07.15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84F" w:rsidRDefault="00EC484F" w:rsidP="00EC484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211B5">
      <w:t>P:\ESP\ITU-R\CONF-R\CMR15\000\009ADD22ADD08S.docx</w:t>
    </w:r>
    <w:r>
      <w:fldChar w:fldCharType="end"/>
    </w:r>
    <w:r>
      <w:t xml:space="preserve"> (383657)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F211B5">
      <w:t>10.07.15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F211B5">
      <w:t>10.07.15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84F" w:rsidRDefault="00EC484F">
    <w:pPr>
      <w:pStyle w:val="Footer"/>
    </w:pPr>
    <w:fldSimple w:instr=" FILENAME \p  \* MERGEFORMAT ">
      <w:r w:rsidR="00F211B5">
        <w:t>P:\ESP\ITU-R\CONF-R\CMR15\000\009ADD22ADD08S.docx</w:t>
      </w:r>
    </w:fldSimple>
    <w:r>
      <w:t xml:space="preserve"> (383657)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F211B5">
      <w:t>10.07.15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F211B5">
      <w:t>10.07.15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11B5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9(Add.22)(Add.8)-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12AF7"/>
    <w:rsid w:val="0002785D"/>
    <w:rsid w:val="000718D7"/>
    <w:rsid w:val="00087AE8"/>
    <w:rsid w:val="000934B5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45E2"/>
    <w:rsid w:val="001A083F"/>
    <w:rsid w:val="001C41FA"/>
    <w:rsid w:val="001E2B52"/>
    <w:rsid w:val="001E3F27"/>
    <w:rsid w:val="00236D2A"/>
    <w:rsid w:val="00255F12"/>
    <w:rsid w:val="00262C09"/>
    <w:rsid w:val="00263076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7509B"/>
    <w:rsid w:val="0058350F"/>
    <w:rsid w:val="00583C7E"/>
    <w:rsid w:val="005D46FB"/>
    <w:rsid w:val="005F2605"/>
    <w:rsid w:val="005F3B0E"/>
    <w:rsid w:val="005F559C"/>
    <w:rsid w:val="00662BA0"/>
    <w:rsid w:val="0067010C"/>
    <w:rsid w:val="00672606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5629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71859"/>
    <w:rsid w:val="00B8288C"/>
    <w:rsid w:val="00BE2E80"/>
    <w:rsid w:val="00BE5EDD"/>
    <w:rsid w:val="00BE6A1F"/>
    <w:rsid w:val="00C126C4"/>
    <w:rsid w:val="00C63EB5"/>
    <w:rsid w:val="00C83F3F"/>
    <w:rsid w:val="00CB1268"/>
    <w:rsid w:val="00CC01E0"/>
    <w:rsid w:val="00CD5FEE"/>
    <w:rsid w:val="00CE60D2"/>
    <w:rsid w:val="00CE7431"/>
    <w:rsid w:val="00D0288A"/>
    <w:rsid w:val="00D72A5D"/>
    <w:rsid w:val="00DC629B"/>
    <w:rsid w:val="00DD2BA8"/>
    <w:rsid w:val="00E05BFF"/>
    <w:rsid w:val="00E262F1"/>
    <w:rsid w:val="00E3176A"/>
    <w:rsid w:val="00E54754"/>
    <w:rsid w:val="00E56BD3"/>
    <w:rsid w:val="00E71D14"/>
    <w:rsid w:val="00EC484F"/>
    <w:rsid w:val="00F211B5"/>
    <w:rsid w:val="00F52543"/>
    <w:rsid w:val="00F536BD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08EB992-EF04-4983-A8F9-702916CB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R15-WRC15-C-0009!A22-A8!MSW-S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E3F87B-B2C6-45D3-B29B-157DF3EB9EC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96b2e75-67fd-4955-a3b0-5ab9934cb50b"/>
    <ds:schemaRef ds:uri="http://purl.org/dc/dcmitype/"/>
    <ds:schemaRef ds:uri="http://purl.org/dc/terms/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08F6A08-642C-4B37-89BF-472C41EC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334</Words>
  <Characters>2015</Characters>
  <Application>Microsoft Office Word</Application>
  <DocSecurity>0</DocSecurity>
  <Lines>53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R15-WRC15-C-0009!A22-A8!MSW-S</vt:lpstr>
    </vt:vector>
  </TitlesOfParts>
  <Manager>Secretaría General - Pool</Manager>
  <Company>Unión Internacional de Telecomunicaciones (UIT)</Company>
  <LinksUpToDate>false</LinksUpToDate>
  <CharactersWithSpaces>2334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R15-WRC15-C-0009!A22-A8!MSW-S</dc:title>
  <dc:subject>Conferencia Mundial de Radiocomunicaciones - 2015</dc:subject>
  <dc:creator>Documents Proposals Manager (DPM)</dc:creator>
  <cp:keywords>DPM_v5.2015.7.6_prod</cp:keywords>
  <dc:description/>
  <cp:lastModifiedBy>Garcia Prieto, M. Esperanza</cp:lastModifiedBy>
  <cp:revision>4</cp:revision>
  <cp:lastPrinted>2015-07-10T11:34:00Z</cp:lastPrinted>
  <dcterms:created xsi:type="dcterms:W3CDTF">2015-07-10T11:27:00Z</dcterms:created>
  <dcterms:modified xsi:type="dcterms:W3CDTF">2015-07-10T11:34:00Z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