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846F5">
        <w:trPr>
          <w:cantSplit/>
        </w:trPr>
        <w:tc>
          <w:tcPr>
            <w:tcW w:w="6911" w:type="dxa"/>
          </w:tcPr>
          <w:p w:rsidR="00BB1D82" w:rsidRPr="00930FFD" w:rsidRDefault="00851625" w:rsidP="00425FA3">
            <w:pPr>
              <w:spacing w:before="400" w:after="48"/>
              <w:rPr>
                <w:rFonts w:ascii="Verdana" w:hAnsi="Verdana"/>
                <w:b/>
                <w:bCs/>
                <w:sz w:val="20"/>
                <w:lang w:val="fr-CH"/>
              </w:rPr>
            </w:pPr>
            <w:r>
              <w:rPr>
                <w:rFonts w:ascii="Verdana" w:hAnsi="Verdana"/>
                <w:b/>
                <w:bCs/>
                <w:sz w:val="20"/>
                <w:lang w:val="fr-CH"/>
              </w:rPr>
              <w:t>Conférence mondiale des radiocommunications (CMR-15</w:t>
            </w:r>
            <w:r w:rsidR="00B1634C">
              <w:rPr>
                <w:rFonts w:ascii="Verdana" w:hAnsi="Verdana"/>
                <w:b/>
                <w:bCs/>
                <w:sz w:val="20"/>
                <w:lang w:val="fr-CH"/>
              </w:rPr>
              <w:t xml:space="preserve">) </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425FA3">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846F5">
        <w:trPr>
          <w:cantSplit/>
        </w:trPr>
        <w:tc>
          <w:tcPr>
            <w:tcW w:w="6911" w:type="dxa"/>
            <w:tcBorders>
              <w:bottom w:val="single" w:sz="12" w:space="0" w:color="auto"/>
            </w:tcBorders>
          </w:tcPr>
          <w:p w:rsidR="00BB1D82" w:rsidRPr="002A6F8F" w:rsidRDefault="002C28A4" w:rsidP="00425FA3">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425FA3">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425FA3">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425FA3">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425FA3">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425FA3">
            <w:pPr>
              <w:spacing w:before="0"/>
              <w:rPr>
                <w:rFonts w:ascii="Verdana" w:hAnsi="Verdana"/>
                <w:sz w:val="20"/>
                <w:lang w:val="en-US"/>
              </w:rPr>
            </w:pPr>
            <w:r>
              <w:rPr>
                <w:rFonts w:ascii="Verdana" w:eastAsia="SimSun" w:hAnsi="Verdana" w:cs="Traditional Arabic"/>
                <w:b/>
                <w:sz w:val="20"/>
                <w:lang w:val="en-US"/>
              </w:rPr>
              <w:t>Addendum 25 au</w:t>
            </w:r>
            <w:r>
              <w:rPr>
                <w:rFonts w:ascii="Verdana" w:eastAsia="SimSun" w:hAnsi="Verdana" w:cs="Traditional Arabic"/>
                <w:b/>
                <w:sz w:val="20"/>
                <w:lang w:val="en-US"/>
              </w:rPr>
              <w:br/>
              <w:t>Document 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425FA3">
            <w:pPr>
              <w:spacing w:before="0"/>
              <w:rPr>
                <w:rFonts w:ascii="Verdana" w:hAnsi="Verdana"/>
                <w:b/>
                <w:sz w:val="20"/>
                <w:lang w:val="en-US"/>
              </w:rPr>
            </w:pPr>
          </w:p>
        </w:tc>
        <w:tc>
          <w:tcPr>
            <w:tcW w:w="3120" w:type="dxa"/>
            <w:shd w:val="clear" w:color="auto" w:fill="auto"/>
          </w:tcPr>
          <w:p w:rsidR="00690C7B" w:rsidRPr="002A6F8F" w:rsidRDefault="00690C7B" w:rsidP="00425FA3">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425FA3">
            <w:pPr>
              <w:spacing w:before="0" w:after="48"/>
              <w:rPr>
                <w:rFonts w:ascii="Verdana" w:hAnsi="Verdana"/>
                <w:b/>
                <w:smallCaps/>
                <w:sz w:val="20"/>
                <w:lang w:val="en-US"/>
              </w:rPr>
            </w:pPr>
          </w:p>
        </w:tc>
        <w:tc>
          <w:tcPr>
            <w:tcW w:w="3120" w:type="dxa"/>
          </w:tcPr>
          <w:p w:rsidR="00690C7B" w:rsidRPr="002A6F8F" w:rsidRDefault="00690C7B" w:rsidP="00425FA3">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846F5">
        <w:trPr>
          <w:cantSplit/>
        </w:trPr>
        <w:tc>
          <w:tcPr>
            <w:tcW w:w="10031" w:type="dxa"/>
            <w:gridSpan w:val="2"/>
          </w:tcPr>
          <w:p w:rsidR="00690C7B" w:rsidRPr="002A6F8F" w:rsidRDefault="00690C7B" w:rsidP="00425FA3">
            <w:pPr>
              <w:spacing w:before="0"/>
              <w:rPr>
                <w:rFonts w:ascii="Verdana" w:hAnsi="Verdana"/>
                <w:b/>
                <w:sz w:val="20"/>
                <w:lang w:val="en-US"/>
              </w:rPr>
            </w:pPr>
          </w:p>
        </w:tc>
      </w:tr>
      <w:tr w:rsidR="00690C7B" w:rsidRPr="002A6F8F" w:rsidTr="00A846F5">
        <w:trPr>
          <w:cantSplit/>
        </w:trPr>
        <w:tc>
          <w:tcPr>
            <w:tcW w:w="10031" w:type="dxa"/>
            <w:gridSpan w:val="2"/>
          </w:tcPr>
          <w:p w:rsidR="00690C7B" w:rsidRPr="002A6F8F" w:rsidRDefault="00690C7B" w:rsidP="00425FA3">
            <w:pPr>
              <w:pStyle w:val="Source"/>
              <w:rPr>
                <w:lang w:val="en-US"/>
              </w:rPr>
            </w:pPr>
            <w:bookmarkStart w:id="2" w:name="dsource" w:colFirst="0" w:colLast="0"/>
            <w:r w:rsidRPr="002A6F8F">
              <w:rPr>
                <w:lang w:val="en-US"/>
              </w:rPr>
              <w:t>Propositions européennes communes</w:t>
            </w:r>
          </w:p>
        </w:tc>
      </w:tr>
      <w:tr w:rsidR="00690C7B" w:rsidRPr="002A6F8F" w:rsidTr="00A846F5">
        <w:trPr>
          <w:cantSplit/>
        </w:trPr>
        <w:tc>
          <w:tcPr>
            <w:tcW w:w="10031" w:type="dxa"/>
            <w:gridSpan w:val="2"/>
          </w:tcPr>
          <w:p w:rsidR="00690C7B" w:rsidRPr="00B65685" w:rsidRDefault="00B65685" w:rsidP="00425FA3">
            <w:pPr>
              <w:pStyle w:val="Title1"/>
              <w:rPr>
                <w:lang w:val="fr-CH"/>
              </w:rPr>
            </w:pPr>
            <w:bookmarkStart w:id="3" w:name="dtitle1" w:colFirst="0" w:colLast="0"/>
            <w:bookmarkEnd w:id="2"/>
            <w:r w:rsidRPr="00B65685">
              <w:rPr>
                <w:lang w:val="fr-CH"/>
              </w:rPr>
              <w:t>PROPOSITIONS POUR LES TRAVAUX DE LA CONF</w:t>
            </w:r>
            <w:r>
              <w:rPr>
                <w:lang w:val="fr-CH"/>
              </w:rPr>
              <w:t>éRENCE</w:t>
            </w:r>
          </w:p>
        </w:tc>
      </w:tr>
      <w:tr w:rsidR="00690C7B" w:rsidRPr="002A6F8F" w:rsidTr="00A846F5">
        <w:trPr>
          <w:cantSplit/>
        </w:trPr>
        <w:tc>
          <w:tcPr>
            <w:tcW w:w="10031" w:type="dxa"/>
            <w:gridSpan w:val="2"/>
          </w:tcPr>
          <w:p w:rsidR="00690C7B" w:rsidRPr="00B65685" w:rsidRDefault="00690C7B" w:rsidP="00425FA3">
            <w:pPr>
              <w:pStyle w:val="Title2"/>
              <w:rPr>
                <w:lang w:val="fr-CH"/>
              </w:rPr>
            </w:pPr>
            <w:bookmarkStart w:id="4" w:name="dtitle2" w:colFirst="0" w:colLast="0"/>
            <w:bookmarkEnd w:id="3"/>
          </w:p>
        </w:tc>
      </w:tr>
      <w:tr w:rsidR="00690C7B" w:rsidTr="00A846F5">
        <w:trPr>
          <w:cantSplit/>
        </w:trPr>
        <w:tc>
          <w:tcPr>
            <w:tcW w:w="10031" w:type="dxa"/>
            <w:gridSpan w:val="2"/>
          </w:tcPr>
          <w:p w:rsidR="00690C7B" w:rsidRDefault="00690C7B" w:rsidP="00425FA3">
            <w:pPr>
              <w:pStyle w:val="Agendaitem"/>
            </w:pPr>
            <w:bookmarkStart w:id="5" w:name="dtitle3" w:colFirst="0" w:colLast="0"/>
            <w:bookmarkEnd w:id="4"/>
            <w:r w:rsidRPr="006D4724">
              <w:t>Point 10 de l'ordre du jour</w:t>
            </w:r>
          </w:p>
        </w:tc>
      </w:tr>
    </w:tbl>
    <w:bookmarkEnd w:id="5"/>
    <w:p w:rsidR="00A846F5" w:rsidRDefault="00A846F5" w:rsidP="00425FA3">
      <w:pPr>
        <w:rPr>
          <w:lang w:val="fr-CA"/>
        </w:rPr>
      </w:pPr>
      <w:r w:rsidRPr="000F2DBF">
        <w:rPr>
          <w:lang w:val="fr-CA"/>
        </w:rPr>
        <w:t>10</w:t>
      </w:r>
      <w:r w:rsidRPr="000F2DBF">
        <w:rPr>
          <w:lang w:val="fr-CA"/>
        </w:rPr>
        <w:tab/>
        <w:t xml:space="preserve">recommander au Conseil des points à inscrire à l'ordre du jour de la </w:t>
      </w:r>
      <w:r w:rsidR="00F50032">
        <w:rPr>
          <w:lang w:val="fr-CA"/>
        </w:rPr>
        <w:t>CMR</w:t>
      </w:r>
      <w:r w:rsidR="001E52C8">
        <w:rPr>
          <w:lang w:val="fr-CA"/>
        </w:rPr>
        <w:t xml:space="preserve"> </w:t>
      </w:r>
      <w:r w:rsidRPr="000F2DBF">
        <w:rPr>
          <w:lang w:val="fr-CA"/>
        </w:rPr>
        <w:t>suivante et exposer ses vues sur l'ordre du jour préliminaire de la conférence ultérieure ainsi que sur des points éventuels à inscrire à l'ordre du jour de conférences futures, conformément à l'article 7 de la Convention,</w:t>
      </w:r>
    </w:p>
    <w:p w:rsidR="00B60D5E" w:rsidRPr="000F2DBF" w:rsidRDefault="00B60D5E" w:rsidP="00B60D5E">
      <w:pPr>
        <w:rPr>
          <w:lang w:val="fr-CA"/>
        </w:rPr>
      </w:pPr>
    </w:p>
    <w:p w:rsidR="00636601" w:rsidRPr="00E344AD" w:rsidRDefault="00636601" w:rsidP="00425FA3">
      <w:pPr>
        <w:pStyle w:val="Headingb"/>
      </w:pPr>
      <w:r w:rsidRPr="00E344AD">
        <w:t>Introduction</w:t>
      </w:r>
    </w:p>
    <w:p w:rsidR="00636601" w:rsidRPr="00453B2B" w:rsidRDefault="00636601" w:rsidP="00425FA3">
      <w:r w:rsidRPr="00A701FC">
        <w:rPr>
          <w:lang w:val="fr-CH"/>
        </w:rPr>
        <w:t xml:space="preserve">Aux termes du point </w:t>
      </w:r>
      <w:r w:rsidR="00730563">
        <w:rPr>
          <w:lang w:val="fr-CH"/>
        </w:rPr>
        <w:t>10</w:t>
      </w:r>
      <w:r w:rsidRPr="00A701FC">
        <w:rPr>
          <w:lang w:val="fr-CH"/>
        </w:rPr>
        <w:t xml:space="preserve"> de l</w:t>
      </w:r>
      <w:r>
        <w:rPr>
          <w:lang w:val="fr-CH"/>
        </w:rPr>
        <w:t>'</w:t>
      </w:r>
      <w:r w:rsidRPr="00A701FC">
        <w:rPr>
          <w:lang w:val="fr-CH"/>
        </w:rPr>
        <w:t>ordre du jour, il est demandé à la CMR-</w:t>
      </w:r>
      <w:r>
        <w:rPr>
          <w:lang w:val="fr-CH"/>
        </w:rPr>
        <w:t>1</w:t>
      </w:r>
      <w:r w:rsidR="00EF722B">
        <w:rPr>
          <w:lang w:val="fr-CH"/>
        </w:rPr>
        <w:t xml:space="preserve">5 </w:t>
      </w:r>
      <w:r w:rsidRPr="00A701FC">
        <w:rPr>
          <w:lang w:val="fr-CH"/>
        </w:rPr>
        <w:t xml:space="preserve">de </w:t>
      </w:r>
      <w:r w:rsidRPr="00E56EC0">
        <w:t>recommander au Conseil des points à inscrire à l</w:t>
      </w:r>
      <w:r>
        <w:t>'</w:t>
      </w:r>
      <w:r w:rsidRPr="00E56EC0">
        <w:t>ordr</w:t>
      </w:r>
      <w:r w:rsidR="00730563">
        <w:t xml:space="preserve">e du jour de la </w:t>
      </w:r>
      <w:r w:rsidR="00F50032">
        <w:t>CMR</w:t>
      </w:r>
      <w:r w:rsidR="00B1634C">
        <w:t xml:space="preserve"> </w:t>
      </w:r>
      <w:r w:rsidR="00730563">
        <w:t>suivante et d'</w:t>
      </w:r>
      <w:r w:rsidRPr="00E56EC0">
        <w:t>exposer ses vues sur l</w:t>
      </w:r>
      <w:r>
        <w:t>'</w:t>
      </w:r>
      <w:r w:rsidRPr="00E56EC0">
        <w:t>ordre du jour préliminaire de la conférence ultérieure ainsi que sur des points éventuels à inscrire à l</w:t>
      </w:r>
      <w:r>
        <w:t>'</w:t>
      </w:r>
      <w:r w:rsidRPr="00E56EC0">
        <w:t xml:space="preserve">ordre du jour </w:t>
      </w:r>
      <w:r w:rsidRPr="00453B2B">
        <w:t>de conférences futures, en tenant compte de la Résolution 80</w:t>
      </w:r>
      <w:r w:rsidR="00EF722B">
        <w:t>8</w:t>
      </w:r>
      <w:r w:rsidR="00B979D7">
        <w:t xml:space="preserve"> </w:t>
      </w:r>
      <w:r w:rsidRPr="00453B2B">
        <w:t>(CMR</w:t>
      </w:r>
      <w:r w:rsidRPr="00453B2B">
        <w:noBreakHyphen/>
      </w:r>
      <w:r w:rsidR="00EF722B">
        <w:t>12</w:t>
      </w:r>
      <w:r w:rsidRPr="00453B2B">
        <w:t>).</w:t>
      </w:r>
    </w:p>
    <w:p w:rsidR="00636601" w:rsidRDefault="00636601" w:rsidP="00425FA3">
      <w:pPr>
        <w:rPr>
          <w:lang w:val="fr-CH"/>
        </w:rPr>
      </w:pPr>
      <w:r w:rsidRPr="00A701FC">
        <w:rPr>
          <w:lang w:val="fr-CH"/>
        </w:rPr>
        <w:t>Les propositions européennes concern</w:t>
      </w:r>
      <w:r>
        <w:rPr>
          <w:lang w:val="fr-CH"/>
        </w:rPr>
        <w:t>ant l'ordre du jour de la CMR-1</w:t>
      </w:r>
      <w:r w:rsidR="00EF722B">
        <w:rPr>
          <w:lang w:val="fr-CH"/>
        </w:rPr>
        <w:t>9</w:t>
      </w:r>
      <w:r w:rsidRPr="00A701FC">
        <w:rPr>
          <w:lang w:val="fr-CH"/>
        </w:rPr>
        <w:t xml:space="preserve"> s</w:t>
      </w:r>
      <w:r>
        <w:rPr>
          <w:lang w:val="fr-CH"/>
        </w:rPr>
        <w:t>'</w:t>
      </w:r>
      <w:r w:rsidRPr="00A701FC">
        <w:rPr>
          <w:lang w:val="fr-CH"/>
        </w:rPr>
        <w:t>appuient sur certains des points de l</w:t>
      </w:r>
      <w:r>
        <w:rPr>
          <w:lang w:val="fr-CH"/>
        </w:rPr>
        <w:t>'</w:t>
      </w:r>
      <w:r w:rsidRPr="00A701FC">
        <w:rPr>
          <w:lang w:val="fr-CH"/>
        </w:rPr>
        <w:t>ordre du j</w:t>
      </w:r>
      <w:r>
        <w:rPr>
          <w:lang w:val="fr-CH"/>
        </w:rPr>
        <w:t>our préliminaire (Résolution 80</w:t>
      </w:r>
      <w:r w:rsidR="00EF722B">
        <w:rPr>
          <w:lang w:val="fr-CH"/>
        </w:rPr>
        <w:t>8</w:t>
      </w:r>
      <w:r>
        <w:rPr>
          <w:lang w:val="fr-CH"/>
        </w:rPr>
        <w:t xml:space="preserve"> (CMR-</w:t>
      </w:r>
      <w:r w:rsidR="00EF722B">
        <w:rPr>
          <w:lang w:val="fr-CH"/>
        </w:rPr>
        <w:t>12</w:t>
      </w:r>
      <w:r w:rsidRPr="00A701FC">
        <w:rPr>
          <w:lang w:val="fr-CH"/>
        </w:rPr>
        <w:t>)), lesquels découlent des propositions européennes communes faites pour cette Conférence, ainsi que de propositions relatives à l</w:t>
      </w:r>
      <w:r>
        <w:rPr>
          <w:lang w:val="fr-CH"/>
        </w:rPr>
        <w:t>'</w:t>
      </w:r>
      <w:r w:rsidRPr="00A701FC">
        <w:rPr>
          <w:lang w:val="fr-CH"/>
        </w:rPr>
        <w:t>examen de nouveaux sujets.</w:t>
      </w:r>
    </w:p>
    <w:p w:rsidR="00636601" w:rsidRDefault="00636601" w:rsidP="00425FA3">
      <w:pPr>
        <w:rPr>
          <w:lang w:val="fr-CH"/>
        </w:rPr>
      </w:pPr>
      <w:r w:rsidRPr="00E56EC0">
        <w:rPr>
          <w:lang w:val="fr-CH"/>
        </w:rPr>
        <w:t>Dans l</w:t>
      </w:r>
      <w:r>
        <w:rPr>
          <w:lang w:val="fr-CH"/>
        </w:rPr>
        <w:t>'</w:t>
      </w:r>
      <w:r w:rsidRPr="00E56EC0">
        <w:rPr>
          <w:lang w:val="fr-CH"/>
        </w:rPr>
        <w:t>ensemble, il convient d</w:t>
      </w:r>
      <w:r>
        <w:rPr>
          <w:lang w:val="fr-CH"/>
        </w:rPr>
        <w:t>'</w:t>
      </w:r>
      <w:r w:rsidRPr="00E56EC0">
        <w:rPr>
          <w:lang w:val="fr-CH"/>
        </w:rPr>
        <w:t>examiner</w:t>
      </w:r>
      <w:r>
        <w:rPr>
          <w:lang w:val="fr-CH"/>
        </w:rPr>
        <w:t xml:space="preserve"> tous</w:t>
      </w:r>
      <w:r w:rsidRPr="00E56EC0">
        <w:rPr>
          <w:lang w:val="fr-CH"/>
        </w:rPr>
        <w:t xml:space="preserve"> le</w:t>
      </w:r>
      <w:r>
        <w:rPr>
          <w:lang w:val="fr-CH"/>
        </w:rPr>
        <w:t>s</w:t>
      </w:r>
      <w:r w:rsidRPr="00E56EC0">
        <w:rPr>
          <w:lang w:val="fr-CH"/>
        </w:rPr>
        <w:t xml:space="preserve"> point</w:t>
      </w:r>
      <w:r>
        <w:rPr>
          <w:lang w:val="fr-CH"/>
        </w:rPr>
        <w:t>s</w:t>
      </w:r>
      <w:r w:rsidRPr="00E56EC0">
        <w:rPr>
          <w:lang w:val="fr-CH"/>
        </w:rPr>
        <w:t xml:space="preserve"> qu</w:t>
      </w:r>
      <w:r>
        <w:rPr>
          <w:lang w:val="fr-CH"/>
        </w:rPr>
        <w:t>'</w:t>
      </w:r>
      <w:r w:rsidRPr="00E56EC0">
        <w:rPr>
          <w:lang w:val="fr-CH"/>
        </w:rPr>
        <w:t>il est proposé d</w:t>
      </w:r>
      <w:r>
        <w:rPr>
          <w:lang w:val="fr-CH"/>
        </w:rPr>
        <w:t>'</w:t>
      </w:r>
      <w:r w:rsidRPr="00E56EC0">
        <w:rPr>
          <w:lang w:val="fr-CH"/>
        </w:rPr>
        <w:t>inscrire à l</w:t>
      </w:r>
      <w:r>
        <w:rPr>
          <w:lang w:val="fr-CH"/>
        </w:rPr>
        <w:t>'</w:t>
      </w:r>
      <w:r w:rsidRPr="00E56EC0">
        <w:rPr>
          <w:lang w:val="fr-CH"/>
        </w:rPr>
        <w:t>ordre du jour à la lumière du principe général selon lequel il faut dûment tenir compte des besoins des services actuels ou futurs dans les bandes considérées</w:t>
      </w:r>
      <w:r w:rsidR="00730563">
        <w:rPr>
          <w:lang w:val="fr-CH"/>
        </w:rPr>
        <w:t>,</w:t>
      </w:r>
      <w:r w:rsidRPr="00E56EC0">
        <w:rPr>
          <w:lang w:val="fr-CH"/>
        </w:rPr>
        <w:t xml:space="preserve"> afin de ne pas imposer de contraintes inutiles aux services existants</w:t>
      </w:r>
      <w:r>
        <w:rPr>
          <w:lang w:val="fr-CH"/>
        </w:rPr>
        <w:t>.</w:t>
      </w:r>
    </w:p>
    <w:p w:rsidR="0015203F" w:rsidRDefault="00636601" w:rsidP="00425FA3">
      <w:r w:rsidRPr="00A701FC">
        <w:rPr>
          <w:lang w:val="fr-CH"/>
        </w:rPr>
        <w:t>Sur cette base, l</w:t>
      </w:r>
      <w:r>
        <w:rPr>
          <w:lang w:val="fr-CH"/>
        </w:rPr>
        <w:t>'</w:t>
      </w:r>
      <w:r w:rsidRPr="00A701FC">
        <w:rPr>
          <w:lang w:val="fr-CH"/>
        </w:rPr>
        <w:t>Europe propose que la CMR-</w:t>
      </w:r>
      <w:r>
        <w:rPr>
          <w:lang w:val="fr-CH"/>
        </w:rPr>
        <w:t>1</w:t>
      </w:r>
      <w:r w:rsidR="00EF722B">
        <w:rPr>
          <w:lang w:val="fr-CH"/>
        </w:rPr>
        <w:t>5</w:t>
      </w:r>
      <w:r w:rsidRPr="00A701FC">
        <w:rPr>
          <w:lang w:val="fr-CH"/>
        </w:rPr>
        <w:t xml:space="preserve"> supprime la Résolution 80</w:t>
      </w:r>
      <w:r w:rsidR="00EF722B">
        <w:rPr>
          <w:lang w:val="fr-CH"/>
        </w:rPr>
        <w:t xml:space="preserve">8 </w:t>
      </w:r>
      <w:r w:rsidRPr="00A701FC">
        <w:rPr>
          <w:lang w:val="fr-CH"/>
        </w:rPr>
        <w:t>(CMR-</w:t>
      </w:r>
      <w:r w:rsidR="00EF722B">
        <w:rPr>
          <w:lang w:val="fr-CH"/>
        </w:rPr>
        <w:t>12</w:t>
      </w:r>
      <w:r w:rsidR="00B1634C">
        <w:rPr>
          <w:lang w:val="fr-CH"/>
        </w:rPr>
        <w:t>) et</w:t>
      </w:r>
      <w:r w:rsidR="00730563">
        <w:rPr>
          <w:lang w:val="fr-CH"/>
        </w:rPr>
        <w:t xml:space="preserve"> adopte le projet de nouvelle</w:t>
      </w:r>
      <w:r w:rsidRPr="00A701FC">
        <w:rPr>
          <w:lang w:val="fr-CH"/>
        </w:rPr>
        <w:t xml:space="preserve"> Résolution [EUR/</w:t>
      </w:r>
      <w:r>
        <w:rPr>
          <w:lang w:val="fr-CH"/>
        </w:rPr>
        <w:t>5</w:t>
      </w:r>
      <w:r w:rsidRPr="00A701FC">
        <w:rPr>
          <w:lang w:val="fr-CH"/>
        </w:rPr>
        <w:t>A</w:t>
      </w:r>
      <w:r w:rsidR="00EF722B">
        <w:rPr>
          <w:lang w:val="fr-CH"/>
        </w:rPr>
        <w:t>10</w:t>
      </w:r>
      <w:r w:rsidRPr="00A701FC">
        <w:rPr>
          <w:lang w:val="fr-CH"/>
        </w:rPr>
        <w:t xml:space="preserve">] </w:t>
      </w:r>
      <w:r w:rsidR="00730563">
        <w:rPr>
          <w:lang w:val="fr-CH"/>
        </w:rPr>
        <w:t>(CMR-15</w:t>
      </w:r>
      <w:r w:rsidR="00B1634C">
        <w:rPr>
          <w:lang w:val="fr-CH"/>
        </w:rPr>
        <w:t>)</w:t>
      </w:r>
      <w:r w:rsidR="00B1634C" w:rsidRPr="00A701FC">
        <w:rPr>
          <w:lang w:val="fr-CH"/>
        </w:rPr>
        <w:t xml:space="preserve"> comme</w:t>
      </w:r>
      <w:r w:rsidRPr="00A701FC">
        <w:rPr>
          <w:lang w:val="fr-CH"/>
        </w:rPr>
        <w:t xml:space="preserve"> base pour l</w:t>
      </w:r>
      <w:r>
        <w:rPr>
          <w:lang w:val="fr-CH"/>
        </w:rPr>
        <w:t>'</w:t>
      </w:r>
      <w:r w:rsidRPr="00A701FC">
        <w:rPr>
          <w:lang w:val="fr-CH"/>
        </w:rPr>
        <w:t>ordre</w:t>
      </w:r>
      <w:r>
        <w:rPr>
          <w:lang w:val="fr-CH"/>
        </w:rPr>
        <w:t xml:space="preserve"> du jour provisoire de la CMR-1</w:t>
      </w:r>
      <w:r w:rsidR="00EF722B">
        <w:rPr>
          <w:lang w:val="fr-CH"/>
        </w:rPr>
        <w:t>9</w:t>
      </w:r>
      <w:r w:rsidRPr="00A701FC">
        <w:rPr>
          <w:lang w:val="fr-CH"/>
        </w:rPr>
        <w:t>, en vue de son adoption par le Conseil.</w:t>
      </w:r>
    </w:p>
    <w:p w:rsidR="006B1FD4" w:rsidRDefault="00A846F5" w:rsidP="00425FA3">
      <w:pPr>
        <w:pStyle w:val="Proposal"/>
      </w:pPr>
      <w:r>
        <w:lastRenderedPageBreak/>
        <w:t>SUP</w:t>
      </w:r>
      <w:r>
        <w:tab/>
        <w:t>EUR/9A25/1</w:t>
      </w:r>
    </w:p>
    <w:p w:rsidR="00A846F5" w:rsidRPr="008653E6" w:rsidRDefault="00A846F5" w:rsidP="00425FA3">
      <w:pPr>
        <w:pStyle w:val="ResNo"/>
        <w:rPr>
          <w:lang w:val="fr-CH"/>
        </w:rPr>
      </w:pPr>
      <w:r w:rsidRPr="008653E6">
        <w:rPr>
          <w:lang w:val="fr-CH"/>
        </w:rPr>
        <w:t>RÉSOLUTION 808 (CMR-12)</w:t>
      </w:r>
    </w:p>
    <w:p w:rsidR="00636601" w:rsidRPr="00636601" w:rsidRDefault="00A846F5" w:rsidP="00425FA3">
      <w:pPr>
        <w:pStyle w:val="Restitle"/>
      </w:pPr>
      <w:r w:rsidRPr="009C7CEE">
        <w:t>Ordre du jour préliminaire de la Conférence mondiale</w:t>
      </w:r>
      <w:r w:rsidRPr="009C7CEE">
        <w:br/>
        <w:t>des radiocommunications de 2018</w:t>
      </w:r>
    </w:p>
    <w:p w:rsidR="00E20867" w:rsidRDefault="00E20867" w:rsidP="00B979D7">
      <w:pPr>
        <w:pStyle w:val="Reasons"/>
        <w:rPr>
          <w:lang w:val="fr-CH"/>
        </w:rPr>
      </w:pPr>
    </w:p>
    <w:p w:rsidR="006B1FD4" w:rsidRPr="00730563" w:rsidRDefault="00A846F5" w:rsidP="00425FA3">
      <w:pPr>
        <w:pStyle w:val="Proposal"/>
        <w:rPr>
          <w:lang w:val="fr-CH"/>
        </w:rPr>
      </w:pPr>
      <w:r w:rsidRPr="00730563">
        <w:rPr>
          <w:lang w:val="fr-CH"/>
        </w:rPr>
        <w:t>ADD</w:t>
      </w:r>
      <w:r w:rsidRPr="00730563">
        <w:rPr>
          <w:lang w:val="fr-CH"/>
        </w:rPr>
        <w:tab/>
        <w:t>EUR/9A25/2</w:t>
      </w:r>
    </w:p>
    <w:p w:rsidR="00636601" w:rsidRPr="00B979D7" w:rsidRDefault="002E2C8C" w:rsidP="00B979D7">
      <w:pPr>
        <w:pStyle w:val="ResNo"/>
      </w:pPr>
      <w:r w:rsidRPr="00B979D7">
        <w:rPr>
          <w:rStyle w:val="Artdef"/>
          <w:b w:val="0"/>
        </w:rPr>
        <w:t xml:space="preserve">Projet de nouvelle résolution </w:t>
      </w:r>
      <w:r w:rsidR="00636601" w:rsidRPr="00B979D7">
        <w:rPr>
          <w:rStyle w:val="Artdef"/>
          <w:b w:val="0"/>
        </w:rPr>
        <w:t>[EUR-A10</w:t>
      </w:r>
      <w:r w:rsidR="00A846F5" w:rsidRPr="00B979D7">
        <w:rPr>
          <w:rStyle w:val="Artdef"/>
          <w:b w:val="0"/>
        </w:rPr>
        <w:t>]</w:t>
      </w:r>
      <w:r w:rsidR="00636601" w:rsidRPr="00B979D7">
        <w:rPr>
          <w:rStyle w:val="Artdef"/>
          <w:b w:val="0"/>
        </w:rPr>
        <w:t xml:space="preserve"> (</w:t>
      </w:r>
      <w:r w:rsidR="003228B3" w:rsidRPr="00B979D7">
        <w:rPr>
          <w:rStyle w:val="Artdef"/>
          <w:b w:val="0"/>
        </w:rPr>
        <w:t>CMR-15</w:t>
      </w:r>
      <w:r w:rsidR="00636601" w:rsidRPr="00B979D7">
        <w:rPr>
          <w:rStyle w:val="Artdef"/>
          <w:b w:val="0"/>
        </w:rPr>
        <w:t>)</w:t>
      </w:r>
    </w:p>
    <w:p w:rsidR="00636601" w:rsidRPr="00636601" w:rsidRDefault="00636601" w:rsidP="00425FA3">
      <w:pPr>
        <w:pStyle w:val="Restitle"/>
        <w:rPr>
          <w:lang w:val="fr-CH"/>
        </w:rPr>
      </w:pPr>
      <w:r w:rsidRPr="009C7CEE">
        <w:t>Ordre du jour de la Conférence mondiale</w:t>
      </w:r>
      <w:r w:rsidR="00CB55FC">
        <w:t xml:space="preserve"> des radiocommunications de 2019</w:t>
      </w:r>
    </w:p>
    <w:p w:rsidR="00636601" w:rsidRPr="00B42483" w:rsidRDefault="00636601" w:rsidP="00425FA3">
      <w:pPr>
        <w:pStyle w:val="Normalaftertitle0"/>
      </w:pPr>
      <w:r w:rsidRPr="00B42483">
        <w:t>La Conférence mondiale des radi</w:t>
      </w:r>
      <w:r>
        <w:t>ocommunications (Genève, 201</w:t>
      </w:r>
      <w:r w:rsidR="00393191">
        <w:t>5</w:t>
      </w:r>
      <w:r>
        <w:t>),</w:t>
      </w:r>
    </w:p>
    <w:p w:rsidR="00636601" w:rsidRPr="00B42483" w:rsidRDefault="00636601" w:rsidP="00425FA3">
      <w:pPr>
        <w:pStyle w:val="Call"/>
        <w:keepNext w:val="0"/>
        <w:keepLines w:val="0"/>
      </w:pPr>
      <w:r w:rsidRPr="00B42483">
        <w:t>considérant</w:t>
      </w:r>
    </w:p>
    <w:p w:rsidR="00636601" w:rsidRPr="00B42483" w:rsidRDefault="00636601" w:rsidP="00425FA3">
      <w:r w:rsidRPr="00B42483">
        <w:rPr>
          <w:i/>
          <w:iCs/>
        </w:rPr>
        <w:t>a)</w:t>
      </w:r>
      <w:r w:rsidRPr="00B42483">
        <w:tab/>
        <w:t>que, conformément au numéro </w:t>
      </w:r>
      <w:r w:rsidRPr="00E20867">
        <w:rPr>
          <w:b/>
          <w:bCs/>
        </w:rPr>
        <w:t>118</w:t>
      </w:r>
      <w:r w:rsidRPr="00B42483">
        <w:t xml:space="preserve"> de la Convention de l'UIT, le cadre général de l'ordre du jour d'une conférence mondiale des radiocommunications devrait être fixé de quatre à six ans à l'avance et que l'ordre du jour définitif est fixé par le Conseil deux ans avant la conférence;</w:t>
      </w:r>
    </w:p>
    <w:p w:rsidR="00636601" w:rsidRPr="00B42483" w:rsidRDefault="00636601" w:rsidP="00425FA3">
      <w:pPr>
        <w:rPr>
          <w:i/>
          <w:iCs/>
        </w:rPr>
      </w:pPr>
      <w:r w:rsidRPr="00B42483">
        <w:rPr>
          <w:i/>
          <w:iCs/>
        </w:rPr>
        <w:t>b)</w:t>
      </w:r>
      <w:r w:rsidRPr="00B42483">
        <w:rPr>
          <w:i/>
          <w:iCs/>
        </w:rPr>
        <w:tab/>
      </w:r>
      <w:r w:rsidRPr="00B42483">
        <w:t>l'article 13 de la Constitution de l'UIT, concernant la compétence et la fréquence des conférences mondiales des radiocommunications, et l'article 7 de la Convention relatif à leur ordre du jour;</w:t>
      </w:r>
    </w:p>
    <w:p w:rsidR="00636601" w:rsidRPr="00B42483" w:rsidRDefault="00636601" w:rsidP="00425FA3">
      <w:r w:rsidRPr="00B42483">
        <w:rPr>
          <w:i/>
          <w:iCs/>
        </w:rPr>
        <w:t>c)</w:t>
      </w:r>
      <w:r w:rsidRPr="00B42483">
        <w:tab/>
        <w:t>les résolutions et recommandations pertinentes des conférences administratives mondiales des radiocommunications (CAMR</w:t>
      </w:r>
      <w:r w:rsidR="00B1634C">
        <w:t>)</w:t>
      </w:r>
      <w:r w:rsidR="00B1634C" w:rsidRPr="00B42483">
        <w:t xml:space="preserve"> et</w:t>
      </w:r>
      <w:r w:rsidRPr="00B42483">
        <w:t xml:space="preserve"> des conférences mondiales des radiocommunications (CMR</w:t>
      </w:r>
      <w:r w:rsidR="00B1634C">
        <w:t>)</w:t>
      </w:r>
      <w:r w:rsidR="00B1634C" w:rsidRPr="00B42483">
        <w:t xml:space="preserve"> précédentes</w:t>
      </w:r>
      <w:r w:rsidRPr="00B42483">
        <w:t>,</w:t>
      </w:r>
    </w:p>
    <w:p w:rsidR="00636601" w:rsidRPr="00636601" w:rsidRDefault="00277E89" w:rsidP="00425FA3">
      <w:pPr>
        <w:pStyle w:val="Call"/>
      </w:pPr>
      <w:r>
        <w:t>reconnaissant</w:t>
      </w:r>
    </w:p>
    <w:p w:rsidR="00636601" w:rsidRPr="00636601" w:rsidRDefault="00277E89" w:rsidP="00425FA3">
      <w:pPr>
        <w:rPr>
          <w:lang w:val="fr-CH"/>
        </w:rPr>
      </w:pPr>
      <w:r w:rsidRPr="00AE3C42">
        <w:rPr>
          <w:lang w:val="fr-CH"/>
        </w:rPr>
        <w:t>que, lors de l</w:t>
      </w:r>
      <w:r>
        <w:rPr>
          <w:lang w:val="fr-CH"/>
        </w:rPr>
        <w:t>'</w:t>
      </w:r>
      <w:r w:rsidRPr="00AE3C42">
        <w:rPr>
          <w:lang w:val="fr-CH"/>
        </w:rPr>
        <w:t>élaboration du présent ordre du jour, de nombreux points proposés par des administrations n</w:t>
      </w:r>
      <w:r>
        <w:rPr>
          <w:lang w:val="fr-CH"/>
        </w:rPr>
        <w:t>'</w:t>
      </w:r>
      <w:r w:rsidRPr="00AE3C42">
        <w:rPr>
          <w:lang w:val="fr-CH"/>
        </w:rPr>
        <w:t>ont pas pu être retenus et que leur inscription a dû être reportée à l</w:t>
      </w:r>
      <w:r>
        <w:rPr>
          <w:lang w:val="fr-CH"/>
        </w:rPr>
        <w:t>'</w:t>
      </w:r>
      <w:r w:rsidRPr="00AE3C42">
        <w:rPr>
          <w:lang w:val="fr-CH"/>
        </w:rPr>
        <w:t>ordre du jour de conférences futures,</w:t>
      </w:r>
    </w:p>
    <w:p w:rsidR="00277E89" w:rsidRPr="00B42483" w:rsidRDefault="00277E89" w:rsidP="00425FA3">
      <w:pPr>
        <w:pStyle w:val="Call"/>
      </w:pPr>
      <w:r w:rsidRPr="00B42483">
        <w:t>décide</w:t>
      </w:r>
    </w:p>
    <w:p w:rsidR="00277E89" w:rsidRPr="00B42483" w:rsidRDefault="00277E89" w:rsidP="00425FA3">
      <w:r w:rsidRPr="00B42483">
        <w:t>de recomma</w:t>
      </w:r>
      <w:r>
        <w:t>nder au Conseil de convoquer en 2019</w:t>
      </w:r>
      <w:r w:rsidRPr="00B42483">
        <w:t xml:space="preserve"> une conférence mondiale des radiocommunications d'une durée </w:t>
      </w:r>
      <w:r>
        <w:t xml:space="preserve">maximale </w:t>
      </w:r>
      <w:r w:rsidRPr="00B42483">
        <w:t>de quatre semaines, dont l'ordre du jour sera le suivant:</w:t>
      </w:r>
    </w:p>
    <w:p w:rsidR="00277E89" w:rsidRPr="00B42483" w:rsidRDefault="00277E89" w:rsidP="00425FA3">
      <w:r w:rsidRPr="00B42483">
        <w:t>1</w:t>
      </w:r>
      <w:r w:rsidRPr="00B42483">
        <w:tab/>
        <w:t>sur la base des propositions des administrations, compte</w:t>
      </w:r>
      <w:r>
        <w:t xml:space="preserve"> tenu des résultats de la CMR</w:t>
      </w:r>
      <w:r>
        <w:noBreakHyphen/>
        <w:t>15</w:t>
      </w:r>
      <w:r w:rsidRPr="00B42483">
        <w:t xml:space="preserve"> ainsi que du </w:t>
      </w:r>
      <w:r>
        <w:t>r</w:t>
      </w:r>
      <w:r w:rsidRPr="00B42483">
        <w:t>apport de la Réunion de préparation à la Conférence et compte dûment tenu des besoins des services existants ou futurs dans les bandes considérées, examiner les points suivants et prendre les mesures appropriées:</w:t>
      </w:r>
    </w:p>
    <w:p w:rsidR="00636601" w:rsidRPr="00277E89" w:rsidRDefault="00277E89" w:rsidP="00CB55FC">
      <w:r w:rsidRPr="00B42483">
        <w:t>1.1</w:t>
      </w:r>
      <w:r w:rsidRPr="00B42483">
        <w:tab/>
        <w:t xml:space="preserve">envisager des attributions de fréquences additionnelles au </w:t>
      </w:r>
      <w:r w:rsidRPr="00DD4258">
        <w:t>service</w:t>
      </w:r>
      <w:r w:rsidRPr="00B42483">
        <w:t xml:space="preserve"> mobile à titre primaire et ident</w:t>
      </w:r>
      <w:r w:rsidR="00CB55FC">
        <w:t>ifier des bandes de fréquences</w:t>
      </w:r>
      <w:r w:rsidRPr="00B42483">
        <w:t xml:space="preserve"> pour les </w:t>
      </w:r>
      <w:r>
        <w:t>Télécommunications mobiles internationales (</w:t>
      </w:r>
      <w:r w:rsidRPr="00B42483">
        <w:t>IMT</w:t>
      </w:r>
      <w:r>
        <w:t>)</w:t>
      </w:r>
      <w:r w:rsidR="002E2C8C">
        <w:t>,</w:t>
      </w:r>
      <w:r w:rsidR="003228B3">
        <w:t xml:space="preserve"> </w:t>
      </w:r>
      <w:r>
        <w:t xml:space="preserve">conformément à la Résolution </w:t>
      </w:r>
      <w:r w:rsidR="002E2C8C" w:rsidRPr="00730563">
        <w:rPr>
          <w:rStyle w:val="Artdef"/>
          <w:lang w:val="fr-CH"/>
        </w:rPr>
        <w:t>[EUR-B10-1] (</w:t>
      </w:r>
      <w:r w:rsidR="003228B3">
        <w:rPr>
          <w:rStyle w:val="Artdef"/>
          <w:lang w:val="fr-CH"/>
        </w:rPr>
        <w:t>CMR-15</w:t>
      </w:r>
      <w:r w:rsidR="002E2C8C" w:rsidRPr="00730563">
        <w:rPr>
          <w:rStyle w:val="Artdef"/>
          <w:lang w:val="fr-CH"/>
        </w:rPr>
        <w:t>)</w:t>
      </w:r>
      <w:r w:rsidR="002E2C8C" w:rsidRPr="00730563">
        <w:rPr>
          <w:rStyle w:val="BRNormal"/>
          <w:lang w:val="fr-CH"/>
        </w:rPr>
        <w:t>;</w:t>
      </w:r>
    </w:p>
    <w:p w:rsidR="00277E89" w:rsidRPr="00730563" w:rsidRDefault="00277E89" w:rsidP="00425FA3">
      <w:pPr>
        <w:rPr>
          <w:rStyle w:val="BRNormal"/>
          <w:lang w:val="fr-CH"/>
        </w:rPr>
      </w:pPr>
      <w:r w:rsidRPr="00730563">
        <w:rPr>
          <w:lang w:val="fr-CH"/>
        </w:rPr>
        <w:t>1.2</w:t>
      </w:r>
      <w:r w:rsidRPr="00730563">
        <w:rPr>
          <w:lang w:val="fr-CH"/>
        </w:rPr>
        <w:tab/>
      </w:r>
      <w:r w:rsidR="002E2C8C">
        <w:rPr>
          <w:color w:val="000000"/>
        </w:rPr>
        <w:t>envisager une attribution à titre primaire</w:t>
      </w:r>
      <w:r w:rsidR="002E2C8C" w:rsidRPr="00730563">
        <w:rPr>
          <w:lang w:val="fr-CH"/>
        </w:rPr>
        <w:t xml:space="preserve"> au service d</w:t>
      </w:r>
      <w:r w:rsidR="00B979D7">
        <w:rPr>
          <w:lang w:val="fr-CH"/>
        </w:rPr>
        <w:t>'</w:t>
      </w:r>
      <w:r w:rsidR="002E2C8C" w:rsidRPr="00730563">
        <w:rPr>
          <w:lang w:val="fr-CH"/>
        </w:rPr>
        <w:t>amate</w:t>
      </w:r>
      <w:r w:rsidR="00CB55FC">
        <w:rPr>
          <w:lang w:val="fr-CH"/>
        </w:rPr>
        <w:t xml:space="preserve">ur dans la bande de fréquences </w:t>
      </w:r>
      <w:r w:rsidRPr="00730563">
        <w:rPr>
          <w:lang w:val="fr-CH"/>
        </w:rPr>
        <w:t>50-54 MHz</w:t>
      </w:r>
      <w:r w:rsidR="00CB55FC">
        <w:rPr>
          <w:lang w:val="fr-CH"/>
        </w:rPr>
        <w:t>,</w:t>
      </w:r>
      <w:r w:rsidRPr="00730563">
        <w:rPr>
          <w:lang w:val="fr-CH"/>
        </w:rPr>
        <w:t xml:space="preserve"> </w:t>
      </w:r>
      <w:r w:rsidR="002E2C8C">
        <w:rPr>
          <w:color w:val="000000"/>
        </w:rPr>
        <w:t>conformément à la Résolution</w:t>
      </w:r>
      <w:r w:rsidR="002E2C8C" w:rsidRPr="00730563">
        <w:rPr>
          <w:rStyle w:val="Artdef"/>
          <w:lang w:val="fr-CH"/>
        </w:rPr>
        <w:t xml:space="preserve"> </w:t>
      </w:r>
      <w:r w:rsidRPr="00730563">
        <w:rPr>
          <w:rStyle w:val="Artdef"/>
          <w:lang w:val="fr-CH"/>
        </w:rPr>
        <w:t>[EUR-C10-2]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CB55FC">
      <w:pPr>
        <w:rPr>
          <w:rStyle w:val="BRNormal"/>
          <w:lang w:val="fr-CH"/>
        </w:rPr>
      </w:pPr>
      <w:r w:rsidRPr="00730563">
        <w:rPr>
          <w:rStyle w:val="BRNormal"/>
          <w:lang w:val="fr-CH"/>
        </w:rPr>
        <w:lastRenderedPageBreak/>
        <w:t>1.3</w:t>
      </w:r>
      <w:r w:rsidRPr="00730563">
        <w:rPr>
          <w:rStyle w:val="BRNormal"/>
          <w:lang w:val="fr-CH"/>
        </w:rPr>
        <w:tab/>
      </w:r>
      <w:r w:rsidR="002E2C8C" w:rsidRPr="00730563">
        <w:rPr>
          <w:rStyle w:val="BRNormal"/>
          <w:lang w:val="fr-CH"/>
        </w:rPr>
        <w:t>envisager d</w:t>
      </w:r>
      <w:r w:rsidR="00B979D7">
        <w:rPr>
          <w:rStyle w:val="BRNormal"/>
          <w:lang w:val="fr-CH"/>
        </w:rPr>
        <w:t>'</w:t>
      </w:r>
      <w:r w:rsidR="002E2C8C" w:rsidRPr="00730563">
        <w:rPr>
          <w:rStyle w:val="BRNormal"/>
          <w:lang w:val="fr-CH"/>
        </w:rPr>
        <w:t xml:space="preserve">identifier dans un renvoi </w:t>
      </w:r>
      <w:r w:rsidR="00CB55FC">
        <w:rPr>
          <w:rStyle w:val="BRNormal"/>
          <w:lang w:val="fr-CH"/>
        </w:rPr>
        <w:t>des fréquences</w:t>
      </w:r>
      <w:r w:rsidR="00DA344F" w:rsidRPr="00730563">
        <w:rPr>
          <w:rStyle w:val="BRNormal"/>
          <w:lang w:val="fr-CH"/>
        </w:rPr>
        <w:t xml:space="preserve"> pour le service mobile terrestre et le service fixe </w:t>
      </w:r>
      <w:r w:rsidR="00CB55FC">
        <w:rPr>
          <w:rStyle w:val="BRNormal"/>
          <w:lang w:val="fr-CH"/>
        </w:rPr>
        <w:t xml:space="preserve">dans la gamme </w:t>
      </w:r>
      <w:r w:rsidRPr="00730563">
        <w:rPr>
          <w:rStyle w:val="BRNormal"/>
          <w:lang w:val="fr-CH"/>
        </w:rPr>
        <w:t xml:space="preserve">275-450 GHz, </w:t>
      </w:r>
      <w:r w:rsidR="00DA344F" w:rsidRPr="00730563">
        <w:rPr>
          <w:rStyle w:val="BRNormal"/>
          <w:lang w:val="fr-CH"/>
        </w:rPr>
        <w:t>tout en assurant la protection des services passifs, sous réserve du numéro</w:t>
      </w:r>
      <w:r w:rsidRPr="00730563">
        <w:rPr>
          <w:rStyle w:val="BRNormal"/>
          <w:lang w:val="fr-CH"/>
        </w:rPr>
        <w:t xml:space="preserve"> </w:t>
      </w:r>
      <w:r w:rsidRPr="00730563">
        <w:rPr>
          <w:rStyle w:val="Artdef"/>
          <w:lang w:val="fr-CH"/>
        </w:rPr>
        <w:t>5.565</w:t>
      </w:r>
      <w:r w:rsidRPr="00730563">
        <w:rPr>
          <w:lang w:val="fr-CH"/>
        </w:rPr>
        <w:t xml:space="preserve">, </w:t>
      </w:r>
      <w:r w:rsidR="00DA344F">
        <w:rPr>
          <w:color w:val="000000"/>
        </w:rPr>
        <w:t>conformément à la Résolution</w:t>
      </w:r>
      <w:r w:rsidR="00DA344F" w:rsidRPr="00730563">
        <w:rPr>
          <w:rStyle w:val="Artdef"/>
          <w:lang w:val="fr-CH"/>
        </w:rPr>
        <w:t xml:space="preserve"> </w:t>
      </w:r>
      <w:r w:rsidRPr="00730563">
        <w:rPr>
          <w:rStyle w:val="Artdef"/>
          <w:lang w:val="fr-CH"/>
        </w:rPr>
        <w:t>[EUR-D10-3]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B979D7">
      <w:pPr>
        <w:rPr>
          <w:rStyle w:val="BRNormal"/>
          <w:lang w:val="fr-CH"/>
        </w:rPr>
      </w:pPr>
      <w:r w:rsidRPr="00730563">
        <w:rPr>
          <w:rStyle w:val="BRNormal"/>
          <w:lang w:val="fr-CH"/>
        </w:rPr>
        <w:t>1.4</w:t>
      </w:r>
      <w:r w:rsidRPr="00730563">
        <w:rPr>
          <w:rStyle w:val="BRNormal"/>
          <w:lang w:val="fr-CH"/>
        </w:rPr>
        <w:tab/>
      </w:r>
      <w:r w:rsidR="00DA344F" w:rsidRPr="00730563">
        <w:rPr>
          <w:rStyle w:val="BRNormal"/>
          <w:lang w:val="fr-CH"/>
        </w:rPr>
        <w:t>envisager, sur la base des études relatives aux besoins de fréquences du service d</w:t>
      </w:r>
      <w:r w:rsidR="00B979D7">
        <w:rPr>
          <w:rStyle w:val="BRNormal"/>
          <w:lang w:val="fr-CH"/>
        </w:rPr>
        <w:t>'</w:t>
      </w:r>
      <w:r w:rsidR="00DA344F" w:rsidRPr="00730563">
        <w:rPr>
          <w:rStyle w:val="BRNormal"/>
          <w:lang w:val="fr-CH"/>
        </w:rPr>
        <w:t>amateur, une attribution possible au service d</w:t>
      </w:r>
      <w:r w:rsidR="00B979D7">
        <w:rPr>
          <w:rStyle w:val="BRNormal"/>
          <w:lang w:val="fr-CH"/>
        </w:rPr>
        <w:t>'</w:t>
      </w:r>
      <w:r w:rsidR="00DA344F" w:rsidRPr="00730563">
        <w:rPr>
          <w:rStyle w:val="BRNormal"/>
          <w:lang w:val="fr-CH"/>
        </w:rPr>
        <w:t xml:space="preserve">amateur dans la bande de fréquences </w:t>
      </w:r>
      <w:r w:rsidRPr="00730563">
        <w:rPr>
          <w:rStyle w:val="BRNormal"/>
          <w:lang w:val="fr-CH"/>
        </w:rPr>
        <w:t>1 800</w:t>
      </w:r>
      <w:r w:rsidR="00BF2826">
        <w:rPr>
          <w:rStyle w:val="BRNormal"/>
          <w:lang w:val="fr-CH"/>
        </w:rPr>
        <w:t>-</w:t>
      </w:r>
      <w:r w:rsidRPr="00730563">
        <w:rPr>
          <w:rStyle w:val="BRNormal"/>
          <w:lang w:val="fr-CH"/>
        </w:rPr>
        <w:t>2</w:t>
      </w:r>
      <w:r w:rsidR="00B979D7">
        <w:rPr>
          <w:rStyle w:val="BRNormal"/>
          <w:lang w:val="fr-CH"/>
        </w:rPr>
        <w:t> </w:t>
      </w:r>
      <w:r w:rsidRPr="00730563">
        <w:rPr>
          <w:rStyle w:val="BRNormal"/>
          <w:lang w:val="fr-CH"/>
        </w:rPr>
        <w:t>000</w:t>
      </w:r>
      <w:r w:rsidR="00B979D7">
        <w:rPr>
          <w:rStyle w:val="BRNormal"/>
          <w:lang w:val="fr-CH"/>
        </w:rPr>
        <w:t> </w:t>
      </w:r>
      <w:r w:rsidRPr="00730563">
        <w:rPr>
          <w:rStyle w:val="BRNormal"/>
          <w:lang w:val="fr-CH"/>
        </w:rPr>
        <w:t>kHz</w:t>
      </w:r>
      <w:r w:rsidR="00DA344F" w:rsidRPr="00730563">
        <w:rPr>
          <w:rStyle w:val="BRNormal"/>
          <w:lang w:val="fr-CH"/>
        </w:rPr>
        <w:t xml:space="preserve">, </w:t>
      </w:r>
      <w:r w:rsidR="00B979D7">
        <w:rPr>
          <w:rStyle w:val="BRNormal"/>
          <w:lang w:val="fr-CH"/>
        </w:rPr>
        <w:t>a</w:t>
      </w:r>
      <w:r w:rsidR="00DA344F" w:rsidRPr="00730563">
        <w:rPr>
          <w:rStyle w:val="BRNormal"/>
          <w:lang w:val="fr-CH"/>
        </w:rPr>
        <w:t>fin d</w:t>
      </w:r>
      <w:r w:rsidR="00B979D7">
        <w:rPr>
          <w:rStyle w:val="BRNormal"/>
          <w:lang w:val="fr-CH"/>
        </w:rPr>
        <w:t>'</w:t>
      </w:r>
      <w:r w:rsidR="00DA344F" w:rsidRPr="00730563">
        <w:rPr>
          <w:rStyle w:val="BRNormal"/>
          <w:lang w:val="fr-CH"/>
        </w:rPr>
        <w:t>assurer l</w:t>
      </w:r>
      <w:r w:rsidR="00B979D7">
        <w:rPr>
          <w:rStyle w:val="BRNormal"/>
          <w:lang w:val="fr-CH"/>
        </w:rPr>
        <w:t>'</w:t>
      </w:r>
      <w:r w:rsidR="00DA344F" w:rsidRPr="00730563">
        <w:rPr>
          <w:rStyle w:val="BRNormal"/>
          <w:lang w:val="fr-CH"/>
        </w:rPr>
        <w:t>harmonisation à l</w:t>
      </w:r>
      <w:r w:rsidR="00B979D7">
        <w:rPr>
          <w:rStyle w:val="BRNormal"/>
          <w:lang w:val="fr-CH"/>
        </w:rPr>
        <w:t>'</w:t>
      </w:r>
      <w:r w:rsidR="00DA344F" w:rsidRPr="00730563">
        <w:rPr>
          <w:rStyle w:val="BRNormal"/>
          <w:lang w:val="fr-CH"/>
        </w:rPr>
        <w:t>échelle mondiale, conformément à la Résolution</w:t>
      </w:r>
      <w:r w:rsidRPr="00730563">
        <w:rPr>
          <w:rStyle w:val="BRNormal"/>
          <w:lang w:val="fr-CH"/>
        </w:rPr>
        <w:t xml:space="preserve"> </w:t>
      </w:r>
      <w:r w:rsidRPr="00730563">
        <w:rPr>
          <w:rStyle w:val="Artdef"/>
          <w:lang w:val="fr-CH"/>
        </w:rPr>
        <w:t>[EUR-E10-4]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B60D5E">
      <w:pPr>
        <w:rPr>
          <w:rStyle w:val="BRNormal"/>
          <w:lang w:val="fr-CH"/>
        </w:rPr>
      </w:pPr>
      <w:r w:rsidRPr="00730563">
        <w:rPr>
          <w:rStyle w:val="BRNormal"/>
          <w:lang w:val="fr-CH"/>
        </w:rPr>
        <w:t>1.5</w:t>
      </w:r>
      <w:r w:rsidRPr="00730563">
        <w:rPr>
          <w:rStyle w:val="BRNormal"/>
          <w:lang w:val="fr-CH"/>
        </w:rPr>
        <w:tab/>
      </w:r>
      <w:r w:rsidR="00DA344F" w:rsidRPr="00730563">
        <w:rPr>
          <w:rStyle w:val="BRNormal"/>
          <w:lang w:val="fr-CH"/>
        </w:rPr>
        <w:t>envisager une attribution additionnelle à titre primaire au service fixe par satellite (Terre vers espac</w:t>
      </w:r>
      <w:r w:rsidR="004171A9">
        <w:rPr>
          <w:rStyle w:val="BRNormal"/>
          <w:lang w:val="fr-CH"/>
        </w:rPr>
        <w:t>e</w:t>
      </w:r>
      <w:r w:rsidR="00B1634C">
        <w:rPr>
          <w:rStyle w:val="BRNormal"/>
          <w:lang w:val="fr-CH"/>
        </w:rPr>
        <w:t>) dans</w:t>
      </w:r>
      <w:r w:rsidR="004171A9">
        <w:rPr>
          <w:rStyle w:val="BRNormal"/>
          <w:lang w:val="fr-CH"/>
        </w:rPr>
        <w:t xml:space="preserve"> la bande de fréquences </w:t>
      </w:r>
      <w:r w:rsidRPr="00730563">
        <w:rPr>
          <w:rStyle w:val="BRNormal"/>
          <w:lang w:val="fr-CH"/>
        </w:rPr>
        <w:t>51</w:t>
      </w:r>
      <w:r w:rsidR="00B979D7">
        <w:rPr>
          <w:rStyle w:val="BRNormal"/>
          <w:lang w:val="fr-CH"/>
        </w:rPr>
        <w:t>,</w:t>
      </w:r>
      <w:r w:rsidRPr="00730563">
        <w:rPr>
          <w:rStyle w:val="BRNormal"/>
          <w:lang w:val="fr-CH"/>
        </w:rPr>
        <w:t>4-52</w:t>
      </w:r>
      <w:r w:rsidR="00B979D7">
        <w:rPr>
          <w:rStyle w:val="BRNormal"/>
          <w:lang w:val="fr-CH"/>
        </w:rPr>
        <w:t>,</w:t>
      </w:r>
      <w:r w:rsidRPr="00730563">
        <w:rPr>
          <w:rStyle w:val="BRNormal"/>
          <w:lang w:val="fr-CH"/>
        </w:rPr>
        <w:t xml:space="preserve">4 GHz </w:t>
      </w:r>
      <w:r w:rsidR="00DA344F" w:rsidRPr="00730563">
        <w:rPr>
          <w:rStyle w:val="BRNormal"/>
          <w:lang w:val="fr-CH"/>
        </w:rPr>
        <w:t>et un cadre réglementaire relatif aux systèmes non</w:t>
      </w:r>
      <w:r w:rsidR="00CB55FC">
        <w:rPr>
          <w:rStyle w:val="BRNormal"/>
          <w:lang w:val="fr-CH"/>
        </w:rPr>
        <w:t xml:space="preserve"> </w:t>
      </w:r>
      <w:r w:rsidR="00555F35" w:rsidRPr="00730563">
        <w:rPr>
          <w:rStyle w:val="BRNormal"/>
          <w:lang w:val="fr-CH"/>
        </w:rPr>
        <w:t xml:space="preserve">OSG </w:t>
      </w:r>
      <w:r w:rsidR="00DA344F" w:rsidRPr="00730563">
        <w:rPr>
          <w:rStyle w:val="BRNormal"/>
          <w:lang w:val="fr-CH"/>
        </w:rPr>
        <w:t>du SFS dans la gamme 37</w:t>
      </w:r>
      <w:r w:rsidR="00B979D7">
        <w:rPr>
          <w:rStyle w:val="BRNormal"/>
          <w:lang w:val="fr-CH"/>
        </w:rPr>
        <w:t>,</w:t>
      </w:r>
      <w:r w:rsidR="00DA344F" w:rsidRPr="00730563">
        <w:rPr>
          <w:rStyle w:val="BRNormal"/>
          <w:lang w:val="fr-CH"/>
        </w:rPr>
        <w:t>5-52</w:t>
      </w:r>
      <w:r w:rsidR="00B979D7">
        <w:rPr>
          <w:rStyle w:val="BRNormal"/>
          <w:lang w:val="fr-CH"/>
        </w:rPr>
        <w:t>,</w:t>
      </w:r>
      <w:r w:rsidR="00DA344F" w:rsidRPr="00730563">
        <w:rPr>
          <w:rStyle w:val="BRNormal"/>
          <w:lang w:val="fr-CH"/>
        </w:rPr>
        <w:t xml:space="preserve">4 GHz, conformément à la Résolution </w:t>
      </w:r>
      <w:r w:rsidRPr="00730563">
        <w:rPr>
          <w:rStyle w:val="Artdef"/>
          <w:lang w:val="fr-CH"/>
        </w:rPr>
        <w:t>[EUR</w:t>
      </w:r>
      <w:r w:rsidR="00B60D5E">
        <w:rPr>
          <w:rStyle w:val="Artdef"/>
          <w:lang w:val="fr-CH"/>
        </w:rPr>
        <w:noBreakHyphen/>
      </w:r>
      <w:r w:rsidRPr="00730563">
        <w:rPr>
          <w:rStyle w:val="Artdef"/>
          <w:lang w:val="fr-CH"/>
        </w:rPr>
        <w:t>10-5]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B9323D" w:rsidP="00B979D7">
      <w:pPr>
        <w:rPr>
          <w:rStyle w:val="BRNormal"/>
          <w:lang w:val="fr-CH"/>
        </w:rPr>
      </w:pPr>
      <w:r>
        <w:rPr>
          <w:rStyle w:val="BRNormal"/>
          <w:lang w:val="fr-CH"/>
        </w:rPr>
        <w:t>1.6</w:t>
      </w:r>
      <w:r>
        <w:rPr>
          <w:rStyle w:val="BRNormal"/>
          <w:lang w:val="fr-CH"/>
        </w:rPr>
        <w:tab/>
      </w:r>
      <w:r w:rsidR="00903171" w:rsidRPr="00730563">
        <w:rPr>
          <w:rStyle w:val="BRNormal"/>
          <w:lang w:val="fr-CH"/>
        </w:rPr>
        <w:t>envisager d</w:t>
      </w:r>
      <w:r w:rsidR="00B979D7">
        <w:rPr>
          <w:rStyle w:val="BRNormal"/>
          <w:lang w:val="fr-CH"/>
        </w:rPr>
        <w:t>'</w:t>
      </w:r>
      <w:r w:rsidR="00903171" w:rsidRPr="00730563">
        <w:rPr>
          <w:rStyle w:val="BRNormal"/>
          <w:lang w:val="fr-CH"/>
        </w:rPr>
        <w:t>établir des limites de puissance obligatoires dans le service mobile par satellite, le service de météorologie par satellite ou le service d</w:t>
      </w:r>
      <w:r w:rsidR="00B979D7">
        <w:rPr>
          <w:rStyle w:val="BRNormal"/>
          <w:lang w:val="fr-CH"/>
        </w:rPr>
        <w:t>'</w:t>
      </w:r>
      <w:r w:rsidR="00903171" w:rsidRPr="00730563">
        <w:rPr>
          <w:rStyle w:val="BRNormal"/>
          <w:lang w:val="fr-CH"/>
        </w:rPr>
        <w:t>exploration de la Terre par satellite</w:t>
      </w:r>
      <w:r>
        <w:rPr>
          <w:rStyle w:val="BRNormal"/>
          <w:lang w:val="fr-CH"/>
        </w:rPr>
        <w:t xml:space="preserve"> dans les bandes de fréquences 401-403 MHz et</w:t>
      </w:r>
      <w:r w:rsidR="00277E89" w:rsidRPr="00730563">
        <w:rPr>
          <w:rStyle w:val="BRNormal"/>
          <w:lang w:val="fr-CH"/>
        </w:rPr>
        <w:t xml:space="preserve"> 399</w:t>
      </w:r>
      <w:r w:rsidR="00B979D7">
        <w:rPr>
          <w:rStyle w:val="BRNormal"/>
          <w:lang w:val="fr-CH"/>
        </w:rPr>
        <w:t>,</w:t>
      </w:r>
      <w:r w:rsidR="00277E89" w:rsidRPr="00730563">
        <w:rPr>
          <w:rStyle w:val="BRNormal"/>
          <w:lang w:val="fr-CH"/>
        </w:rPr>
        <w:t>9-400</w:t>
      </w:r>
      <w:r w:rsidR="00B979D7">
        <w:rPr>
          <w:rStyle w:val="BRNormal"/>
          <w:lang w:val="fr-CH"/>
        </w:rPr>
        <w:t>,</w:t>
      </w:r>
      <w:r w:rsidR="00277E89" w:rsidRPr="00730563">
        <w:rPr>
          <w:rStyle w:val="BRNormal"/>
          <w:lang w:val="fr-CH"/>
        </w:rPr>
        <w:t>05 MHz</w:t>
      </w:r>
      <w:r>
        <w:rPr>
          <w:rStyle w:val="BRNormal"/>
          <w:lang w:val="fr-CH"/>
        </w:rPr>
        <w:t>,</w:t>
      </w:r>
      <w:r w:rsidR="00903171" w:rsidRPr="00730563">
        <w:rPr>
          <w:rStyle w:val="BRNormal"/>
          <w:lang w:val="fr-CH"/>
        </w:rPr>
        <w:t xml:space="preserve"> conformément à la Résolution </w:t>
      </w:r>
      <w:r w:rsidR="00277E89" w:rsidRPr="00730563">
        <w:rPr>
          <w:rStyle w:val="Artdef"/>
          <w:lang w:val="fr-CH"/>
        </w:rPr>
        <w:t>[EUR-G10-6] (</w:t>
      </w:r>
      <w:r w:rsidR="003228B3">
        <w:rPr>
          <w:rStyle w:val="Artdef"/>
          <w:lang w:val="fr-CH"/>
        </w:rPr>
        <w:t>CMR-15</w:t>
      </w:r>
      <w:r w:rsidR="00277E89" w:rsidRPr="00730563">
        <w:rPr>
          <w:rStyle w:val="Artdef"/>
          <w:lang w:val="fr-CH"/>
        </w:rPr>
        <w:t>)</w:t>
      </w:r>
      <w:r w:rsidR="00277E89" w:rsidRPr="00730563">
        <w:rPr>
          <w:rStyle w:val="BRNormal"/>
          <w:lang w:val="fr-CH"/>
        </w:rPr>
        <w:t>;</w:t>
      </w:r>
    </w:p>
    <w:p w:rsidR="00277E89" w:rsidRPr="00730563" w:rsidRDefault="00277E89" w:rsidP="00425FA3">
      <w:pPr>
        <w:rPr>
          <w:rStyle w:val="BRNormal"/>
          <w:lang w:val="fr-CH"/>
        </w:rPr>
      </w:pPr>
      <w:r w:rsidRPr="00730563">
        <w:rPr>
          <w:rStyle w:val="BRNormal"/>
          <w:lang w:val="fr-CH"/>
        </w:rPr>
        <w:t>1.7</w:t>
      </w:r>
      <w:r w:rsidRPr="00730563">
        <w:rPr>
          <w:rStyle w:val="BRNormal"/>
          <w:lang w:val="fr-CH"/>
        </w:rPr>
        <w:tab/>
      </w:r>
      <w:r w:rsidR="00903171" w:rsidRPr="00730563">
        <w:rPr>
          <w:rStyle w:val="BRNormal"/>
          <w:lang w:val="fr-CH"/>
        </w:rPr>
        <w:t>envisager de relever le statut de l</w:t>
      </w:r>
      <w:r w:rsidR="00B979D7">
        <w:rPr>
          <w:rStyle w:val="BRNormal"/>
          <w:lang w:val="fr-CH"/>
        </w:rPr>
        <w:t>'</w:t>
      </w:r>
      <w:r w:rsidR="00903171" w:rsidRPr="00730563">
        <w:rPr>
          <w:rStyle w:val="BRNormal"/>
          <w:lang w:val="fr-CH"/>
        </w:rPr>
        <w:t>attribution à titre secondaire au service de météorologie par satellite (espace vers Terre</w:t>
      </w:r>
      <w:r w:rsidR="00BF2826">
        <w:rPr>
          <w:rStyle w:val="BRNormal"/>
          <w:lang w:val="fr-CH"/>
        </w:rPr>
        <w:t>)</w:t>
      </w:r>
      <w:r w:rsidR="00903171" w:rsidRPr="00730563">
        <w:rPr>
          <w:rStyle w:val="BRNormal"/>
          <w:lang w:val="fr-CH"/>
        </w:rPr>
        <w:t>dans la bande 460-470 MHz et du service d</w:t>
      </w:r>
      <w:r w:rsidR="00B979D7">
        <w:rPr>
          <w:rStyle w:val="BRNormal"/>
          <w:lang w:val="fr-CH"/>
        </w:rPr>
        <w:t>'</w:t>
      </w:r>
      <w:r w:rsidR="00903171" w:rsidRPr="00730563">
        <w:rPr>
          <w:rStyle w:val="BRNormal"/>
          <w:lang w:val="fr-CH"/>
        </w:rPr>
        <w:t>exploration de la Terre par satellite (espace vers Terre)</w:t>
      </w:r>
      <w:r w:rsidR="003228B3">
        <w:rPr>
          <w:rStyle w:val="BRNormal"/>
          <w:lang w:val="fr-CH"/>
        </w:rPr>
        <w:t>,</w:t>
      </w:r>
      <w:r w:rsidR="00903171" w:rsidRPr="00730563">
        <w:rPr>
          <w:rStyle w:val="BRNormal"/>
          <w:lang w:val="fr-CH"/>
        </w:rPr>
        <w:t xml:space="preserve"> tel qu</w:t>
      </w:r>
      <w:r w:rsidR="00B979D7">
        <w:rPr>
          <w:rStyle w:val="BRNormal"/>
          <w:lang w:val="fr-CH"/>
        </w:rPr>
        <w:t>'</w:t>
      </w:r>
      <w:r w:rsidR="00903171" w:rsidRPr="00730563">
        <w:rPr>
          <w:rStyle w:val="BRNormal"/>
          <w:lang w:val="fr-CH"/>
        </w:rPr>
        <w:t xml:space="preserve">il figure au numéro </w:t>
      </w:r>
      <w:r w:rsidR="00903171" w:rsidRPr="00730563">
        <w:rPr>
          <w:rStyle w:val="Artdef"/>
          <w:lang w:val="fr-CH"/>
        </w:rPr>
        <w:t>5.289</w:t>
      </w:r>
      <w:r w:rsidR="00903171" w:rsidRPr="00730563">
        <w:rPr>
          <w:lang w:val="fr-CH"/>
        </w:rPr>
        <w:t>,</w:t>
      </w:r>
      <w:r w:rsidR="003228B3">
        <w:rPr>
          <w:lang w:val="fr-CH"/>
        </w:rPr>
        <w:t xml:space="preserve"> </w:t>
      </w:r>
      <w:r w:rsidR="00903171" w:rsidRPr="00730563">
        <w:rPr>
          <w:rStyle w:val="BRNormal"/>
          <w:lang w:val="fr-CH"/>
        </w:rPr>
        <w:t>pour lui conférer le statut primaire</w:t>
      </w:r>
      <w:r w:rsidR="003228B3">
        <w:rPr>
          <w:rStyle w:val="BRNormal"/>
          <w:lang w:val="fr-CH"/>
        </w:rPr>
        <w:t>,</w:t>
      </w:r>
      <w:r w:rsidR="00903171" w:rsidRPr="00730563">
        <w:rPr>
          <w:rStyle w:val="BRNormal"/>
          <w:lang w:val="fr-CH"/>
        </w:rPr>
        <w:t xml:space="preserve"> tout en imposant les contraintes correspondantes à ce service pour assurer la protection des services primaires existants dans la bande, conformément à la Résolution</w:t>
      </w:r>
      <w:r w:rsidRPr="00730563">
        <w:rPr>
          <w:lang w:val="fr-CH"/>
        </w:rPr>
        <w:t xml:space="preserve"> </w:t>
      </w:r>
      <w:r w:rsidRPr="00730563">
        <w:rPr>
          <w:rStyle w:val="Artdef"/>
          <w:lang w:val="fr-CH"/>
        </w:rPr>
        <w:t>[EUR-H10-7]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B979D7">
      <w:pPr>
        <w:rPr>
          <w:rStyle w:val="BRNormal"/>
          <w:lang w:val="fr-CH"/>
        </w:rPr>
      </w:pPr>
      <w:r w:rsidRPr="00730563">
        <w:rPr>
          <w:rStyle w:val="BRNormal"/>
          <w:lang w:val="fr-CH"/>
        </w:rPr>
        <w:t>1.8</w:t>
      </w:r>
      <w:r w:rsidRPr="00730563">
        <w:rPr>
          <w:rStyle w:val="BRNormal"/>
          <w:lang w:val="fr-CH"/>
        </w:rPr>
        <w:tab/>
      </w:r>
      <w:r w:rsidR="00903171" w:rsidRPr="00730563">
        <w:rPr>
          <w:rStyle w:val="BRNormal"/>
          <w:lang w:val="fr-CH"/>
        </w:rPr>
        <w:t>envisager des attributions au service d</w:t>
      </w:r>
      <w:r w:rsidR="00B979D7">
        <w:rPr>
          <w:rStyle w:val="BRNormal"/>
          <w:lang w:val="fr-CH"/>
        </w:rPr>
        <w:t>'</w:t>
      </w:r>
      <w:r w:rsidR="00903171" w:rsidRPr="00730563">
        <w:rPr>
          <w:rStyle w:val="BRNormal"/>
          <w:lang w:val="fr-CH"/>
        </w:rPr>
        <w:t>exploitation spatiale</w:t>
      </w:r>
      <w:r w:rsidR="004171A9">
        <w:rPr>
          <w:rStyle w:val="BRNormal"/>
          <w:lang w:val="fr-CH"/>
        </w:rPr>
        <w:t xml:space="preserve"> dans les gammes </w:t>
      </w:r>
      <w:r w:rsidRPr="00730563">
        <w:rPr>
          <w:rStyle w:val="BRNormal"/>
          <w:lang w:val="fr-CH"/>
        </w:rPr>
        <w:t>137-174</w:t>
      </w:r>
      <w:r w:rsidR="00B979D7">
        <w:rPr>
          <w:rStyle w:val="BRNormal"/>
          <w:lang w:val="fr-CH"/>
        </w:rPr>
        <w:t> </w:t>
      </w:r>
      <w:r w:rsidRPr="00730563">
        <w:rPr>
          <w:rStyle w:val="BRNormal"/>
          <w:lang w:val="fr-CH"/>
        </w:rPr>
        <w:t xml:space="preserve">MHz </w:t>
      </w:r>
      <w:r w:rsidR="00903171" w:rsidRPr="00730563">
        <w:rPr>
          <w:rStyle w:val="BRNormal"/>
          <w:lang w:val="fr-CH"/>
        </w:rPr>
        <w:t xml:space="preserve">et </w:t>
      </w:r>
      <w:r w:rsidRPr="00730563">
        <w:rPr>
          <w:rStyle w:val="BRNormal"/>
          <w:lang w:val="fr-CH"/>
        </w:rPr>
        <w:t>230-470 MHz</w:t>
      </w:r>
      <w:r w:rsidR="00903171" w:rsidRPr="00730563">
        <w:rPr>
          <w:rStyle w:val="BRNormal"/>
          <w:lang w:val="fr-CH"/>
        </w:rPr>
        <w:t xml:space="preserve">, </w:t>
      </w:r>
      <w:r w:rsidR="00404B68" w:rsidRPr="00730563">
        <w:rPr>
          <w:rStyle w:val="BRNormal"/>
          <w:lang w:val="fr-CH"/>
        </w:rPr>
        <w:t>pour tenir compte du nombre croissant de petits satellites non O</w:t>
      </w:r>
      <w:r w:rsidR="004171A9">
        <w:rPr>
          <w:rStyle w:val="BRNormal"/>
          <w:lang w:val="fr-CH"/>
        </w:rPr>
        <w:t>SG</w:t>
      </w:r>
      <w:r w:rsidR="00404B68" w:rsidRPr="00730563">
        <w:rPr>
          <w:rStyle w:val="BRNormal"/>
          <w:lang w:val="fr-CH"/>
        </w:rPr>
        <w:t>, conformément à la Résolution</w:t>
      </w:r>
      <w:r w:rsidRPr="00730563">
        <w:rPr>
          <w:rStyle w:val="BRNormal"/>
          <w:lang w:val="fr-CH"/>
        </w:rPr>
        <w:t xml:space="preserve"> </w:t>
      </w:r>
      <w:r w:rsidR="00E20867">
        <w:rPr>
          <w:rStyle w:val="Artdef"/>
          <w:lang w:val="fr-CH"/>
        </w:rPr>
        <w:t xml:space="preserve">[EUR-I10-8] </w:t>
      </w:r>
      <w:r w:rsidRPr="00730563">
        <w:rPr>
          <w:rStyle w:val="Artdef"/>
          <w:lang w:val="fr-CH"/>
        </w:rPr>
        <w:t>(</w:t>
      </w:r>
      <w:r w:rsidR="004171A9">
        <w:rPr>
          <w:rStyle w:val="Artdef"/>
          <w:lang w:val="fr-CH"/>
        </w:rPr>
        <w:t>CMR</w:t>
      </w:r>
      <w:r w:rsidRPr="00730563">
        <w:rPr>
          <w:rStyle w:val="Artdef"/>
          <w:lang w:val="fr-CH"/>
        </w:rPr>
        <w:t>-15)</w:t>
      </w:r>
      <w:r w:rsidRPr="00730563">
        <w:rPr>
          <w:rStyle w:val="BRNormal"/>
          <w:lang w:val="fr-CH"/>
        </w:rPr>
        <w:t>;</w:t>
      </w:r>
    </w:p>
    <w:p w:rsidR="00277E89" w:rsidRPr="00730563" w:rsidRDefault="00277E89" w:rsidP="00B979D7">
      <w:pPr>
        <w:rPr>
          <w:rStyle w:val="BRNormal"/>
          <w:lang w:val="fr-CH"/>
        </w:rPr>
      </w:pPr>
      <w:r w:rsidRPr="00730563">
        <w:rPr>
          <w:rStyle w:val="BRNormal"/>
          <w:lang w:val="fr-CH"/>
        </w:rPr>
        <w:t>1.9</w:t>
      </w:r>
      <w:r w:rsidRPr="00730563">
        <w:rPr>
          <w:rStyle w:val="BRNormal"/>
          <w:lang w:val="fr-CH"/>
        </w:rPr>
        <w:tab/>
      </w:r>
      <w:r w:rsidR="00404B68" w:rsidRPr="00730563">
        <w:rPr>
          <w:rStyle w:val="BRNormal"/>
          <w:lang w:val="fr-CH"/>
        </w:rPr>
        <w:t>examiner l</w:t>
      </w:r>
      <w:r w:rsidR="00B979D7">
        <w:rPr>
          <w:rStyle w:val="BRNormal"/>
          <w:lang w:val="fr-CH"/>
        </w:rPr>
        <w:t>'</w:t>
      </w:r>
      <w:r w:rsidR="00404B68" w:rsidRPr="00730563">
        <w:rPr>
          <w:rStyle w:val="BRNormal"/>
          <w:lang w:val="fr-CH"/>
        </w:rPr>
        <w:t>utilis</w:t>
      </w:r>
      <w:r w:rsidR="004171A9">
        <w:rPr>
          <w:rStyle w:val="BRNormal"/>
          <w:lang w:val="fr-CH"/>
        </w:rPr>
        <w:t xml:space="preserve">ation des bandes de fréquences </w:t>
      </w:r>
      <w:r w:rsidRPr="00730563">
        <w:rPr>
          <w:rStyle w:val="BRNormal"/>
          <w:lang w:val="fr-CH"/>
        </w:rPr>
        <w:t>17</w:t>
      </w:r>
      <w:r w:rsidR="00B979D7">
        <w:rPr>
          <w:rStyle w:val="BRNormal"/>
          <w:lang w:val="fr-CH"/>
        </w:rPr>
        <w:t>,</w:t>
      </w:r>
      <w:r w:rsidRPr="00730563">
        <w:rPr>
          <w:rStyle w:val="BRNormal"/>
          <w:lang w:val="fr-CH"/>
        </w:rPr>
        <w:t>7-19</w:t>
      </w:r>
      <w:r w:rsidR="00B979D7">
        <w:rPr>
          <w:rStyle w:val="BRNormal"/>
          <w:lang w:val="fr-CH"/>
        </w:rPr>
        <w:t>,</w:t>
      </w:r>
      <w:r w:rsidRPr="00730563">
        <w:rPr>
          <w:rStyle w:val="BRNormal"/>
          <w:lang w:val="fr-CH"/>
        </w:rPr>
        <w:t>7 GHz</w:t>
      </w:r>
      <w:r w:rsidR="00404B68" w:rsidRPr="00730563">
        <w:rPr>
          <w:rStyle w:val="BRNormal"/>
          <w:lang w:val="fr-CH"/>
        </w:rPr>
        <w:t xml:space="preserve"> et</w:t>
      </w:r>
      <w:r w:rsidR="003228B3">
        <w:rPr>
          <w:rStyle w:val="BRNormal"/>
          <w:lang w:val="fr-CH"/>
        </w:rPr>
        <w:t xml:space="preserve"> </w:t>
      </w:r>
      <w:r w:rsidRPr="00730563">
        <w:rPr>
          <w:rStyle w:val="BRNormal"/>
          <w:lang w:val="fr-CH"/>
        </w:rPr>
        <w:t>27</w:t>
      </w:r>
      <w:r w:rsidR="00B979D7">
        <w:rPr>
          <w:rStyle w:val="BRNormal"/>
          <w:lang w:val="fr-CH"/>
        </w:rPr>
        <w:t>,</w:t>
      </w:r>
      <w:r w:rsidRPr="00730563">
        <w:rPr>
          <w:rStyle w:val="BRNormal"/>
          <w:lang w:val="fr-CH"/>
        </w:rPr>
        <w:t>5-29</w:t>
      </w:r>
      <w:r w:rsidR="00B979D7">
        <w:rPr>
          <w:rStyle w:val="BRNormal"/>
          <w:lang w:val="fr-CH"/>
        </w:rPr>
        <w:t>,</w:t>
      </w:r>
      <w:r w:rsidRPr="00730563">
        <w:rPr>
          <w:rStyle w:val="BRNormal"/>
          <w:lang w:val="fr-CH"/>
        </w:rPr>
        <w:t xml:space="preserve">5 GHz </w:t>
      </w:r>
      <w:r w:rsidR="00404B68" w:rsidRPr="00730563">
        <w:rPr>
          <w:rStyle w:val="BRNormal"/>
          <w:lang w:val="fr-CH"/>
        </w:rPr>
        <w:t xml:space="preserve">par les stations terriennes </w:t>
      </w:r>
      <w:r w:rsidR="00404B68">
        <w:rPr>
          <w:color w:val="000000"/>
        </w:rPr>
        <w:t>placées sur des plates-formes mobiles communiquant avec des stations spatiales géostationnaires du service fixe par satellite,</w:t>
      </w:r>
      <w:r w:rsidR="00404B68" w:rsidRPr="00730563">
        <w:rPr>
          <w:rStyle w:val="BRNormal"/>
          <w:lang w:val="fr-CH"/>
        </w:rPr>
        <w:t xml:space="preserve"> conformément à la Résolution </w:t>
      </w:r>
      <w:r w:rsidRPr="00730563">
        <w:rPr>
          <w:rStyle w:val="Artdef"/>
          <w:lang w:val="fr-CH"/>
        </w:rPr>
        <w:t>[EUR-J10-9] (</w:t>
      </w:r>
      <w:r w:rsidR="00DF23A8">
        <w:rPr>
          <w:rStyle w:val="Artdef"/>
          <w:lang w:val="fr-CH"/>
        </w:rPr>
        <w:t>CMR</w:t>
      </w:r>
      <w:r w:rsidRPr="00730563">
        <w:rPr>
          <w:rStyle w:val="Artdef"/>
          <w:lang w:val="fr-CH"/>
        </w:rPr>
        <w:t>-</w:t>
      </w:r>
      <w:r w:rsidR="00E20867">
        <w:rPr>
          <w:rStyle w:val="Artdef"/>
          <w:lang w:val="fr-CH"/>
        </w:rPr>
        <w:t> </w:t>
      </w:r>
      <w:r w:rsidRPr="00730563">
        <w:rPr>
          <w:rStyle w:val="Artdef"/>
          <w:lang w:val="fr-CH"/>
        </w:rPr>
        <w:t>15)</w:t>
      </w:r>
      <w:r w:rsidRPr="00730563">
        <w:rPr>
          <w:rStyle w:val="BRNormal"/>
          <w:lang w:val="fr-CH"/>
        </w:rPr>
        <w:t>;</w:t>
      </w:r>
    </w:p>
    <w:p w:rsidR="00277E89" w:rsidRPr="00730563" w:rsidRDefault="00277E89" w:rsidP="00B979D7">
      <w:pPr>
        <w:rPr>
          <w:rStyle w:val="BRNormal"/>
          <w:lang w:val="fr-CH"/>
        </w:rPr>
      </w:pPr>
      <w:r w:rsidRPr="00730563">
        <w:rPr>
          <w:rStyle w:val="BRNormal"/>
          <w:lang w:val="fr-CH"/>
        </w:rPr>
        <w:t>1.10</w:t>
      </w:r>
      <w:r w:rsidRPr="00730563">
        <w:rPr>
          <w:rStyle w:val="BRNormal"/>
          <w:lang w:val="fr-CH"/>
        </w:rPr>
        <w:tab/>
      </w:r>
      <w:r w:rsidR="00404B68" w:rsidRPr="00730563">
        <w:rPr>
          <w:rStyle w:val="BRNormal"/>
          <w:lang w:val="fr-CH"/>
        </w:rPr>
        <w:t xml:space="preserve">envisager la révision de </w:t>
      </w:r>
      <w:r w:rsidR="00B1634C" w:rsidRPr="00730563">
        <w:rPr>
          <w:rStyle w:val="BRNormal"/>
          <w:lang w:val="fr-CH"/>
        </w:rPr>
        <w:t>l</w:t>
      </w:r>
      <w:r w:rsidR="00B979D7">
        <w:rPr>
          <w:rStyle w:val="BRNormal"/>
          <w:lang w:val="fr-CH"/>
        </w:rPr>
        <w:t>'</w:t>
      </w:r>
      <w:r w:rsidR="00B1634C" w:rsidRPr="00730563">
        <w:rPr>
          <w:rStyle w:val="BRNormal"/>
          <w:lang w:val="fr-CH"/>
        </w:rPr>
        <w:t>Annexe</w:t>
      </w:r>
      <w:r w:rsidR="00FE7E10" w:rsidRPr="00730563">
        <w:rPr>
          <w:rStyle w:val="BRNormal"/>
          <w:lang w:val="fr-CH"/>
        </w:rPr>
        <w:t xml:space="preserve"> </w:t>
      </w:r>
      <w:r w:rsidR="00DF23A8">
        <w:rPr>
          <w:rStyle w:val="BRNormal"/>
          <w:lang w:val="fr-CH"/>
        </w:rPr>
        <w:t>7 de l</w:t>
      </w:r>
      <w:r w:rsidR="00B979D7">
        <w:rPr>
          <w:rStyle w:val="BRNormal"/>
          <w:lang w:val="fr-CH"/>
        </w:rPr>
        <w:t>'</w:t>
      </w:r>
      <w:r w:rsidR="00DF23A8">
        <w:rPr>
          <w:rStyle w:val="BRNormal"/>
          <w:lang w:val="fr-CH"/>
        </w:rPr>
        <w:t>A</w:t>
      </w:r>
      <w:r w:rsidR="00404B68" w:rsidRPr="00730563">
        <w:rPr>
          <w:rStyle w:val="BRNormal"/>
          <w:lang w:val="fr-CH"/>
        </w:rPr>
        <w:t xml:space="preserve">ppendice 30 du Règlement des radiocommunications, conformément à la Résolution </w:t>
      </w:r>
      <w:r w:rsidRPr="00730563">
        <w:rPr>
          <w:rStyle w:val="Artdef"/>
          <w:lang w:val="fr-CH"/>
        </w:rPr>
        <w:t>[EUR-K10-10]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425FA3">
      <w:pPr>
        <w:rPr>
          <w:rStyle w:val="BRNormal"/>
          <w:lang w:val="fr-CH"/>
        </w:rPr>
      </w:pPr>
      <w:r w:rsidRPr="00730563">
        <w:rPr>
          <w:rStyle w:val="BRNormal"/>
          <w:lang w:val="fr-CH"/>
        </w:rPr>
        <w:t>1.11</w:t>
      </w:r>
      <w:r w:rsidRPr="00730563">
        <w:rPr>
          <w:rStyle w:val="BRNormal"/>
          <w:lang w:val="fr-CH"/>
        </w:rPr>
        <w:tab/>
      </w:r>
      <w:r w:rsidR="00404B68">
        <w:rPr>
          <w:color w:val="000000"/>
        </w:rPr>
        <w:t>examiner les mesures réglementaires</w:t>
      </w:r>
      <w:r w:rsidR="00404B68" w:rsidRPr="00730563">
        <w:rPr>
          <w:rStyle w:val="BRNormal"/>
          <w:lang w:val="fr-CH"/>
        </w:rPr>
        <w:t xml:space="preserve"> </w:t>
      </w:r>
      <w:r w:rsidR="00FF401B" w:rsidRPr="00730563">
        <w:rPr>
          <w:rStyle w:val="BRNormal"/>
          <w:lang w:val="fr-CH"/>
        </w:rPr>
        <w:t>à prendre en vue du développement et de la mise en œuvre du Système mondial de détre</w:t>
      </w:r>
      <w:r w:rsidR="00DF23A8">
        <w:rPr>
          <w:rStyle w:val="BRNormal"/>
          <w:lang w:val="fr-CH"/>
        </w:rPr>
        <w:t>sse et de sécurité aéronautique</w:t>
      </w:r>
      <w:r w:rsidR="00FF401B" w:rsidRPr="00730563">
        <w:rPr>
          <w:rStyle w:val="BRNormal"/>
          <w:lang w:val="fr-CH"/>
        </w:rPr>
        <w:t xml:space="preserve"> (GADSS)</w:t>
      </w:r>
      <w:r w:rsidR="00DF23A8">
        <w:rPr>
          <w:rStyle w:val="BRNormal"/>
          <w:lang w:val="fr-CH"/>
        </w:rPr>
        <w:t>,</w:t>
      </w:r>
      <w:r w:rsidR="00FF401B" w:rsidRPr="00730563">
        <w:rPr>
          <w:rStyle w:val="BRNormal"/>
          <w:lang w:val="fr-CH"/>
        </w:rPr>
        <w:t xml:space="preserve"> conformément à la Résolution </w:t>
      </w:r>
      <w:r w:rsidRPr="00730563">
        <w:rPr>
          <w:rStyle w:val="Artdef"/>
          <w:lang w:val="fr-CH"/>
        </w:rPr>
        <w:t>[EUR-L10-11] (</w:t>
      </w:r>
      <w:r w:rsidR="003228B3">
        <w:rPr>
          <w:rStyle w:val="Artdef"/>
          <w:lang w:val="fr-CH"/>
        </w:rPr>
        <w:t>CMR-15</w:t>
      </w:r>
      <w:r w:rsidRPr="00730563">
        <w:rPr>
          <w:rStyle w:val="Artdef"/>
          <w:lang w:val="fr-CH"/>
        </w:rPr>
        <w:t>)</w:t>
      </w:r>
      <w:r w:rsidRPr="00730563">
        <w:rPr>
          <w:rStyle w:val="BRNormal"/>
          <w:lang w:val="fr-CH"/>
        </w:rPr>
        <w:t>;</w:t>
      </w:r>
    </w:p>
    <w:p w:rsidR="00277E89" w:rsidRPr="00730563" w:rsidRDefault="00277E89" w:rsidP="00B979D7">
      <w:pPr>
        <w:rPr>
          <w:rStyle w:val="BRNormal"/>
          <w:lang w:val="fr-CH"/>
        </w:rPr>
      </w:pPr>
      <w:r w:rsidRPr="00730563">
        <w:rPr>
          <w:rStyle w:val="BRNormal"/>
          <w:lang w:val="fr-CH"/>
        </w:rPr>
        <w:t>1.12</w:t>
      </w:r>
      <w:r w:rsidRPr="00730563">
        <w:rPr>
          <w:rStyle w:val="BRNormal"/>
          <w:lang w:val="fr-CH"/>
        </w:rPr>
        <w:tab/>
      </w:r>
      <w:r w:rsidR="00DF23A8">
        <w:rPr>
          <w:color w:val="000000"/>
        </w:rPr>
        <w:t>envisager d</w:t>
      </w:r>
      <w:r w:rsidR="00FF401B">
        <w:rPr>
          <w:color w:val="000000"/>
        </w:rPr>
        <w:t xml:space="preserve">es dispositions réglementaires, </w:t>
      </w:r>
      <w:r w:rsidR="00DF23A8">
        <w:rPr>
          <w:color w:val="000000"/>
        </w:rPr>
        <w:t>y compris d</w:t>
      </w:r>
      <w:r w:rsidR="00FF401B">
        <w:rPr>
          <w:color w:val="000000"/>
        </w:rPr>
        <w:t xml:space="preserve">es attributions de fréquence, </w:t>
      </w:r>
      <w:r w:rsidR="00FF401B" w:rsidRPr="00730563">
        <w:rPr>
          <w:rStyle w:val="BRNormal"/>
          <w:lang w:val="fr-CH"/>
        </w:rPr>
        <w:t>concernant les dispositifs de radiocommunication maritimes fonctionnant</w:t>
      </w:r>
      <w:r w:rsidRPr="00730563">
        <w:rPr>
          <w:rStyle w:val="BRNormal"/>
          <w:lang w:val="fr-CH"/>
        </w:rPr>
        <w:t xml:space="preserve"> </w:t>
      </w:r>
      <w:r w:rsidR="00E22412">
        <w:rPr>
          <w:rStyle w:val="BRNormal"/>
          <w:lang w:val="fr-CH"/>
        </w:rPr>
        <w:t>sans lien</w:t>
      </w:r>
      <w:r w:rsidR="001261B0" w:rsidRPr="00730563">
        <w:rPr>
          <w:rStyle w:val="BRNormal"/>
          <w:lang w:val="fr-CH"/>
        </w:rPr>
        <w:t xml:space="preserve"> réglementaire avec les navires ou les stations côtières, afin de garantir la sécurité de la navigation et de protéger l</w:t>
      </w:r>
      <w:r w:rsidR="00B979D7">
        <w:rPr>
          <w:rStyle w:val="BRNormal"/>
          <w:lang w:val="fr-CH"/>
        </w:rPr>
        <w:t>'</w:t>
      </w:r>
      <w:r w:rsidR="001261B0" w:rsidRPr="00730563">
        <w:rPr>
          <w:rStyle w:val="BRNormal"/>
          <w:lang w:val="fr-CH"/>
        </w:rPr>
        <w:t>intégrité du SMDSM, conformément à la Résolution</w:t>
      </w:r>
      <w:r w:rsidR="003228B3">
        <w:rPr>
          <w:rStyle w:val="BRNormal"/>
          <w:lang w:val="fr-CH"/>
        </w:rPr>
        <w:t xml:space="preserve"> </w:t>
      </w:r>
      <w:r w:rsidRPr="00730563">
        <w:rPr>
          <w:rStyle w:val="Artdef"/>
          <w:lang w:val="fr-CH"/>
        </w:rPr>
        <w:t>[EUR-M10-12]</w:t>
      </w:r>
      <w:r w:rsidRPr="00730563" w:rsidDel="00D23B92">
        <w:rPr>
          <w:rStyle w:val="Artdef"/>
          <w:lang w:val="fr-CH"/>
        </w:rPr>
        <w:t xml:space="preserve"> </w:t>
      </w:r>
      <w:r w:rsidRPr="00730563">
        <w:rPr>
          <w:rStyle w:val="Artdef"/>
          <w:lang w:val="fr-CH"/>
        </w:rPr>
        <w:t>(</w:t>
      </w:r>
      <w:r w:rsidR="003228B3">
        <w:rPr>
          <w:rStyle w:val="Artdef"/>
          <w:lang w:val="fr-CH"/>
        </w:rPr>
        <w:t>CMR-15</w:t>
      </w:r>
      <w:r w:rsidRPr="00730563">
        <w:rPr>
          <w:rStyle w:val="Artdef"/>
          <w:lang w:val="fr-CH"/>
        </w:rPr>
        <w:t>)</w:t>
      </w:r>
      <w:r w:rsidRPr="00730563">
        <w:rPr>
          <w:rStyle w:val="BRNormal"/>
          <w:lang w:val="fr-CH"/>
        </w:rPr>
        <w:t>;</w:t>
      </w:r>
    </w:p>
    <w:p w:rsidR="00F75038" w:rsidRPr="00B42483" w:rsidRDefault="00F75038" w:rsidP="00B979D7">
      <w:r w:rsidRPr="00B42483">
        <w:t>2</w:t>
      </w:r>
      <w:r w:rsidRPr="00B42483">
        <w:tab/>
        <w:t xml:space="preserve">examiner les Recommandations UIT-R révisées et incorporées par référence dans le Règlement des radiocommunications, communiquées par l'Assemblée des radiocommunications conformément à la Résolution </w:t>
      </w:r>
      <w:r w:rsidRPr="008C0EDF">
        <w:rPr>
          <w:b/>
          <w:bCs/>
        </w:rPr>
        <w:t>28</w:t>
      </w:r>
      <w:r w:rsidRPr="00B42483">
        <w:t xml:space="preserve"> </w:t>
      </w:r>
      <w:r w:rsidRPr="008C0EDF">
        <w:rPr>
          <w:b/>
          <w:bCs/>
        </w:rPr>
        <w:t>(Rév.CMR-03)</w:t>
      </w:r>
      <w:r w:rsidRPr="008A1A64">
        <w:t>,</w:t>
      </w:r>
      <w:r w:rsidRPr="008C0EDF">
        <w:rPr>
          <w:b/>
          <w:bCs/>
        </w:rPr>
        <w:t xml:space="preserve"> </w:t>
      </w:r>
      <w:r w:rsidRPr="00B42483">
        <w:t>et décider s'il convient ou non de mettre à jour les références correspondantes dans le Règlement des radiocommunications, conformément aux principes énoncés dans l'</w:t>
      </w:r>
      <w:r w:rsidR="00FE7E10">
        <w:t xml:space="preserve">Annexe </w:t>
      </w:r>
      <w:r w:rsidRPr="00B42483">
        <w:t>1 de la Résolution </w:t>
      </w:r>
      <w:r w:rsidRPr="008C0EDF">
        <w:rPr>
          <w:b/>
          <w:bCs/>
        </w:rPr>
        <w:t>27</w:t>
      </w:r>
      <w:r w:rsidRPr="00B42483">
        <w:t xml:space="preserve"> </w:t>
      </w:r>
      <w:r w:rsidRPr="008C0EDF">
        <w:rPr>
          <w:b/>
          <w:bCs/>
        </w:rPr>
        <w:t>(Rév.CMR</w:t>
      </w:r>
      <w:r w:rsidRPr="008C0EDF">
        <w:rPr>
          <w:b/>
          <w:bCs/>
        </w:rPr>
        <w:noBreakHyphen/>
      </w:r>
      <w:r w:rsidR="001261B0">
        <w:rPr>
          <w:b/>
          <w:bCs/>
        </w:rPr>
        <w:t>07</w:t>
      </w:r>
      <w:r w:rsidRPr="008C0EDF">
        <w:rPr>
          <w:b/>
          <w:bCs/>
        </w:rPr>
        <w:t>)</w:t>
      </w:r>
      <w:r w:rsidRPr="00B42483">
        <w:t>;</w:t>
      </w:r>
    </w:p>
    <w:p w:rsidR="00F75038" w:rsidRPr="00B42483" w:rsidRDefault="00F75038" w:rsidP="00425FA3">
      <w:r w:rsidRPr="00B42483">
        <w:t>3</w:t>
      </w:r>
      <w:r w:rsidRPr="00B42483">
        <w:tab/>
        <w:t>examiner les modifications et amendements à apporter éventuellement au Règlement des radiocommunications à la suite des décisions prises par la Conférence;</w:t>
      </w:r>
    </w:p>
    <w:p w:rsidR="00F75038" w:rsidRPr="00B42483" w:rsidRDefault="00F75038" w:rsidP="00425FA3">
      <w:r w:rsidRPr="00B42483">
        <w:lastRenderedPageBreak/>
        <w:t>4</w:t>
      </w:r>
      <w:r w:rsidRPr="00B42483">
        <w:tab/>
        <w:t xml:space="preserve">conformément à la Résolution </w:t>
      </w:r>
      <w:r w:rsidRPr="008C0EDF">
        <w:rPr>
          <w:b/>
          <w:bCs/>
        </w:rPr>
        <w:t>95 (Rév.CMR-07)</w:t>
      </w:r>
      <w:r w:rsidRPr="00B42483">
        <w:t>, examiner les résolutions et recommandations des conférences précédentes en vue, le cas échéant, de les réviser, de les remplacer ou de les supprimer;</w:t>
      </w:r>
    </w:p>
    <w:p w:rsidR="00F75038" w:rsidRPr="00B42483" w:rsidRDefault="00F75038" w:rsidP="00425FA3">
      <w:r w:rsidRPr="00B42483">
        <w:t>5</w:t>
      </w:r>
      <w:r w:rsidRPr="00B42483">
        <w:tab/>
        <w:t>examiner le Rapport de l'Assemblée des radiocommunications soumis conformément aux numéros </w:t>
      </w:r>
      <w:r w:rsidRPr="003B2809">
        <w:rPr>
          <w:b/>
          <w:bCs/>
        </w:rPr>
        <w:t>135</w:t>
      </w:r>
      <w:r w:rsidRPr="00B42483">
        <w:t xml:space="preserve"> et </w:t>
      </w:r>
      <w:r w:rsidRPr="003B2809">
        <w:rPr>
          <w:b/>
          <w:bCs/>
        </w:rPr>
        <w:t>136</w:t>
      </w:r>
      <w:r w:rsidRPr="00B42483">
        <w:t xml:space="preserve"> de la Convention et lui donner la suite voulue;</w:t>
      </w:r>
    </w:p>
    <w:p w:rsidR="00F75038" w:rsidRPr="00B42483" w:rsidRDefault="00F75038" w:rsidP="00425FA3">
      <w:r w:rsidRPr="00B42483">
        <w:t>6</w:t>
      </w:r>
      <w:r w:rsidRPr="00B42483">
        <w:tab/>
        <w:t>identifier les points auxquels les commissions d'études des radiocommunications doivent d'urgence donner suite, en préparation de la conférence mondiale des radiocommunications suivante;</w:t>
      </w:r>
    </w:p>
    <w:p w:rsidR="00F75038" w:rsidRDefault="00F75038" w:rsidP="00425FA3">
      <w:r w:rsidRPr="00E22842">
        <w:t>7</w:t>
      </w:r>
      <w:r w:rsidRPr="00E22842">
        <w:tab/>
        <w:t>examiner d'éventuels changements à apporter en application de la Résolution </w:t>
      </w:r>
      <w:r w:rsidRPr="003B2809">
        <w:rPr>
          <w:b/>
          <w:bCs/>
        </w:rPr>
        <w:t>86 (Rév. Marrakech, 2002</w:t>
      </w:r>
      <w:r w:rsidR="00B1634C">
        <w:t>)</w:t>
      </w:r>
      <w:r w:rsidR="00B1634C" w:rsidRPr="00E22842">
        <w:t xml:space="preserve"> de</w:t>
      </w:r>
      <w:r w:rsidRPr="00E22842">
        <w:t xml:space="preserve"> la Conférence de plénipotentiaires, intitulée «Procédures de publication anticipée, de coordination, de notification et d'inscription des assignations de fréquence relatives aux réseaux à satellite», conformément à la Résolution </w:t>
      </w:r>
      <w:r w:rsidRPr="00E22842">
        <w:rPr>
          <w:b/>
        </w:rPr>
        <w:t>86 (Rév.CMR-07)</w:t>
      </w:r>
      <w:r w:rsidRPr="00E22842">
        <w:t>;</w:t>
      </w:r>
    </w:p>
    <w:p w:rsidR="00F75038" w:rsidRPr="00B42483" w:rsidRDefault="00F75038" w:rsidP="00425FA3">
      <w:r w:rsidRPr="00B42483">
        <w:t>8</w:t>
      </w:r>
      <w:r w:rsidRPr="00B42483">
        <w:tab/>
        <w:t xml:space="preserve">examiner les demandes des administrations qui souhaitent supprimer des renvois relatifs à leur pays ou le nom de leur pays de certains renvois, s'ils ne sont plus nécessaires, compte tenu de la Résolution </w:t>
      </w:r>
      <w:r w:rsidRPr="008C0EDF">
        <w:rPr>
          <w:b/>
          <w:bCs/>
        </w:rPr>
        <w:t>26 (Rév.CMR-07)</w:t>
      </w:r>
      <w:r w:rsidRPr="00B42483">
        <w:t>, et prendre les mesures voulues à ce sujet;</w:t>
      </w:r>
    </w:p>
    <w:p w:rsidR="00F75038" w:rsidRPr="00B42483" w:rsidRDefault="00F75038" w:rsidP="00425FA3">
      <w:r w:rsidRPr="00B42483">
        <w:t>9</w:t>
      </w:r>
      <w:r w:rsidRPr="00B42483">
        <w:tab/>
        <w:t xml:space="preserve">examiner et approuver le </w:t>
      </w:r>
      <w:r w:rsidR="00B979D7" w:rsidRPr="00B42483">
        <w:t>R</w:t>
      </w:r>
      <w:r w:rsidRPr="00B42483">
        <w:t>apport du Directeur du Bureau des radiocommunications, conformément à l'article</w:t>
      </w:r>
      <w:r>
        <w:t> </w:t>
      </w:r>
      <w:r w:rsidRPr="00B42483">
        <w:t>7 de la Convention:</w:t>
      </w:r>
    </w:p>
    <w:p w:rsidR="00F75038" w:rsidRPr="00B42483" w:rsidRDefault="00F75038" w:rsidP="00425FA3">
      <w:r w:rsidRPr="00B42483">
        <w:t>9.1</w:t>
      </w:r>
      <w:r w:rsidRPr="00B42483">
        <w:tab/>
        <w:t>sur les activités du Secteur des ra</w:t>
      </w:r>
      <w:r w:rsidR="003B2809">
        <w:t>diocommunications depuis la CMR-</w:t>
      </w:r>
      <w:r w:rsidRPr="00B42483">
        <w:t xml:space="preserve">12; </w:t>
      </w:r>
    </w:p>
    <w:p w:rsidR="00F75038" w:rsidRPr="00B42483" w:rsidRDefault="00F75038" w:rsidP="00425FA3">
      <w:r w:rsidRPr="00B42483">
        <w:t>9.2</w:t>
      </w:r>
      <w:r w:rsidRPr="00B42483">
        <w:tab/>
        <w:t>sur les difficultés rencontrées ou les incohérences constatées dans l'application du Règlement des radiocommunications; et</w:t>
      </w:r>
    </w:p>
    <w:p w:rsidR="00F75038" w:rsidRPr="00B42483" w:rsidRDefault="00F75038" w:rsidP="00425FA3">
      <w:pPr>
        <w:rPr>
          <w:i/>
          <w:iCs/>
        </w:rPr>
      </w:pPr>
      <w:r w:rsidRPr="00B42483">
        <w:t>9.3</w:t>
      </w:r>
      <w:r w:rsidRPr="00B42483">
        <w:tab/>
        <w:t>sur la suite donnée à la Résolution</w:t>
      </w:r>
      <w:r>
        <w:t> </w:t>
      </w:r>
      <w:r w:rsidRPr="008C0EDF">
        <w:rPr>
          <w:b/>
          <w:bCs/>
        </w:rPr>
        <w:t>80 (Rév.CMR-07)</w:t>
      </w:r>
      <w:r w:rsidRPr="00B42483">
        <w:t>;</w:t>
      </w:r>
    </w:p>
    <w:p w:rsidR="00F75038" w:rsidRPr="00B42483" w:rsidRDefault="00F75038" w:rsidP="00425FA3">
      <w:r w:rsidRPr="00B42483">
        <w:t>10</w:t>
      </w:r>
      <w:r w:rsidRPr="00B42483">
        <w:tab/>
        <w:t xml:space="preserve">recommander au Conseil des points à inscrire à l'ordre du jour de la </w:t>
      </w:r>
      <w:r w:rsidR="00F50032">
        <w:t>CMR</w:t>
      </w:r>
      <w:r w:rsidR="00B1634C">
        <w:t xml:space="preserve"> </w:t>
      </w:r>
      <w:r w:rsidRPr="00B42483">
        <w:t>suivante et exposer ses vues sur l'ordre du jour préliminaire de la conférence ultérieure ainsi que sur des points éventuels à inscrire à l'ordre du jour de conférences futures, conformément à l'article 7 de la Convention,</w:t>
      </w:r>
    </w:p>
    <w:p w:rsidR="00F75038" w:rsidRPr="00B42483" w:rsidRDefault="00F75038" w:rsidP="00425FA3">
      <w:pPr>
        <w:pStyle w:val="Call"/>
        <w:keepNext w:val="0"/>
        <w:keepLines w:val="0"/>
      </w:pPr>
      <w:r w:rsidRPr="00B42483">
        <w:t>décide en outre</w:t>
      </w:r>
    </w:p>
    <w:p w:rsidR="00F75038" w:rsidRPr="00B42483" w:rsidRDefault="00F75038" w:rsidP="00425FA3">
      <w:r w:rsidRPr="00B42483">
        <w:t>d'activer la Réunion de préparation à la Conférence,</w:t>
      </w:r>
    </w:p>
    <w:p w:rsidR="00F75038" w:rsidRPr="00B42483" w:rsidRDefault="00F75038" w:rsidP="00425FA3">
      <w:pPr>
        <w:pStyle w:val="Call"/>
        <w:keepNext w:val="0"/>
        <w:keepLines w:val="0"/>
      </w:pPr>
      <w:r w:rsidRPr="00B42483">
        <w:t>invite le Conseil</w:t>
      </w:r>
    </w:p>
    <w:p w:rsidR="00F75038" w:rsidRPr="00B42483" w:rsidRDefault="00F75038" w:rsidP="00425FA3">
      <w:r w:rsidRPr="00B42483">
        <w:t xml:space="preserve">à </w:t>
      </w:r>
      <w:r>
        <w:t>arrêter définitivement</w:t>
      </w:r>
      <w:r w:rsidRPr="00B42483">
        <w:t xml:space="preserve"> l'ordre du jour, à prendre les dispositions nécessaires </w:t>
      </w:r>
      <w:r>
        <w:t>en vue de la convocation de la CMR</w:t>
      </w:r>
      <w:r>
        <w:noBreakHyphen/>
        <w:t>19</w:t>
      </w:r>
      <w:r w:rsidRPr="00B42483">
        <w:t xml:space="preserve"> et à engager dès que possible les consultations nécessaires avec les Etats Membres,</w:t>
      </w:r>
    </w:p>
    <w:p w:rsidR="00F75038" w:rsidRPr="00B42483" w:rsidRDefault="00F75038" w:rsidP="00425FA3">
      <w:pPr>
        <w:pStyle w:val="Call"/>
        <w:keepNext w:val="0"/>
        <w:keepLines w:val="0"/>
      </w:pPr>
      <w:r w:rsidRPr="00B42483">
        <w:t>charge le Directeur du Bureau des radiocommunications</w:t>
      </w:r>
    </w:p>
    <w:p w:rsidR="00F75038" w:rsidRPr="00B42483" w:rsidRDefault="00F75038" w:rsidP="00425FA3">
      <w:r w:rsidRPr="00B42483">
        <w:t xml:space="preserve">de prendre les dispositions voulues pour la convocation des sessions de la Réunion de préparation à la Conférence et d'élaborer un </w:t>
      </w:r>
      <w:r>
        <w:t>R</w:t>
      </w:r>
      <w:r w:rsidRPr="00B42483">
        <w:t>a</w:t>
      </w:r>
      <w:r>
        <w:t>pport à l'intention de la CMR</w:t>
      </w:r>
      <w:r>
        <w:noBreakHyphen/>
        <w:t>19</w:t>
      </w:r>
      <w:r w:rsidRPr="00B42483">
        <w:t>,</w:t>
      </w:r>
    </w:p>
    <w:p w:rsidR="00F75038" w:rsidRPr="00B42483" w:rsidRDefault="00F75038" w:rsidP="00425FA3">
      <w:pPr>
        <w:pStyle w:val="Call"/>
        <w:keepNext w:val="0"/>
        <w:keepLines w:val="0"/>
      </w:pPr>
      <w:r w:rsidRPr="00B42483">
        <w:t>charge le Secrétaire général</w:t>
      </w:r>
    </w:p>
    <w:p w:rsidR="006B1FD4" w:rsidRDefault="00F75038" w:rsidP="00E20867">
      <w:r w:rsidRPr="00B42483">
        <w:t>de communiquer la présente Résolution aux organisations internationales ou régionales concernées.</w:t>
      </w:r>
    </w:p>
    <w:p w:rsidR="008653E6" w:rsidRPr="00E20867" w:rsidRDefault="008653E6" w:rsidP="008653E6">
      <w:pPr>
        <w:pStyle w:val="Reasons"/>
      </w:pPr>
    </w:p>
    <w:p w:rsidR="006B1FD4" w:rsidRPr="00730563" w:rsidRDefault="00A846F5" w:rsidP="00425FA3">
      <w:pPr>
        <w:pStyle w:val="Proposal"/>
        <w:rPr>
          <w:lang w:val="fr-CH"/>
        </w:rPr>
      </w:pPr>
      <w:r w:rsidRPr="00730563">
        <w:rPr>
          <w:lang w:val="fr-CH"/>
        </w:rPr>
        <w:lastRenderedPageBreak/>
        <w:t>ADD</w:t>
      </w:r>
      <w:r w:rsidRPr="00730563">
        <w:rPr>
          <w:lang w:val="fr-CH"/>
        </w:rPr>
        <w:tab/>
        <w:t>EUR/9A25/3</w:t>
      </w:r>
    </w:p>
    <w:p w:rsidR="006B1FD4" w:rsidRPr="008653E6" w:rsidRDefault="001261B0" w:rsidP="00B979D7">
      <w:pPr>
        <w:pStyle w:val="ResNo"/>
        <w:rPr>
          <w:lang w:val="fr-CH"/>
        </w:rPr>
      </w:pPr>
      <w:r w:rsidRPr="008653E6">
        <w:rPr>
          <w:lang w:val="fr-CH"/>
        </w:rPr>
        <w:t xml:space="preserve">PROJET DE NOUVELLE </w:t>
      </w:r>
      <w:r w:rsidR="00BB138D" w:rsidRPr="008653E6">
        <w:rPr>
          <w:lang w:val="fr-CH"/>
        </w:rPr>
        <w:t>RÉSOLUTION</w:t>
      </w:r>
      <w:r w:rsidR="004C1D1E" w:rsidRPr="008653E6">
        <w:rPr>
          <w:lang w:val="fr-CH"/>
        </w:rPr>
        <w:t xml:space="preserve"> [EUR-B10</w:t>
      </w:r>
      <w:r w:rsidR="00A846F5" w:rsidRPr="008653E6">
        <w:rPr>
          <w:lang w:val="fr-CH"/>
        </w:rPr>
        <w:t>-1]</w:t>
      </w:r>
      <w:r w:rsidR="004C1D1E" w:rsidRPr="008653E6">
        <w:rPr>
          <w:lang w:val="fr-CH"/>
        </w:rPr>
        <w:t xml:space="preserve"> (</w:t>
      </w:r>
      <w:r w:rsidR="003228B3" w:rsidRPr="008653E6">
        <w:rPr>
          <w:lang w:val="fr-CH"/>
        </w:rPr>
        <w:t>CMR-15</w:t>
      </w:r>
      <w:r w:rsidR="004C1D1E" w:rsidRPr="008653E6">
        <w:rPr>
          <w:lang w:val="fr-CH"/>
        </w:rPr>
        <w:t>)</w:t>
      </w:r>
    </w:p>
    <w:p w:rsidR="004C1D1E" w:rsidRPr="00730563" w:rsidRDefault="0048078D" w:rsidP="0048078D">
      <w:pPr>
        <w:pStyle w:val="Restitle"/>
        <w:rPr>
          <w:lang w:val="fr-CH"/>
        </w:rPr>
      </w:pPr>
      <w:r>
        <w:rPr>
          <w:lang w:val="fr-CH"/>
        </w:rPr>
        <w:t>Questions liées</w:t>
      </w:r>
      <w:r w:rsidR="001261B0" w:rsidRPr="00730563">
        <w:rPr>
          <w:lang w:val="fr-CH"/>
        </w:rPr>
        <w:t xml:space="preserve"> aux fréquences pour les applications futures des Télécommunications mobiles internationales </w:t>
      </w:r>
    </w:p>
    <w:p w:rsidR="004C1D1E" w:rsidRPr="00730563" w:rsidRDefault="001261B0" w:rsidP="0048078D">
      <w:pPr>
        <w:pStyle w:val="Normalaftertitle"/>
        <w:rPr>
          <w:lang w:val="fr-CH"/>
        </w:rPr>
      </w:pPr>
      <w:r w:rsidRPr="00730563">
        <w:rPr>
          <w:lang w:val="fr-CH"/>
        </w:rPr>
        <w:t xml:space="preserve">La Conférence mondiale des radiocommunications </w:t>
      </w:r>
      <w:r w:rsidR="004C1D1E" w:rsidRPr="00730563">
        <w:rPr>
          <w:lang w:val="fr-CH"/>
        </w:rPr>
        <w:t>(</w:t>
      </w:r>
      <w:r w:rsidRPr="00730563">
        <w:rPr>
          <w:lang w:val="fr-CH"/>
        </w:rPr>
        <w:t>Genève</w:t>
      </w:r>
      <w:r w:rsidR="004C1D1E" w:rsidRPr="00730563">
        <w:rPr>
          <w:lang w:val="fr-CH"/>
        </w:rPr>
        <w:t>, 2015),</w:t>
      </w:r>
    </w:p>
    <w:p w:rsidR="004C1D1E" w:rsidRPr="00730563" w:rsidRDefault="00071B1B" w:rsidP="00425FA3">
      <w:pPr>
        <w:pStyle w:val="Call"/>
        <w:rPr>
          <w:lang w:val="fr-CH"/>
        </w:rPr>
      </w:pPr>
      <w:r w:rsidRPr="00730563">
        <w:rPr>
          <w:lang w:val="fr-CH"/>
        </w:rPr>
        <w:t xml:space="preserve">considérant </w:t>
      </w:r>
    </w:p>
    <w:p w:rsidR="004C1D1E" w:rsidRPr="00730563" w:rsidRDefault="004C1D1E" w:rsidP="0048078D">
      <w:pPr>
        <w:rPr>
          <w:rStyle w:val="BRNormal"/>
          <w:lang w:val="fr-CH"/>
        </w:rPr>
      </w:pPr>
      <w:r w:rsidRPr="00B979D7">
        <w:rPr>
          <w:i/>
          <w:iCs/>
          <w:lang w:val="fr-CH"/>
        </w:rPr>
        <w:t>a)</w:t>
      </w:r>
      <w:r w:rsidRPr="00730563">
        <w:rPr>
          <w:lang w:val="fr-CH"/>
        </w:rPr>
        <w:tab/>
      </w:r>
      <w:r w:rsidR="00944A26">
        <w:rPr>
          <w:color w:val="000000"/>
        </w:rPr>
        <w:t xml:space="preserve">que les </w:t>
      </w:r>
      <w:r w:rsidR="0048078D">
        <w:rPr>
          <w:color w:val="000000"/>
        </w:rPr>
        <w:t>Télécommunications mobiles internationales</w:t>
      </w:r>
      <w:r w:rsidR="00944A26">
        <w:rPr>
          <w:color w:val="000000"/>
        </w:rPr>
        <w:t xml:space="preserve"> </w:t>
      </w:r>
      <w:r w:rsidR="00524259">
        <w:rPr>
          <w:color w:val="000000"/>
        </w:rPr>
        <w:t>(IMT</w:t>
      </w:r>
      <w:r w:rsidR="00B1634C">
        <w:rPr>
          <w:color w:val="000000"/>
        </w:rPr>
        <w:t>) sont</w:t>
      </w:r>
      <w:r w:rsidR="00944A26">
        <w:rPr>
          <w:color w:val="000000"/>
        </w:rPr>
        <w:t xml:space="preserve"> destiné</w:t>
      </w:r>
      <w:r w:rsidR="0048078D">
        <w:rPr>
          <w:color w:val="000000"/>
        </w:rPr>
        <w:t>e</w:t>
      </w:r>
      <w:r w:rsidR="00944A26">
        <w:rPr>
          <w:color w:val="000000"/>
        </w:rPr>
        <w:t>s à fournir des services de télécommunication dans le monde entier, quel que soit le lieu</w:t>
      </w:r>
      <w:r w:rsidR="00AC0306">
        <w:rPr>
          <w:color w:val="000000"/>
        </w:rPr>
        <w:t xml:space="preserve"> </w:t>
      </w:r>
      <w:r w:rsidR="00524259">
        <w:rPr>
          <w:color w:val="000000"/>
        </w:rPr>
        <w:t>et le type de</w:t>
      </w:r>
      <w:r w:rsidR="00944A26">
        <w:rPr>
          <w:color w:val="000000"/>
        </w:rPr>
        <w:t xml:space="preserve"> réseau ou </w:t>
      </w:r>
      <w:r w:rsidR="001261B0">
        <w:rPr>
          <w:color w:val="000000"/>
        </w:rPr>
        <w:t>d</w:t>
      </w:r>
      <w:r w:rsidR="00944A26">
        <w:rPr>
          <w:color w:val="000000"/>
        </w:rPr>
        <w:t>e terminal</w:t>
      </w:r>
      <w:r w:rsidR="00524259">
        <w:rPr>
          <w:color w:val="000000"/>
        </w:rPr>
        <w:t>;</w:t>
      </w:r>
    </w:p>
    <w:p w:rsidR="004C1D1E" w:rsidRPr="00730563" w:rsidRDefault="004C1D1E" w:rsidP="00524259">
      <w:pPr>
        <w:rPr>
          <w:rStyle w:val="BRNormal"/>
          <w:rFonts w:eastAsia="Malgun Gothic"/>
          <w:lang w:val="fr-CH"/>
        </w:rPr>
      </w:pPr>
      <w:r w:rsidRPr="00B979D7">
        <w:rPr>
          <w:rStyle w:val="BRNormal"/>
          <w:rFonts w:eastAsia="Malgun Gothic"/>
          <w:i/>
          <w:iCs/>
          <w:lang w:val="fr-CH"/>
        </w:rPr>
        <w:t>b)</w:t>
      </w:r>
      <w:r w:rsidRPr="00730563">
        <w:rPr>
          <w:rStyle w:val="BRNormal"/>
          <w:rFonts w:eastAsia="Malgun Gothic"/>
          <w:lang w:val="fr-CH"/>
        </w:rPr>
        <w:tab/>
      </w:r>
      <w:r w:rsidR="000A3503">
        <w:rPr>
          <w:color w:val="000000"/>
        </w:rPr>
        <w:t xml:space="preserve">que, </w:t>
      </w:r>
      <w:r w:rsidR="00524259">
        <w:rPr>
          <w:color w:val="000000"/>
        </w:rPr>
        <w:t>tant dans les</w:t>
      </w:r>
      <w:r w:rsidR="000A3503">
        <w:rPr>
          <w:color w:val="000000"/>
        </w:rPr>
        <w:t xml:space="preserve"> </w:t>
      </w:r>
      <w:r w:rsidR="00524259">
        <w:rPr>
          <w:color w:val="000000"/>
        </w:rPr>
        <w:t>pays développés que dans les pays en développement, les dispositifs mobiles constituent</w:t>
      </w:r>
      <w:r w:rsidR="000A3503">
        <w:rPr>
          <w:color w:val="000000"/>
        </w:rPr>
        <w:t xml:space="preserve"> le principal mécanisme de fourniture de l'accès large bande;</w:t>
      </w:r>
    </w:p>
    <w:p w:rsidR="004C1D1E" w:rsidRPr="004C1D1E" w:rsidRDefault="004C1D1E" w:rsidP="00425FA3">
      <w:pPr>
        <w:rPr>
          <w:lang w:val="fr-CH"/>
        </w:rPr>
      </w:pPr>
      <w:r w:rsidRPr="00B979D7">
        <w:rPr>
          <w:rStyle w:val="BRNormal"/>
          <w:rFonts w:eastAsia="Malgun Gothic"/>
          <w:i/>
          <w:iCs/>
          <w:lang w:val="fr-CH"/>
        </w:rPr>
        <w:t>c)</w:t>
      </w:r>
      <w:r w:rsidRPr="00D90A18">
        <w:rPr>
          <w:i/>
          <w:lang w:val="fr-CH"/>
        </w:rPr>
        <w:tab/>
      </w:r>
      <w:r w:rsidRPr="00D90A18">
        <w:rPr>
          <w:lang w:val="fr-CH"/>
        </w:rPr>
        <w:t>qu</w:t>
      </w:r>
      <w:r>
        <w:rPr>
          <w:lang w:val="fr-CH"/>
        </w:rPr>
        <w:t>'</w:t>
      </w:r>
      <w:r w:rsidRPr="00D90A18">
        <w:rPr>
          <w:lang w:val="fr-CH"/>
        </w:rPr>
        <w:t>il est prévu qu</w:t>
      </w:r>
      <w:r>
        <w:rPr>
          <w:lang w:val="fr-CH"/>
        </w:rPr>
        <w:t>'</w:t>
      </w:r>
      <w:r w:rsidR="00AC0306">
        <w:rPr>
          <w:lang w:val="fr-CH"/>
        </w:rPr>
        <w:t>à l</w:t>
      </w:r>
      <w:r w:rsidR="00B979D7">
        <w:rPr>
          <w:lang w:val="fr-CH"/>
        </w:rPr>
        <w:t>'</w:t>
      </w:r>
      <w:r w:rsidR="00AC0306">
        <w:rPr>
          <w:lang w:val="fr-CH"/>
        </w:rPr>
        <w:t xml:space="preserve">horizon </w:t>
      </w:r>
      <w:r w:rsidRPr="00D90A18">
        <w:rPr>
          <w:lang w:val="fr-CH"/>
        </w:rPr>
        <w:t>2020 et au-delà,</w:t>
      </w:r>
      <w:r>
        <w:rPr>
          <w:lang w:val="fr-CH"/>
        </w:rPr>
        <w:t xml:space="preserve"> </w:t>
      </w:r>
      <w:r w:rsidRPr="00D90A18">
        <w:rPr>
          <w:lang w:val="fr-CH"/>
        </w:rPr>
        <w:t>les systèmes IMT se développent et prennent en charge</w:t>
      </w:r>
      <w:r>
        <w:rPr>
          <w:lang w:val="fr-CH"/>
        </w:rPr>
        <w:t xml:space="preserve"> </w:t>
      </w:r>
      <w:r w:rsidRPr="00D90A18">
        <w:rPr>
          <w:lang w:val="fr-CH"/>
        </w:rPr>
        <w:t>divers scénarios d</w:t>
      </w:r>
      <w:r>
        <w:rPr>
          <w:lang w:val="fr-CH"/>
        </w:rPr>
        <w:t>'</w:t>
      </w:r>
      <w:r w:rsidRPr="00D90A18">
        <w:rPr>
          <w:lang w:val="fr-CH"/>
        </w:rPr>
        <w:t>utilisation</w:t>
      </w:r>
      <w:r w:rsidR="00AC0306" w:rsidRPr="00AC0306">
        <w:rPr>
          <w:color w:val="000000"/>
        </w:rPr>
        <w:t xml:space="preserve"> </w:t>
      </w:r>
      <w:r w:rsidR="00AC0306">
        <w:rPr>
          <w:color w:val="000000"/>
        </w:rPr>
        <w:t>qui iront au-delà des systèmes IMT actuels</w:t>
      </w:r>
      <w:r>
        <w:rPr>
          <w:lang w:val="fr-CH"/>
        </w:rPr>
        <w:t>;</w:t>
      </w:r>
    </w:p>
    <w:p w:rsidR="004C1D1E" w:rsidRPr="00730563" w:rsidRDefault="004C1D1E" w:rsidP="00524259">
      <w:pPr>
        <w:rPr>
          <w:rStyle w:val="BRNormal"/>
          <w:rFonts w:eastAsia="Malgun Gothic"/>
          <w:lang w:val="fr-CH"/>
        </w:rPr>
      </w:pPr>
      <w:r w:rsidRPr="00B979D7">
        <w:rPr>
          <w:rStyle w:val="BRNormal"/>
          <w:rFonts w:eastAsia="Malgun Gothic"/>
          <w:i/>
          <w:iCs/>
          <w:lang w:val="fr-CH"/>
        </w:rPr>
        <w:t>d)</w:t>
      </w:r>
      <w:r w:rsidRPr="00730563">
        <w:rPr>
          <w:rStyle w:val="BRNormal"/>
          <w:rFonts w:eastAsia="Malgun Gothic"/>
          <w:lang w:val="fr-CH"/>
        </w:rPr>
        <w:tab/>
      </w:r>
      <w:r w:rsidR="00AC0306" w:rsidRPr="00730563">
        <w:rPr>
          <w:rStyle w:val="BRNormal"/>
          <w:rFonts w:eastAsia="Malgun Gothic"/>
          <w:lang w:val="fr-CH"/>
        </w:rPr>
        <w:t>que</w:t>
      </w:r>
      <w:r w:rsidR="00AC0306">
        <w:rPr>
          <w:color w:val="000000"/>
        </w:rPr>
        <w:t xml:space="preserve"> la demande de trafic de données pour les communications mobiles au-delà de 2020 continue d</w:t>
      </w:r>
      <w:r w:rsidR="00B979D7">
        <w:rPr>
          <w:color w:val="000000"/>
        </w:rPr>
        <w:t>'</w:t>
      </w:r>
      <w:r w:rsidR="00AC0306">
        <w:rPr>
          <w:color w:val="000000"/>
        </w:rPr>
        <w:t>augmenter,</w:t>
      </w:r>
      <w:r w:rsidR="00AC0306" w:rsidRPr="00730563">
        <w:rPr>
          <w:rStyle w:val="BRNormal"/>
          <w:rFonts w:eastAsia="Malgun Gothic"/>
          <w:lang w:val="fr-CH"/>
        </w:rPr>
        <w:t xml:space="preserve"> </w:t>
      </w:r>
      <w:r w:rsidR="00497711" w:rsidRPr="00730563">
        <w:rPr>
          <w:rStyle w:val="BRNormal"/>
          <w:rFonts w:eastAsia="Malgun Gothic"/>
          <w:lang w:val="fr-CH"/>
        </w:rPr>
        <w:t xml:space="preserve">afin </w:t>
      </w:r>
      <w:r w:rsidR="00524259">
        <w:rPr>
          <w:rStyle w:val="BRNormal"/>
          <w:rFonts w:eastAsia="Malgun Gothic"/>
          <w:lang w:val="fr-CH"/>
        </w:rPr>
        <w:t>d'assurer de</w:t>
      </w:r>
      <w:r w:rsidR="00497711" w:rsidRPr="00730563">
        <w:rPr>
          <w:rStyle w:val="BRNormal"/>
          <w:rFonts w:eastAsia="Malgun Gothic"/>
          <w:lang w:val="fr-CH"/>
        </w:rPr>
        <w:t xml:space="preserve"> nombreuses connexions et </w:t>
      </w:r>
      <w:r w:rsidR="00524259">
        <w:rPr>
          <w:rStyle w:val="BRNormal"/>
          <w:rFonts w:eastAsia="Malgun Gothic"/>
          <w:lang w:val="fr-CH"/>
        </w:rPr>
        <w:t>de tenir compte de</w:t>
      </w:r>
      <w:r w:rsidR="00497711" w:rsidRPr="00730563">
        <w:rPr>
          <w:rStyle w:val="BRNormal"/>
          <w:rFonts w:eastAsia="Malgun Gothic"/>
          <w:lang w:val="fr-CH"/>
        </w:rPr>
        <w:t xml:space="preserve"> l</w:t>
      </w:r>
      <w:r w:rsidR="00B979D7">
        <w:rPr>
          <w:rStyle w:val="BRNormal"/>
          <w:rFonts w:eastAsia="Malgun Gothic"/>
          <w:lang w:val="fr-CH"/>
        </w:rPr>
        <w:t>'</w:t>
      </w:r>
      <w:r w:rsidR="00497711" w:rsidRPr="00730563">
        <w:rPr>
          <w:rStyle w:val="BRNormal"/>
          <w:rFonts w:eastAsia="Malgun Gothic"/>
          <w:lang w:val="fr-CH"/>
        </w:rPr>
        <w:t xml:space="preserve">expérience utilisateur, notamment dans les zones </w:t>
      </w:r>
      <w:r w:rsidR="00524259">
        <w:rPr>
          <w:rStyle w:val="BRNormal"/>
          <w:rFonts w:eastAsia="Malgun Gothic"/>
          <w:lang w:val="fr-CH"/>
        </w:rPr>
        <w:t>à forte densité d</w:t>
      </w:r>
      <w:r w:rsidR="00B979D7">
        <w:rPr>
          <w:rStyle w:val="BRNormal"/>
          <w:rFonts w:eastAsia="Malgun Gothic"/>
          <w:lang w:val="fr-CH"/>
        </w:rPr>
        <w:t>'</w:t>
      </w:r>
      <w:r w:rsidR="00524259">
        <w:rPr>
          <w:rStyle w:val="BRNormal"/>
          <w:rFonts w:eastAsia="Malgun Gothic"/>
          <w:lang w:val="fr-CH"/>
        </w:rPr>
        <w:t>utilisateurs;</w:t>
      </w:r>
    </w:p>
    <w:p w:rsidR="004C1D1E" w:rsidRPr="00730563" w:rsidRDefault="004C1D1E" w:rsidP="00524259">
      <w:pPr>
        <w:rPr>
          <w:rStyle w:val="BRNormal"/>
          <w:rFonts w:eastAsia="Malgun Gothic"/>
          <w:lang w:val="fr-CH"/>
        </w:rPr>
      </w:pPr>
      <w:r w:rsidRPr="00B979D7">
        <w:rPr>
          <w:rStyle w:val="BRNormal"/>
          <w:rFonts w:eastAsia="Malgun Gothic"/>
          <w:i/>
          <w:iCs/>
          <w:lang w:val="fr-CH"/>
        </w:rPr>
        <w:t>e</w:t>
      </w:r>
      <w:r w:rsidR="00BF2826" w:rsidRPr="00B979D7">
        <w:rPr>
          <w:rStyle w:val="BRNormal"/>
          <w:rFonts w:eastAsia="Malgun Gothic"/>
          <w:i/>
          <w:iCs/>
          <w:lang w:val="fr-CH"/>
        </w:rPr>
        <w:t>)</w:t>
      </w:r>
      <w:r w:rsidRPr="00730563">
        <w:rPr>
          <w:rStyle w:val="BRNormal"/>
          <w:rFonts w:eastAsia="Malgun Gothic"/>
          <w:lang w:val="fr-CH"/>
        </w:rPr>
        <w:tab/>
      </w:r>
      <w:r w:rsidR="00AF56D9" w:rsidRPr="00730563">
        <w:rPr>
          <w:rStyle w:val="BRNormal"/>
          <w:rFonts w:eastAsia="Malgun Gothic"/>
          <w:lang w:val="fr-CH"/>
        </w:rPr>
        <w:t xml:space="preserve">que </w:t>
      </w:r>
      <w:r w:rsidR="00497711">
        <w:rPr>
          <w:color w:val="000000"/>
        </w:rPr>
        <w:t>l'</w:t>
      </w:r>
      <w:r w:rsidR="00524259">
        <w:rPr>
          <w:color w:val="000000"/>
        </w:rPr>
        <w:t>augmentation</w:t>
      </w:r>
      <w:r w:rsidR="00497711">
        <w:rPr>
          <w:color w:val="000000"/>
        </w:rPr>
        <w:t xml:space="preserve"> de la demande de trafic de données </w:t>
      </w:r>
      <w:r w:rsidR="00944A26">
        <w:rPr>
          <w:color w:val="000000"/>
        </w:rPr>
        <w:t>est</w:t>
      </w:r>
      <w:r w:rsidR="00AF56D9">
        <w:rPr>
          <w:color w:val="000000"/>
        </w:rPr>
        <w:t xml:space="preserve"> </w:t>
      </w:r>
      <w:r w:rsidR="00524259">
        <w:rPr>
          <w:color w:val="000000"/>
        </w:rPr>
        <w:t xml:space="preserve">également </w:t>
      </w:r>
      <w:r w:rsidR="00B1634C">
        <w:rPr>
          <w:color w:val="000000"/>
        </w:rPr>
        <w:t>due</w:t>
      </w:r>
      <w:r w:rsidR="00524259">
        <w:rPr>
          <w:color w:val="000000"/>
        </w:rPr>
        <w:t xml:space="preserve"> en grande partie</w:t>
      </w:r>
      <w:r w:rsidR="00944A26">
        <w:rPr>
          <w:color w:val="000000"/>
        </w:rPr>
        <w:t xml:space="preserve"> </w:t>
      </w:r>
      <w:r w:rsidR="00AF56D9">
        <w:rPr>
          <w:color w:val="000000"/>
        </w:rPr>
        <w:t>aux contenus audiovisuels</w:t>
      </w:r>
      <w:r w:rsidRPr="00730563">
        <w:rPr>
          <w:rStyle w:val="BRNormal"/>
          <w:rFonts w:eastAsia="Malgun Gothic"/>
          <w:lang w:val="fr-CH"/>
        </w:rPr>
        <w:t>;</w:t>
      </w:r>
    </w:p>
    <w:p w:rsidR="004C1D1E" w:rsidRPr="00730563" w:rsidRDefault="004C1D1E" w:rsidP="00425FA3">
      <w:pPr>
        <w:rPr>
          <w:rStyle w:val="BRNormal"/>
          <w:rFonts w:eastAsia="Malgun Gothic"/>
          <w:lang w:val="fr-CH"/>
        </w:rPr>
      </w:pPr>
      <w:r w:rsidRPr="00B979D7">
        <w:rPr>
          <w:rStyle w:val="BRNormal"/>
          <w:rFonts w:eastAsia="Malgun Gothic"/>
          <w:i/>
          <w:iCs/>
          <w:lang w:val="fr-CH"/>
        </w:rPr>
        <w:t>f)</w:t>
      </w:r>
      <w:r w:rsidRPr="00730563">
        <w:rPr>
          <w:rStyle w:val="BRNormal"/>
          <w:rFonts w:eastAsia="Malgun Gothic"/>
          <w:lang w:val="fr-CH"/>
        </w:rPr>
        <w:tab/>
      </w:r>
      <w:r w:rsidR="00944A26">
        <w:rPr>
          <w:color w:val="000000"/>
        </w:rPr>
        <w:t xml:space="preserve">que les systèmes IMT et d'autres systèmes mobiles à large bande contribuent au développement socio-économique mondial, dans la mesure où ils permettent d'offrir des applications multimédias très diverses, telles que </w:t>
      </w:r>
      <w:r w:rsidR="00497711">
        <w:rPr>
          <w:color w:val="000000"/>
        </w:rPr>
        <w:t>les contenus multimédias à</w:t>
      </w:r>
      <w:r w:rsidR="00497711" w:rsidRPr="00497711">
        <w:rPr>
          <w:color w:val="000000"/>
        </w:rPr>
        <w:t xml:space="preserve"> </w:t>
      </w:r>
      <w:r w:rsidR="00497711">
        <w:rPr>
          <w:color w:val="000000"/>
        </w:rPr>
        <w:t>plus hau</w:t>
      </w:r>
      <w:r w:rsidR="00352380">
        <w:rPr>
          <w:color w:val="000000"/>
        </w:rPr>
        <w:t xml:space="preserve">te </w:t>
      </w:r>
      <w:r w:rsidR="00497711">
        <w:rPr>
          <w:color w:val="000000"/>
        </w:rPr>
        <w:t>résolution</w:t>
      </w:r>
      <w:r w:rsidR="00352380">
        <w:rPr>
          <w:color w:val="000000"/>
        </w:rPr>
        <w:t>,</w:t>
      </w:r>
      <w:r w:rsidRPr="00730563">
        <w:rPr>
          <w:rStyle w:val="BRNormal"/>
          <w:rFonts w:eastAsia="Malgun Gothic"/>
          <w:lang w:val="fr-CH"/>
        </w:rPr>
        <w:t xml:space="preserve"> </w:t>
      </w:r>
      <w:r w:rsidR="00352380">
        <w:rPr>
          <w:rStyle w:val="BRNormal"/>
          <w:rFonts w:eastAsia="Malgun Gothic"/>
          <w:lang w:val="fr-CH"/>
        </w:rPr>
        <w:t xml:space="preserve">l'informatique en nuage sur mobile, </w:t>
      </w:r>
      <w:r w:rsidR="00610F0E">
        <w:rPr>
          <w:rStyle w:val="BRNormal"/>
          <w:rFonts w:eastAsia="Malgun Gothic"/>
          <w:lang w:val="fr-CH"/>
        </w:rPr>
        <w:t xml:space="preserve">les réunions </w:t>
      </w:r>
      <w:r w:rsidR="00D72D71" w:rsidRPr="00730563">
        <w:rPr>
          <w:rStyle w:val="BRNormal"/>
          <w:rFonts w:eastAsia="Malgun Gothic"/>
          <w:lang w:val="fr-CH"/>
        </w:rPr>
        <w:t>virtuelles, la voiture intelligente, la réalité augmentée, la diffusion mult</w:t>
      </w:r>
      <w:r w:rsidR="00352380">
        <w:rPr>
          <w:rStyle w:val="BRNormal"/>
          <w:rFonts w:eastAsia="Malgun Gothic"/>
          <w:lang w:val="fr-CH"/>
        </w:rPr>
        <w:t>imédia en continu en temps réel</w:t>
      </w:r>
      <w:r w:rsidR="00D72D71" w:rsidRPr="00730563">
        <w:rPr>
          <w:rStyle w:val="BRNormal"/>
          <w:rFonts w:eastAsia="Malgun Gothic"/>
          <w:lang w:val="fr-CH"/>
        </w:rPr>
        <w:t xml:space="preserve">, </w:t>
      </w:r>
      <w:r w:rsidR="00352380">
        <w:rPr>
          <w:color w:val="000000"/>
        </w:rPr>
        <w:t xml:space="preserve">la cybersanté sur </w:t>
      </w:r>
      <w:r w:rsidR="00D72D71">
        <w:rPr>
          <w:color w:val="000000"/>
        </w:rPr>
        <w:t>m</w:t>
      </w:r>
      <w:r w:rsidR="00610F0E">
        <w:rPr>
          <w:color w:val="000000"/>
        </w:rPr>
        <w:t>obile</w:t>
      </w:r>
      <w:r w:rsidR="00352380">
        <w:rPr>
          <w:color w:val="000000"/>
        </w:rPr>
        <w:t xml:space="preserve"> et d</w:t>
      </w:r>
      <w:r w:rsidR="00B979D7">
        <w:rPr>
          <w:color w:val="000000"/>
        </w:rPr>
        <w:t>'</w:t>
      </w:r>
      <w:r w:rsidR="00352380">
        <w:rPr>
          <w:color w:val="000000"/>
        </w:rPr>
        <w:t>autres applications</w:t>
      </w:r>
      <w:r w:rsidR="00D72D71">
        <w:rPr>
          <w:color w:val="000000"/>
        </w:rPr>
        <w:t>;</w:t>
      </w:r>
    </w:p>
    <w:p w:rsidR="003563E6" w:rsidRPr="00730563" w:rsidRDefault="004C1D1E" w:rsidP="00425FA3">
      <w:pPr>
        <w:rPr>
          <w:rStyle w:val="BRNormal"/>
          <w:rFonts w:eastAsia="Malgun Gothic"/>
          <w:lang w:val="fr-CH"/>
        </w:rPr>
      </w:pPr>
      <w:r w:rsidRPr="00B979D7">
        <w:rPr>
          <w:rStyle w:val="BRNormal"/>
          <w:rFonts w:eastAsia="Malgun Gothic"/>
          <w:i/>
          <w:iCs/>
          <w:lang w:val="fr-CH"/>
        </w:rPr>
        <w:t>g)</w:t>
      </w:r>
      <w:r w:rsidRPr="00730563">
        <w:rPr>
          <w:rStyle w:val="BRNormal"/>
          <w:rFonts w:eastAsia="Malgun Gothic"/>
          <w:lang w:val="fr-CH"/>
        </w:rPr>
        <w:tab/>
      </w:r>
      <w:r w:rsidR="00706B8A">
        <w:rPr>
          <w:color w:val="000000"/>
        </w:rPr>
        <w:t xml:space="preserve">que l'UIT-R a élaboré </w:t>
      </w:r>
      <w:r w:rsidR="003563E6">
        <w:rPr>
          <w:color w:val="000000"/>
        </w:rPr>
        <w:t xml:space="preserve">le </w:t>
      </w:r>
      <w:r w:rsidR="00706B8A">
        <w:rPr>
          <w:color w:val="000000"/>
        </w:rPr>
        <w:t xml:space="preserve">programme de travail, </w:t>
      </w:r>
      <w:r w:rsidR="003563E6">
        <w:rPr>
          <w:color w:val="000000"/>
        </w:rPr>
        <w:t xml:space="preserve">le </w:t>
      </w:r>
      <w:r w:rsidR="00706B8A">
        <w:rPr>
          <w:color w:val="000000"/>
        </w:rPr>
        <w:t xml:space="preserve">calendrier et </w:t>
      </w:r>
      <w:r w:rsidR="003563E6">
        <w:rPr>
          <w:color w:val="000000"/>
        </w:rPr>
        <w:t>l</w:t>
      </w:r>
      <w:r w:rsidR="00706B8A">
        <w:rPr>
          <w:color w:val="000000"/>
        </w:rPr>
        <w:t xml:space="preserve">es procédures </w:t>
      </w:r>
      <w:r w:rsidR="003563E6">
        <w:rPr>
          <w:color w:val="000000"/>
        </w:rPr>
        <w:t>nécessaires</w:t>
      </w:r>
      <w:r w:rsidR="00706B8A">
        <w:rPr>
          <w:color w:val="000000"/>
        </w:rPr>
        <w:t xml:space="preserve"> en vue du développement futur des </w:t>
      </w:r>
      <w:r w:rsidRPr="00730563">
        <w:rPr>
          <w:rStyle w:val="BRNormal"/>
          <w:rFonts w:eastAsia="Malgun Gothic"/>
          <w:lang w:val="fr-CH"/>
        </w:rPr>
        <w:t xml:space="preserve">IMT, </w:t>
      </w:r>
      <w:r w:rsidR="003563E6" w:rsidRPr="00730563">
        <w:rPr>
          <w:rStyle w:val="BRNormal"/>
          <w:rFonts w:eastAsia="Malgun Gothic"/>
          <w:lang w:val="fr-CH"/>
        </w:rPr>
        <w:t>afin d</w:t>
      </w:r>
      <w:r w:rsidR="00B979D7">
        <w:rPr>
          <w:rStyle w:val="BRNormal"/>
          <w:rFonts w:eastAsia="Malgun Gothic"/>
          <w:lang w:val="fr-CH"/>
        </w:rPr>
        <w:t>'</w:t>
      </w:r>
      <w:r w:rsidR="003563E6" w:rsidRPr="00730563">
        <w:rPr>
          <w:rStyle w:val="BRNormal"/>
          <w:rFonts w:eastAsia="Malgun Gothic"/>
          <w:lang w:val="fr-CH"/>
        </w:rPr>
        <w:t>élabor</w:t>
      </w:r>
      <w:r w:rsidR="00D54534">
        <w:rPr>
          <w:rStyle w:val="BRNormal"/>
          <w:rFonts w:eastAsia="Malgun Gothic"/>
          <w:lang w:val="fr-CH"/>
        </w:rPr>
        <w:t>er des normes</w:t>
      </w:r>
      <w:r w:rsidR="00610F0E">
        <w:rPr>
          <w:rStyle w:val="BRNormal"/>
          <w:rFonts w:eastAsia="Malgun Gothic"/>
          <w:lang w:val="fr-CH"/>
        </w:rPr>
        <w:t xml:space="preserve"> à l</w:t>
      </w:r>
      <w:r w:rsidR="00B979D7">
        <w:rPr>
          <w:rStyle w:val="BRNormal"/>
          <w:rFonts w:eastAsia="Malgun Gothic"/>
          <w:lang w:val="fr-CH"/>
        </w:rPr>
        <w:t>'</w:t>
      </w:r>
      <w:r w:rsidR="00610F0E">
        <w:rPr>
          <w:rStyle w:val="BRNormal"/>
          <w:rFonts w:eastAsia="Malgun Gothic"/>
          <w:lang w:val="fr-CH"/>
        </w:rPr>
        <w:t>horizon 2020</w:t>
      </w:r>
      <w:r w:rsidR="003563E6" w:rsidRPr="00730563">
        <w:rPr>
          <w:rStyle w:val="BRNormal"/>
          <w:rFonts w:eastAsia="Malgun Gothic"/>
          <w:lang w:val="fr-CH"/>
        </w:rPr>
        <w:t>;</w:t>
      </w:r>
    </w:p>
    <w:p w:rsidR="004C1D1E" w:rsidRPr="00730563" w:rsidRDefault="004C1D1E" w:rsidP="00D43D29">
      <w:pPr>
        <w:rPr>
          <w:rStyle w:val="BRNormal"/>
          <w:lang w:val="fr-CH"/>
        </w:rPr>
      </w:pPr>
      <w:r w:rsidRPr="00B979D7">
        <w:rPr>
          <w:rStyle w:val="BRNormal"/>
          <w:i/>
          <w:iCs/>
          <w:lang w:val="fr-CH"/>
        </w:rPr>
        <w:t>h)</w:t>
      </w:r>
      <w:r w:rsidRPr="00730563">
        <w:rPr>
          <w:rStyle w:val="BRNormal"/>
          <w:lang w:val="fr-CH"/>
        </w:rPr>
        <w:tab/>
      </w:r>
      <w:r w:rsidR="003563E6" w:rsidRPr="00730563">
        <w:rPr>
          <w:rStyle w:val="BRNormal"/>
          <w:lang w:val="fr-CH"/>
        </w:rPr>
        <w:t>que l</w:t>
      </w:r>
      <w:r w:rsidR="00B979D7">
        <w:rPr>
          <w:rStyle w:val="BRNormal"/>
          <w:lang w:val="fr-CH"/>
        </w:rPr>
        <w:t>'</w:t>
      </w:r>
      <w:r w:rsidR="003563E6" w:rsidRPr="00730563">
        <w:rPr>
          <w:rStyle w:val="BRNormal"/>
          <w:lang w:val="fr-CH"/>
        </w:rPr>
        <w:t>UIT-R a mené des étude</w:t>
      </w:r>
      <w:r w:rsidR="00D54534">
        <w:rPr>
          <w:rStyle w:val="BRNormal"/>
          <w:lang w:val="fr-CH"/>
        </w:rPr>
        <w:t>s</w:t>
      </w:r>
      <w:r w:rsidR="003563E6" w:rsidRPr="00730563">
        <w:rPr>
          <w:rStyle w:val="BRNormal"/>
          <w:lang w:val="fr-CH"/>
        </w:rPr>
        <w:t xml:space="preserve"> sur</w:t>
      </w:r>
      <w:r w:rsidR="00D54534">
        <w:rPr>
          <w:rStyle w:val="BRNormal"/>
          <w:lang w:val="fr-CH"/>
        </w:rPr>
        <w:t xml:space="preserve"> les bandes de fréquences entre</w:t>
      </w:r>
      <w:r w:rsidRPr="00730563">
        <w:rPr>
          <w:rStyle w:val="BRNormal"/>
          <w:lang w:val="fr-CH"/>
        </w:rPr>
        <w:t xml:space="preserve"> 470</w:t>
      </w:r>
      <w:r w:rsidR="003563E6" w:rsidRPr="00730563">
        <w:rPr>
          <w:rStyle w:val="BRNormal"/>
          <w:lang w:val="fr-CH"/>
        </w:rPr>
        <w:t xml:space="preserve"> et </w:t>
      </w:r>
      <w:r w:rsidRPr="00730563">
        <w:rPr>
          <w:rStyle w:val="BRNormal"/>
          <w:lang w:val="fr-CH"/>
        </w:rPr>
        <w:t xml:space="preserve">6 425 MHz </w:t>
      </w:r>
      <w:r w:rsidR="003563E6" w:rsidRPr="00730563">
        <w:rPr>
          <w:rStyle w:val="BRNormal"/>
          <w:lang w:val="fr-CH"/>
        </w:rPr>
        <w:t>lorsqu</w:t>
      </w:r>
      <w:r w:rsidR="00B979D7">
        <w:rPr>
          <w:rStyle w:val="BRNormal"/>
          <w:lang w:val="fr-CH"/>
        </w:rPr>
        <w:t>'</w:t>
      </w:r>
      <w:r w:rsidR="003563E6" w:rsidRPr="00730563">
        <w:rPr>
          <w:rStyle w:val="BRNormal"/>
          <w:lang w:val="fr-CH"/>
        </w:rPr>
        <w:t xml:space="preserve">il a examiné les questions liées aux fréquences pour les IMT </w:t>
      </w:r>
      <w:r w:rsidR="003563E6">
        <w:rPr>
          <w:color w:val="000000"/>
        </w:rPr>
        <w:t>et d'autres applications mobiles à large bande de Terre</w:t>
      </w:r>
      <w:r w:rsidR="003563E6" w:rsidRPr="00730563">
        <w:rPr>
          <w:rStyle w:val="BRNormal"/>
          <w:lang w:val="fr-CH"/>
        </w:rPr>
        <w:t xml:space="preserve"> dans le cadre de</w:t>
      </w:r>
      <w:r w:rsidR="00D54534">
        <w:rPr>
          <w:rStyle w:val="BRNormal"/>
          <w:lang w:val="fr-CH"/>
        </w:rPr>
        <w:t>s travaux préparatoires pour la</w:t>
      </w:r>
      <w:r w:rsidR="003563E6" w:rsidRPr="00730563">
        <w:rPr>
          <w:rStyle w:val="BRNormal"/>
          <w:lang w:val="fr-CH"/>
        </w:rPr>
        <w:t xml:space="preserve"> </w:t>
      </w:r>
      <w:r w:rsidR="003228B3">
        <w:rPr>
          <w:rStyle w:val="BRNormal"/>
          <w:lang w:val="fr-CH"/>
        </w:rPr>
        <w:t>CMR-15</w:t>
      </w:r>
      <w:r w:rsidRPr="00730563">
        <w:rPr>
          <w:rStyle w:val="BRNormal"/>
          <w:lang w:val="fr-CH"/>
        </w:rPr>
        <w:t xml:space="preserve">; </w:t>
      </w:r>
    </w:p>
    <w:p w:rsidR="004C1D1E" w:rsidRPr="00730563" w:rsidRDefault="004C1D1E" w:rsidP="00D54534">
      <w:pPr>
        <w:rPr>
          <w:rStyle w:val="BRNormal"/>
          <w:lang w:val="fr-CH"/>
        </w:rPr>
      </w:pPr>
      <w:r w:rsidRPr="00B979D7">
        <w:rPr>
          <w:rStyle w:val="BRNormal"/>
          <w:i/>
          <w:iCs/>
          <w:lang w:val="fr-CH"/>
        </w:rPr>
        <w:t>i)</w:t>
      </w:r>
      <w:r w:rsidRPr="00730563">
        <w:rPr>
          <w:rStyle w:val="BRNormal"/>
          <w:lang w:val="fr-CH"/>
        </w:rPr>
        <w:tab/>
      </w:r>
      <w:r w:rsidR="003563E6" w:rsidRPr="00730563">
        <w:rPr>
          <w:rStyle w:val="BRNormal"/>
          <w:lang w:val="fr-CH"/>
        </w:rPr>
        <w:t>que les applications IMT et</w:t>
      </w:r>
      <w:r w:rsidR="003563E6" w:rsidRPr="003563E6">
        <w:rPr>
          <w:color w:val="000000"/>
        </w:rPr>
        <w:t xml:space="preserve"> </w:t>
      </w:r>
      <w:r w:rsidR="003563E6">
        <w:rPr>
          <w:color w:val="000000"/>
        </w:rPr>
        <w:t>d'autres applications mobiles à large bande de Terre</w:t>
      </w:r>
      <w:r w:rsidR="003228B3">
        <w:rPr>
          <w:rStyle w:val="BRNormal"/>
          <w:lang w:val="fr-CH"/>
        </w:rPr>
        <w:t xml:space="preserve"> </w:t>
      </w:r>
      <w:r w:rsidR="003563E6" w:rsidRPr="00730563">
        <w:rPr>
          <w:rStyle w:val="BRNormal"/>
          <w:lang w:val="fr-CH"/>
        </w:rPr>
        <w:t xml:space="preserve">à </w:t>
      </w:r>
      <w:r w:rsidR="003563E6">
        <w:rPr>
          <w:color w:val="000000"/>
        </w:rPr>
        <w:t>temps de latence ultra-faible</w:t>
      </w:r>
      <w:r w:rsidR="00D44A27">
        <w:rPr>
          <w:color w:val="000000"/>
        </w:rPr>
        <w:t xml:space="preserve"> et utilisant des </w:t>
      </w:r>
      <w:r w:rsidR="00D44A27" w:rsidRPr="00730563">
        <w:rPr>
          <w:lang w:val="fr-CH"/>
        </w:rPr>
        <w:t>débits de données très élevés auront besoin</w:t>
      </w:r>
      <w:r w:rsidR="00D44A27" w:rsidRPr="00730563">
        <w:rPr>
          <w:rStyle w:val="NormalaftertitleChar"/>
          <w:lang w:val="fr-CH"/>
        </w:rPr>
        <w:t xml:space="preserve"> de </w:t>
      </w:r>
      <w:r w:rsidR="00D54534">
        <w:rPr>
          <w:rStyle w:val="NormalaftertitleChar"/>
          <w:lang w:val="fr-CH"/>
        </w:rPr>
        <w:t xml:space="preserve">blocs de fréquences contiguës plus grands </w:t>
      </w:r>
      <w:r w:rsidR="00D44A27" w:rsidRPr="00730563">
        <w:rPr>
          <w:rStyle w:val="NormalaftertitleChar"/>
          <w:lang w:val="fr-CH"/>
        </w:rPr>
        <w:t>que ceux qui sont disponibles dans les bandes de fréquences actuellement identifiées</w:t>
      </w:r>
      <w:r w:rsidR="00D44A27" w:rsidRPr="00D44A27">
        <w:rPr>
          <w:color w:val="000000"/>
        </w:rPr>
        <w:t xml:space="preserve"> </w:t>
      </w:r>
      <w:r w:rsidR="00D44A27">
        <w:rPr>
          <w:color w:val="000000"/>
        </w:rPr>
        <w:t xml:space="preserve">pour pouvoir être </w:t>
      </w:r>
      <w:r w:rsidR="00B1634C">
        <w:rPr>
          <w:color w:val="000000"/>
        </w:rPr>
        <w:t>utilisées</w:t>
      </w:r>
      <w:r w:rsidR="00D44A27">
        <w:rPr>
          <w:color w:val="000000"/>
        </w:rPr>
        <w:t xml:space="preserve"> par les administrations souhaitant mettre en œuvre des IMT</w:t>
      </w:r>
      <w:r w:rsidRPr="00730563">
        <w:rPr>
          <w:rStyle w:val="BRNormal"/>
          <w:lang w:val="fr-CH"/>
        </w:rPr>
        <w:t>;</w:t>
      </w:r>
    </w:p>
    <w:p w:rsidR="004C1D1E" w:rsidRPr="00730563" w:rsidRDefault="004C1D1E" w:rsidP="00425FA3">
      <w:pPr>
        <w:rPr>
          <w:rStyle w:val="BRNormal"/>
          <w:lang w:val="fr-CH"/>
        </w:rPr>
      </w:pPr>
      <w:r w:rsidRPr="00B979D7">
        <w:rPr>
          <w:rStyle w:val="BRNormal"/>
          <w:i/>
          <w:iCs/>
          <w:lang w:val="fr-CH"/>
        </w:rPr>
        <w:t>j)</w:t>
      </w:r>
      <w:r w:rsidRPr="00730563">
        <w:rPr>
          <w:rStyle w:val="BRNormal"/>
          <w:lang w:val="fr-CH"/>
        </w:rPr>
        <w:tab/>
      </w:r>
      <w:r w:rsidR="00D44A27" w:rsidRPr="00730563">
        <w:rPr>
          <w:rStyle w:val="BRNormal"/>
          <w:lang w:val="fr-CH"/>
        </w:rPr>
        <w:t xml:space="preserve">que les bandes de fréquences supérieures à </w:t>
      </w:r>
      <w:r w:rsidRPr="00730563">
        <w:rPr>
          <w:rStyle w:val="BRNormal"/>
          <w:lang w:val="fr-CH"/>
        </w:rPr>
        <w:t>6 GHz</w:t>
      </w:r>
      <w:r w:rsidR="00D44A27" w:rsidRPr="00730563">
        <w:rPr>
          <w:rStyle w:val="BRNormal"/>
          <w:lang w:val="fr-CH"/>
        </w:rPr>
        <w:t xml:space="preserve"> pourraient convenir pour l</w:t>
      </w:r>
      <w:r w:rsidR="00B979D7">
        <w:rPr>
          <w:rStyle w:val="BRNormal"/>
          <w:lang w:val="fr-CH"/>
        </w:rPr>
        <w:t>'</w:t>
      </w:r>
      <w:r w:rsidR="00D44A27" w:rsidRPr="00730563">
        <w:rPr>
          <w:rStyle w:val="BRNormal"/>
          <w:lang w:val="fr-CH"/>
        </w:rPr>
        <w:t xml:space="preserve">examen de ces </w:t>
      </w:r>
      <w:r w:rsidR="00D44A27" w:rsidRPr="00730563">
        <w:rPr>
          <w:rStyle w:val="NormalaftertitleChar"/>
          <w:lang w:val="fr-CH"/>
        </w:rPr>
        <w:t xml:space="preserve">plus grands blocs </w:t>
      </w:r>
      <w:r w:rsidR="00D44A27" w:rsidRPr="00730563">
        <w:rPr>
          <w:rStyle w:val="BRNormal"/>
          <w:lang w:val="fr-CH"/>
        </w:rPr>
        <w:t>de fréquences</w:t>
      </w:r>
      <w:r w:rsidRPr="00730563">
        <w:rPr>
          <w:rStyle w:val="BRNormal"/>
          <w:lang w:val="fr-CH"/>
        </w:rPr>
        <w:t>;</w:t>
      </w:r>
    </w:p>
    <w:p w:rsidR="004C1D1E" w:rsidRPr="00730563" w:rsidRDefault="004C1D1E" w:rsidP="000C46C1">
      <w:pPr>
        <w:rPr>
          <w:rStyle w:val="BRNormal"/>
          <w:lang w:val="fr-CH"/>
        </w:rPr>
      </w:pPr>
      <w:r w:rsidRPr="00B979D7">
        <w:rPr>
          <w:rStyle w:val="BRNormal"/>
          <w:i/>
          <w:iCs/>
          <w:lang w:val="fr-CH"/>
        </w:rPr>
        <w:t>k)</w:t>
      </w:r>
      <w:r w:rsidRPr="00730563">
        <w:rPr>
          <w:rStyle w:val="BRNormal"/>
          <w:lang w:val="fr-CH"/>
        </w:rPr>
        <w:tab/>
      </w:r>
      <w:r w:rsidR="00D44A27" w:rsidRPr="00730563">
        <w:rPr>
          <w:rStyle w:val="BRNormal"/>
          <w:lang w:val="fr-CH"/>
        </w:rPr>
        <w:t>que les caractéristiques des bandes de fréquences supérieures, par exemple la longueur d</w:t>
      </w:r>
      <w:r w:rsidR="00B979D7">
        <w:rPr>
          <w:rStyle w:val="BRNormal"/>
          <w:lang w:val="fr-CH"/>
        </w:rPr>
        <w:t>'</w:t>
      </w:r>
      <w:r w:rsidR="00D44A27" w:rsidRPr="00730563">
        <w:rPr>
          <w:rStyle w:val="BRNormal"/>
          <w:lang w:val="fr-CH"/>
        </w:rPr>
        <w:t>onde plus courte, pourrai</w:t>
      </w:r>
      <w:r w:rsidR="00A5100E" w:rsidRPr="00730563">
        <w:rPr>
          <w:rStyle w:val="BRNormal"/>
          <w:lang w:val="fr-CH"/>
        </w:rPr>
        <w:t>en</w:t>
      </w:r>
      <w:r w:rsidR="00D44A27" w:rsidRPr="00730563">
        <w:rPr>
          <w:rStyle w:val="BRNormal"/>
          <w:lang w:val="fr-CH"/>
        </w:rPr>
        <w:t>t également permettre l</w:t>
      </w:r>
      <w:r w:rsidR="00B979D7">
        <w:rPr>
          <w:rStyle w:val="BRNormal"/>
          <w:lang w:val="fr-CH"/>
        </w:rPr>
        <w:t>'</w:t>
      </w:r>
      <w:r w:rsidR="00D44A27" w:rsidRPr="00730563">
        <w:rPr>
          <w:rStyle w:val="BRNormal"/>
          <w:lang w:val="fr-CH"/>
        </w:rPr>
        <w:t xml:space="preserve">utilisation de techniques perfectionnées </w:t>
      </w:r>
      <w:r w:rsidR="00D44A27">
        <w:rPr>
          <w:color w:val="000000"/>
        </w:rPr>
        <w:t>d'entrées multiples/sorties multiples (MIMO</w:t>
      </w:r>
      <w:r w:rsidR="00B1634C">
        <w:rPr>
          <w:color w:val="000000"/>
        </w:rPr>
        <w:t>) et</w:t>
      </w:r>
      <w:r w:rsidR="003228B3">
        <w:rPr>
          <w:color w:val="000000"/>
        </w:rPr>
        <w:t xml:space="preserve"> </w:t>
      </w:r>
      <w:r w:rsidR="000C46C1">
        <w:rPr>
          <w:rStyle w:val="BRNormal"/>
          <w:lang w:val="fr-CH"/>
        </w:rPr>
        <w:t>de formation des faisceaux;</w:t>
      </w:r>
    </w:p>
    <w:p w:rsidR="004C1D1E" w:rsidRPr="00730563" w:rsidRDefault="004C1D1E" w:rsidP="00425FA3">
      <w:pPr>
        <w:rPr>
          <w:rStyle w:val="ECCHLyellow"/>
          <w:lang w:val="fr-CH"/>
        </w:rPr>
      </w:pPr>
      <w:r w:rsidRPr="00B979D7">
        <w:rPr>
          <w:rStyle w:val="BRNormal"/>
          <w:i/>
          <w:iCs/>
          <w:lang w:val="fr-CH"/>
        </w:rPr>
        <w:lastRenderedPageBreak/>
        <w:t>l)</w:t>
      </w:r>
      <w:r w:rsidRPr="00730563">
        <w:rPr>
          <w:rStyle w:val="BRNormal"/>
          <w:lang w:val="fr-CH"/>
        </w:rPr>
        <w:tab/>
      </w:r>
      <w:r w:rsidR="00A5100E" w:rsidRPr="00730563">
        <w:rPr>
          <w:rStyle w:val="BRNormal"/>
          <w:lang w:val="fr-CH"/>
        </w:rPr>
        <w:t>que les divers scénarios envisagés pour le dévelop</w:t>
      </w:r>
      <w:r w:rsidR="000C46C1">
        <w:rPr>
          <w:rStyle w:val="BRNormal"/>
          <w:lang w:val="fr-CH"/>
        </w:rPr>
        <w:t xml:space="preserve">pement futur des IMT supposent </w:t>
      </w:r>
      <w:r w:rsidR="00A5100E" w:rsidRPr="00730563">
        <w:rPr>
          <w:rStyle w:val="BRNormal"/>
          <w:lang w:val="fr-CH"/>
        </w:rPr>
        <w:t xml:space="preserve">diverses </w:t>
      </w:r>
      <w:r w:rsidR="00A5100E">
        <w:rPr>
          <w:color w:val="000000"/>
        </w:rPr>
        <w:t>exigences</w:t>
      </w:r>
      <w:r w:rsidR="00A5100E" w:rsidRPr="00730563">
        <w:rPr>
          <w:rStyle w:val="BRNormal"/>
          <w:lang w:val="fr-CH"/>
        </w:rPr>
        <w:t xml:space="preserve"> de qualité de fonctionnement qu</w:t>
      </w:r>
      <w:r w:rsidR="00B979D7">
        <w:rPr>
          <w:rStyle w:val="BRNormal"/>
          <w:lang w:val="fr-CH"/>
        </w:rPr>
        <w:t>'</w:t>
      </w:r>
      <w:r w:rsidR="00A5100E" w:rsidRPr="00730563">
        <w:rPr>
          <w:rStyle w:val="BRNormal"/>
          <w:lang w:val="fr-CH"/>
        </w:rPr>
        <w:t>il est possible de satisfaire dans di</w:t>
      </w:r>
      <w:r w:rsidR="000C46C1">
        <w:rPr>
          <w:rStyle w:val="BRNormal"/>
          <w:lang w:val="fr-CH"/>
        </w:rPr>
        <w:t>fférentes gammes de fréquences</w:t>
      </w:r>
      <w:r w:rsidRPr="00730563">
        <w:rPr>
          <w:rStyle w:val="BRNormal"/>
          <w:lang w:val="fr-CH"/>
        </w:rPr>
        <w:t>;</w:t>
      </w:r>
    </w:p>
    <w:p w:rsidR="004C1D1E" w:rsidRPr="00730563" w:rsidRDefault="004C1D1E" w:rsidP="00425FA3">
      <w:pPr>
        <w:rPr>
          <w:rStyle w:val="BRNormal"/>
          <w:lang w:val="fr-CH"/>
        </w:rPr>
      </w:pPr>
      <w:r w:rsidRPr="00B979D7">
        <w:rPr>
          <w:rStyle w:val="BRNormal"/>
          <w:i/>
          <w:iCs/>
          <w:lang w:val="fr-CH"/>
        </w:rPr>
        <w:t>m)</w:t>
      </w:r>
      <w:r w:rsidRPr="00730563">
        <w:rPr>
          <w:rStyle w:val="BRNormal"/>
          <w:lang w:val="fr-CH"/>
        </w:rPr>
        <w:tab/>
      </w:r>
      <w:r w:rsidR="00944A26">
        <w:rPr>
          <w:color w:val="000000"/>
        </w:rPr>
        <w:t>qu'il est vivement souhaitable d'utiliser des bandes harmonisées à</w:t>
      </w:r>
      <w:r w:rsidR="000C46C1">
        <w:rPr>
          <w:color w:val="000000"/>
        </w:rPr>
        <w:t xml:space="preserve"> l'échelle mondiale pour les </w:t>
      </w:r>
      <w:r w:rsidR="00944A26">
        <w:rPr>
          <w:color w:val="000000"/>
        </w:rPr>
        <w:t>IMT, afin de parvenir à l'itinérance mondiale et de tirer parti des économies d'échelle</w:t>
      </w:r>
      <w:r w:rsidRPr="00730563">
        <w:rPr>
          <w:rStyle w:val="BRNormal"/>
          <w:lang w:val="fr-CH"/>
        </w:rPr>
        <w:t>;</w:t>
      </w:r>
    </w:p>
    <w:p w:rsidR="004C1D1E" w:rsidRPr="00730563" w:rsidRDefault="004C1D1E" w:rsidP="001A367F">
      <w:pPr>
        <w:rPr>
          <w:rStyle w:val="BRNormal"/>
          <w:lang w:val="fr-CH"/>
        </w:rPr>
      </w:pPr>
      <w:r w:rsidRPr="00B979D7">
        <w:rPr>
          <w:rStyle w:val="BRNormal"/>
          <w:i/>
          <w:iCs/>
          <w:lang w:val="fr-CH"/>
        </w:rPr>
        <w:t>n</w:t>
      </w:r>
      <w:r w:rsidRPr="00B979D7">
        <w:rPr>
          <w:rStyle w:val="BRNormal"/>
          <w:rFonts w:eastAsia="MS Mincho"/>
          <w:i/>
          <w:iCs/>
          <w:lang w:val="fr-CH"/>
        </w:rPr>
        <w:t>)</w:t>
      </w:r>
      <w:r w:rsidRPr="00730563">
        <w:rPr>
          <w:rStyle w:val="BRNormal"/>
          <w:rFonts w:eastAsia="MS Mincho"/>
          <w:lang w:val="fr-CH"/>
        </w:rPr>
        <w:tab/>
      </w:r>
      <w:r w:rsidR="00944A26">
        <w:rPr>
          <w:color w:val="000000"/>
        </w:rPr>
        <w:t xml:space="preserve">qu'il est nécessaire de protéger les services existants </w:t>
      </w:r>
      <w:r w:rsidR="001A367F">
        <w:rPr>
          <w:color w:val="000000"/>
        </w:rPr>
        <w:t xml:space="preserve">et de permettre la poursuite de leur développement </w:t>
      </w:r>
      <w:r w:rsidR="00944A26">
        <w:rPr>
          <w:color w:val="000000"/>
        </w:rPr>
        <w:t>lorsqu'on examine des bandes de fréquences en vue de faire d</w:t>
      </w:r>
      <w:r w:rsidR="001A367F">
        <w:rPr>
          <w:color w:val="000000"/>
        </w:rPr>
        <w:t xml:space="preserve">e nouvelles </w:t>
      </w:r>
      <w:r w:rsidR="00944A26">
        <w:rPr>
          <w:color w:val="000000"/>
        </w:rPr>
        <w:t xml:space="preserve">attributions </w:t>
      </w:r>
      <w:r w:rsidR="001A367F">
        <w:rPr>
          <w:color w:val="000000"/>
        </w:rPr>
        <w:t>possibles</w:t>
      </w:r>
      <w:r w:rsidR="00944A26">
        <w:rPr>
          <w:color w:val="000000"/>
        </w:rPr>
        <w:t xml:space="preserve"> à un service</w:t>
      </w:r>
      <w:r w:rsidRPr="00730563">
        <w:rPr>
          <w:rStyle w:val="BRNormal"/>
          <w:lang w:val="fr-CH"/>
        </w:rPr>
        <w:t>;</w:t>
      </w:r>
    </w:p>
    <w:p w:rsidR="004C1D1E" w:rsidRPr="00730563" w:rsidRDefault="004C1D1E" w:rsidP="001A367F">
      <w:pPr>
        <w:rPr>
          <w:rStyle w:val="BRNormal"/>
          <w:lang w:val="fr-CH"/>
        </w:rPr>
      </w:pPr>
      <w:r w:rsidRPr="00B979D7">
        <w:rPr>
          <w:rStyle w:val="BRNormal"/>
          <w:i/>
          <w:iCs/>
          <w:lang w:val="fr-CH"/>
        </w:rPr>
        <w:t>o)</w:t>
      </w:r>
      <w:r w:rsidRPr="00730563">
        <w:rPr>
          <w:rStyle w:val="BRNormal"/>
          <w:lang w:val="fr-CH"/>
        </w:rPr>
        <w:tab/>
      </w:r>
      <w:r w:rsidR="00B5621D" w:rsidRPr="00730563">
        <w:rPr>
          <w:rStyle w:val="BRNormal"/>
          <w:lang w:val="fr-CH"/>
        </w:rPr>
        <w:t>que l</w:t>
      </w:r>
      <w:r w:rsidR="00B979D7">
        <w:rPr>
          <w:rStyle w:val="BRNormal"/>
          <w:lang w:val="fr-CH"/>
        </w:rPr>
        <w:t>'</w:t>
      </w:r>
      <w:r w:rsidR="00B5621D" w:rsidRPr="00730563">
        <w:rPr>
          <w:rStyle w:val="BRNormal"/>
          <w:lang w:val="fr-CH"/>
        </w:rPr>
        <w:t>identification des bandes de fréquences attribuées au service mobile pour les IMT modifiera peut-être la situation de partage concernant les applications des services auxquels la bande est déjà attribuée et nécessitera peut-être des mesures</w:t>
      </w:r>
      <w:r w:rsidR="001A367F">
        <w:rPr>
          <w:rStyle w:val="BRNormal"/>
          <w:lang w:val="fr-CH"/>
        </w:rPr>
        <w:t xml:space="preserve"> réglementaires additionnelles;</w:t>
      </w:r>
    </w:p>
    <w:p w:rsidR="004C1D1E" w:rsidRPr="00730563" w:rsidRDefault="004C1D1E" w:rsidP="00425FA3">
      <w:pPr>
        <w:rPr>
          <w:rFonts w:eastAsia="Malgun Gothic"/>
          <w:lang w:val="fr-CH"/>
        </w:rPr>
      </w:pPr>
      <w:r w:rsidRPr="00B979D7">
        <w:rPr>
          <w:rStyle w:val="BRNormal"/>
          <w:rFonts w:eastAsia="Malgun Gothic"/>
          <w:i/>
          <w:iCs/>
          <w:lang w:val="fr-CH"/>
        </w:rPr>
        <w:t>p)</w:t>
      </w:r>
      <w:r w:rsidRPr="00730563">
        <w:rPr>
          <w:rStyle w:val="BRNormal"/>
          <w:rFonts w:eastAsia="Malgun Gothic"/>
          <w:lang w:val="fr-CH"/>
        </w:rPr>
        <w:tab/>
      </w:r>
      <w:r w:rsidR="00B5621D" w:rsidRPr="00730563">
        <w:rPr>
          <w:rStyle w:val="BRNormal"/>
          <w:rFonts w:eastAsia="Malgun Gothic"/>
          <w:lang w:val="fr-CH"/>
        </w:rPr>
        <w:t>qu</w:t>
      </w:r>
      <w:r w:rsidR="00B979D7">
        <w:rPr>
          <w:rStyle w:val="BRNormal"/>
          <w:rFonts w:eastAsia="Malgun Gothic"/>
          <w:lang w:val="fr-CH"/>
        </w:rPr>
        <w:t>'</w:t>
      </w:r>
      <w:r w:rsidR="00B5621D" w:rsidRPr="00730563">
        <w:rPr>
          <w:rStyle w:val="BRNormal"/>
          <w:rFonts w:eastAsia="Malgun Gothic"/>
          <w:lang w:val="fr-CH"/>
        </w:rPr>
        <w:t xml:space="preserve">il est nécessaire et très important de choisir judicieusement les bandes de fréquences contiguës pour assurer la couverture, la capacité et la qualité de fonctionnement nécessaires à la </w:t>
      </w:r>
      <w:r w:rsidR="00944A26">
        <w:rPr>
          <w:color w:val="000000"/>
        </w:rPr>
        <w:t>mise en oeuvre économique</w:t>
      </w:r>
      <w:r w:rsidR="00B5621D">
        <w:rPr>
          <w:color w:val="000000"/>
        </w:rPr>
        <w:t xml:space="preserve"> des systèmes futurs, en tenant compte des</w:t>
      </w:r>
      <w:r w:rsidR="00B5621D" w:rsidRPr="00730563">
        <w:rPr>
          <w:rStyle w:val="BRNormal"/>
          <w:rFonts w:eastAsia="Malgun Gothic"/>
          <w:lang w:val="fr-CH"/>
        </w:rPr>
        <w:t xml:space="preserve"> </w:t>
      </w:r>
      <w:r w:rsidR="00B5621D">
        <w:rPr>
          <w:color w:val="000000"/>
        </w:rPr>
        <w:t>caractéristiques de propagation des ondes radioélectriques et des facteurs liés à la complexité et au coût de la mise en œuvre</w:t>
      </w:r>
      <w:r w:rsidRPr="00730563">
        <w:rPr>
          <w:rFonts w:eastAsia="Malgun Gothic"/>
          <w:lang w:val="fr-CH"/>
        </w:rPr>
        <w:t>,</w:t>
      </w:r>
    </w:p>
    <w:p w:rsidR="002B4492" w:rsidRPr="002B4492" w:rsidRDefault="002B4492" w:rsidP="00425FA3">
      <w:pPr>
        <w:pStyle w:val="Call"/>
        <w:rPr>
          <w:rFonts w:eastAsia="MS Mincho"/>
        </w:rPr>
      </w:pPr>
      <w:r>
        <w:rPr>
          <w:rFonts w:eastAsia="MS Mincho"/>
        </w:rPr>
        <w:t>notant</w:t>
      </w:r>
    </w:p>
    <w:p w:rsidR="004C1D1E" w:rsidRPr="001A367F" w:rsidRDefault="002B4492" w:rsidP="001A367F">
      <w:pPr>
        <w:rPr>
          <w:color w:val="000000"/>
        </w:rPr>
      </w:pPr>
      <w:r w:rsidRPr="00B979D7">
        <w:rPr>
          <w:rFonts w:eastAsia="Malgun Gothic"/>
          <w:i/>
          <w:iCs/>
          <w:lang w:val="fr-CH"/>
        </w:rPr>
        <w:t>a)</w:t>
      </w:r>
      <w:r w:rsidRPr="00730563">
        <w:rPr>
          <w:rFonts w:eastAsia="Malgun Gothic"/>
          <w:lang w:val="fr-CH"/>
        </w:rPr>
        <w:tab/>
      </w:r>
      <w:r w:rsidR="00B5621D" w:rsidRPr="00730563">
        <w:rPr>
          <w:rFonts w:eastAsia="Malgun Gothic"/>
          <w:lang w:val="fr-CH"/>
        </w:rPr>
        <w:t xml:space="preserve">que la </w:t>
      </w:r>
      <w:r w:rsidRPr="00730563">
        <w:rPr>
          <w:rFonts w:eastAsia="Malgun Gothic"/>
          <w:lang w:val="fr-CH"/>
        </w:rPr>
        <w:t xml:space="preserve">Question </w:t>
      </w:r>
      <w:r w:rsidR="002E2C8C" w:rsidRPr="00730563">
        <w:rPr>
          <w:rFonts w:eastAsia="Malgun Gothic"/>
          <w:lang w:val="fr-CH"/>
        </w:rPr>
        <w:t>UIT</w:t>
      </w:r>
      <w:r w:rsidR="00BF2826">
        <w:rPr>
          <w:rFonts w:eastAsia="Malgun Gothic"/>
          <w:lang w:val="fr-CH"/>
        </w:rPr>
        <w:t>-</w:t>
      </w:r>
      <w:r w:rsidRPr="00730563">
        <w:rPr>
          <w:rFonts w:eastAsia="Malgun Gothic"/>
          <w:lang w:val="fr-CH"/>
        </w:rPr>
        <w:t xml:space="preserve">R </w:t>
      </w:r>
      <w:r w:rsidRPr="00730563">
        <w:rPr>
          <w:rStyle w:val="BRNormal"/>
          <w:rFonts w:eastAsia="Malgun Gothic"/>
          <w:lang w:val="fr-CH"/>
        </w:rPr>
        <w:t xml:space="preserve">229-3/5 </w:t>
      </w:r>
      <w:r w:rsidR="00B5621D">
        <w:rPr>
          <w:color w:val="000000"/>
        </w:rPr>
        <w:t xml:space="preserve">traite </w:t>
      </w:r>
      <w:r w:rsidR="001E35D3" w:rsidRPr="00DD4258">
        <w:t xml:space="preserve">de la poursuite du développement </w:t>
      </w:r>
      <w:r w:rsidR="00B5621D">
        <w:rPr>
          <w:color w:val="000000"/>
        </w:rPr>
        <w:t>des IMT</w:t>
      </w:r>
      <w:r w:rsidR="001A367F">
        <w:rPr>
          <w:color w:val="000000"/>
        </w:rPr>
        <w:t>;</w:t>
      </w:r>
    </w:p>
    <w:p w:rsidR="00C03840" w:rsidRPr="00DD4258" w:rsidRDefault="00C03840" w:rsidP="00D43D29">
      <w:r w:rsidRPr="00B979D7">
        <w:rPr>
          <w:rFonts w:eastAsia="Malgun Gothic"/>
          <w:i/>
          <w:iCs/>
          <w:lang w:val="fr-CH"/>
        </w:rPr>
        <w:t>b)</w:t>
      </w:r>
      <w:r w:rsidRPr="00DD4258">
        <w:tab/>
        <w:t>que les IMT englobent à la fois les IMT</w:t>
      </w:r>
      <w:r w:rsidRPr="00DD4258">
        <w:noBreakHyphen/>
        <w:t>2000</w:t>
      </w:r>
      <w:r w:rsidR="00B5621D">
        <w:t>,</w:t>
      </w:r>
      <w:r w:rsidRPr="00DD4258">
        <w:t xml:space="preserve"> </w:t>
      </w:r>
      <w:r w:rsidR="00B5621D">
        <w:t xml:space="preserve">les </w:t>
      </w:r>
      <w:r w:rsidRPr="00DD4258">
        <w:t>IMT</w:t>
      </w:r>
      <w:r w:rsidR="00D43D29">
        <w:t xml:space="preserve"> </w:t>
      </w:r>
      <w:r w:rsidRPr="00DD4258">
        <w:t>évoluées</w:t>
      </w:r>
      <w:r w:rsidR="00B5621D">
        <w:t xml:space="preserve"> </w:t>
      </w:r>
      <w:r w:rsidR="00B5621D" w:rsidRPr="00DD4258">
        <w:t>et les</w:t>
      </w:r>
      <w:r w:rsidR="00B5621D">
        <w:t xml:space="preserve"> «IMT-20</w:t>
      </w:r>
      <w:r w:rsidR="00B60D5E">
        <w:t>20</w:t>
      </w:r>
      <w:r w:rsidR="00B5621D">
        <w:t>»</w:t>
      </w:r>
      <w:r w:rsidR="00B60D5E">
        <w:rPr>
          <w:rStyle w:val="FootnoteReference"/>
        </w:rPr>
        <w:footnoteReference w:id="1"/>
      </w:r>
      <w:r w:rsidRPr="00DD4258">
        <w:t>, comme indiqué dans la Résolution UIT</w:t>
      </w:r>
      <w:r w:rsidRPr="00DD4258">
        <w:noBreakHyphen/>
        <w:t>R 56</w:t>
      </w:r>
      <w:r w:rsidR="001A367F">
        <w:t>-2</w:t>
      </w:r>
      <w:r w:rsidRPr="00DD4258">
        <w:t>;</w:t>
      </w:r>
    </w:p>
    <w:p w:rsidR="00C03840" w:rsidRPr="00A7306B" w:rsidRDefault="00C03840" w:rsidP="00B979D7">
      <w:r w:rsidRPr="00B979D7">
        <w:rPr>
          <w:rFonts w:eastAsia="Malgun Gothic"/>
          <w:i/>
          <w:iCs/>
          <w:lang w:val="fr-CH"/>
        </w:rPr>
        <w:t>c)</w:t>
      </w:r>
      <w:r w:rsidRPr="00A7306B">
        <w:tab/>
        <w:t xml:space="preserve">que la Résolution UIT-R </w:t>
      </w:r>
      <w:r w:rsidR="00B5621D">
        <w:t>[PRINCIPLE]</w:t>
      </w:r>
      <w:r w:rsidRPr="00A7306B">
        <w:t xml:space="preserve"> traite des principes applicables à l</w:t>
      </w:r>
      <w:r>
        <w:t>'</w:t>
      </w:r>
      <w:r w:rsidRPr="00A7306B">
        <w:t xml:space="preserve">élaboration des </w:t>
      </w:r>
      <w:r w:rsidR="00B5621D">
        <w:t>«</w:t>
      </w:r>
      <w:r w:rsidRPr="00A7306B">
        <w:t>IMT</w:t>
      </w:r>
      <w:r>
        <w:t>-</w:t>
      </w:r>
      <w:r w:rsidR="00B5621D">
        <w:t>2020»</w:t>
      </w:r>
      <w:r w:rsidRPr="00A7306B">
        <w:t xml:space="preserve"> et que la Question UIT-R 77-7/5 traite des besoins des pays en développement en ce qui concerne le développement et la mise en </w:t>
      </w:r>
      <w:r>
        <w:t>oe</w:t>
      </w:r>
      <w:r w:rsidRPr="00A7306B">
        <w:t>uvre des IMT;</w:t>
      </w:r>
    </w:p>
    <w:p w:rsidR="004C1D1E" w:rsidRPr="00C03840" w:rsidRDefault="00C03840" w:rsidP="00425FA3">
      <w:r w:rsidRPr="00B979D7">
        <w:rPr>
          <w:rFonts w:eastAsia="Malgun Gothic"/>
          <w:i/>
          <w:iCs/>
          <w:lang w:val="fr-CH"/>
        </w:rPr>
        <w:t>d)</w:t>
      </w:r>
      <w:r w:rsidRPr="00D90A18">
        <w:rPr>
          <w:lang w:val="fr-CH" w:eastAsia="nl-NL"/>
        </w:rPr>
        <w:tab/>
        <w:t>que la</w:t>
      </w:r>
      <w:r>
        <w:rPr>
          <w:lang w:val="fr-CH" w:eastAsia="nl-NL"/>
        </w:rPr>
        <w:t xml:space="preserve"> </w:t>
      </w:r>
      <w:r w:rsidRPr="00D90A18">
        <w:rPr>
          <w:lang w:val="fr-CH" w:eastAsia="nl-NL"/>
        </w:rPr>
        <w:t xml:space="preserve">Recommandation </w:t>
      </w:r>
      <w:r>
        <w:rPr>
          <w:lang w:val="fr-CH" w:eastAsia="nl-NL"/>
        </w:rPr>
        <w:t>UIT</w:t>
      </w:r>
      <w:r w:rsidRPr="00D90A18">
        <w:rPr>
          <w:lang w:val="fr-CH" w:eastAsia="nl-NL"/>
        </w:rPr>
        <w:t>-R M.2083 définit le cadre et les objectifs</w:t>
      </w:r>
      <w:r>
        <w:rPr>
          <w:lang w:val="fr-CH" w:eastAsia="nl-NL"/>
        </w:rPr>
        <w:t xml:space="preserve"> </w:t>
      </w:r>
      <w:r>
        <w:rPr>
          <w:color w:val="000000"/>
        </w:rPr>
        <w:t>généraux de l'évolution future des IMT à l'horizon 2020 et au-delà</w:t>
      </w:r>
      <w:r w:rsidR="00E20867">
        <w:rPr>
          <w:lang w:val="fr-CH" w:eastAsia="nl-NL"/>
        </w:rPr>
        <w:t>;</w:t>
      </w:r>
    </w:p>
    <w:p w:rsidR="00C03840" w:rsidRPr="00730563" w:rsidRDefault="00C03840" w:rsidP="00425FA3">
      <w:pPr>
        <w:rPr>
          <w:rStyle w:val="BRNormal"/>
          <w:lang w:val="fr-CH"/>
        </w:rPr>
      </w:pPr>
      <w:r w:rsidRPr="00B979D7">
        <w:rPr>
          <w:rStyle w:val="BRNormal"/>
          <w:i/>
          <w:iCs/>
          <w:lang w:val="fr-CH"/>
        </w:rPr>
        <w:t>e)</w:t>
      </w:r>
      <w:r w:rsidRPr="00730563">
        <w:rPr>
          <w:rStyle w:val="BRNormal"/>
          <w:rFonts w:eastAsia="Malgun Gothic"/>
          <w:lang w:val="fr-CH"/>
        </w:rPr>
        <w:tab/>
      </w:r>
      <w:r w:rsidR="001E35D3" w:rsidRPr="00730563">
        <w:rPr>
          <w:rStyle w:val="BRNormal"/>
          <w:rFonts w:eastAsia="Malgun Gothic"/>
          <w:lang w:val="fr-CH"/>
        </w:rPr>
        <w:t xml:space="preserve">que </w:t>
      </w:r>
      <w:r w:rsidR="001A367F">
        <w:rPr>
          <w:lang w:val="fr-CH"/>
        </w:rPr>
        <w:t xml:space="preserve">le </w:t>
      </w:r>
      <w:r w:rsidR="00D43D29">
        <w:rPr>
          <w:lang w:val="fr-CH"/>
        </w:rPr>
        <w:t>R</w:t>
      </w:r>
      <w:r w:rsidR="001E35D3" w:rsidRPr="00706B20">
        <w:rPr>
          <w:lang w:val="fr-CH"/>
        </w:rPr>
        <w:t>apport UIT-R M.2320</w:t>
      </w:r>
      <w:r w:rsidR="001E35D3">
        <w:rPr>
          <w:lang w:val="fr-CH"/>
        </w:rPr>
        <w:t xml:space="preserve"> traite de</w:t>
      </w:r>
      <w:r w:rsidR="003228B3">
        <w:rPr>
          <w:lang w:val="fr-CH"/>
        </w:rPr>
        <w:t xml:space="preserve"> </w:t>
      </w:r>
      <w:r w:rsidR="001E35D3" w:rsidRPr="00706B20">
        <w:rPr>
          <w:lang w:val="fr-CH"/>
        </w:rPr>
        <w:t xml:space="preserve">l'évolution technologique </w:t>
      </w:r>
      <w:r w:rsidR="001E35D3">
        <w:rPr>
          <w:lang w:val="fr-CH"/>
        </w:rPr>
        <w:t xml:space="preserve">future </w:t>
      </w:r>
      <w:r w:rsidR="001E35D3" w:rsidRPr="00706B20">
        <w:rPr>
          <w:lang w:val="fr-CH"/>
        </w:rPr>
        <w:t>des systèm</w:t>
      </w:r>
      <w:r w:rsidR="001E35D3">
        <w:rPr>
          <w:lang w:val="fr-CH"/>
        </w:rPr>
        <w:t>es IMT de Terre</w:t>
      </w:r>
      <w:r w:rsidRPr="00730563">
        <w:rPr>
          <w:rStyle w:val="BRNormal"/>
          <w:rFonts w:eastAsia="Malgun Gothic"/>
          <w:lang w:val="fr-CH"/>
        </w:rPr>
        <w:t>;</w:t>
      </w:r>
    </w:p>
    <w:p w:rsidR="004C1D1E" w:rsidRPr="00730563" w:rsidRDefault="00C03840" w:rsidP="00792C2F">
      <w:pPr>
        <w:rPr>
          <w:lang w:val="fr-CH"/>
        </w:rPr>
      </w:pPr>
      <w:r w:rsidRPr="00B979D7">
        <w:rPr>
          <w:rStyle w:val="BRNormal"/>
          <w:rFonts w:eastAsia="Malgun Gothic"/>
          <w:i/>
          <w:iCs/>
          <w:lang w:val="fr-CH"/>
        </w:rPr>
        <w:t>f)</w:t>
      </w:r>
      <w:r w:rsidRPr="00730563">
        <w:rPr>
          <w:rStyle w:val="BRNormal"/>
          <w:rFonts w:eastAsia="Malgun Gothic"/>
          <w:lang w:val="fr-CH"/>
        </w:rPr>
        <w:tab/>
      </w:r>
      <w:r w:rsidR="001E35D3" w:rsidRPr="00D90A18">
        <w:rPr>
          <w:lang w:val="fr-CH"/>
        </w:rPr>
        <w:t>que le</w:t>
      </w:r>
      <w:r w:rsidR="001E35D3">
        <w:rPr>
          <w:lang w:val="fr-CH"/>
        </w:rPr>
        <w:t xml:space="preserve"> </w:t>
      </w:r>
      <w:r w:rsidR="001E35D3">
        <w:rPr>
          <w:color w:val="000000"/>
        </w:rPr>
        <w:t xml:space="preserve">Rapport </w:t>
      </w:r>
      <w:r w:rsidR="001E35D3">
        <w:rPr>
          <w:lang w:val="fr-CH" w:eastAsia="nl-NL"/>
        </w:rPr>
        <w:t>UIT</w:t>
      </w:r>
      <w:r w:rsidR="001E35D3" w:rsidRPr="00D90A18">
        <w:rPr>
          <w:lang w:val="fr-CH" w:eastAsia="nl-NL"/>
        </w:rPr>
        <w:t>-R M.2376 traite de la</w:t>
      </w:r>
      <w:r w:rsidR="001E35D3">
        <w:rPr>
          <w:lang w:val="fr-CH" w:eastAsia="nl-NL"/>
        </w:rPr>
        <w:t xml:space="preserve"> </w:t>
      </w:r>
      <w:r w:rsidR="001E35D3">
        <w:rPr>
          <w:color w:val="000000"/>
        </w:rPr>
        <w:t>possibilité sur le plan technique de déployer des IMT</w:t>
      </w:r>
      <w:r w:rsidR="001E35D3" w:rsidRPr="00D90A18">
        <w:rPr>
          <w:lang w:val="fr-CH" w:eastAsia="nl-NL"/>
        </w:rPr>
        <w:t xml:space="preserve"> dans les bandes supérieures à</w:t>
      </w:r>
      <w:r w:rsidR="001E35D3">
        <w:rPr>
          <w:lang w:val="fr-CH" w:eastAsia="nl-NL"/>
        </w:rPr>
        <w:t xml:space="preserve"> </w:t>
      </w:r>
      <w:r w:rsidR="001E35D3" w:rsidRPr="00D90A18">
        <w:rPr>
          <w:lang w:val="fr-CH" w:eastAsia="nl-NL"/>
        </w:rPr>
        <w:t>6 GHz;</w:t>
      </w:r>
    </w:p>
    <w:p w:rsidR="004C1D1E" w:rsidRPr="000F5C08" w:rsidRDefault="000F5C08" w:rsidP="00425FA3">
      <w:pPr>
        <w:rPr>
          <w:lang w:val="fr-CH"/>
        </w:rPr>
      </w:pPr>
      <w:r w:rsidRPr="00B979D7">
        <w:rPr>
          <w:rStyle w:val="BRNormal"/>
          <w:rFonts w:eastAsia="Malgun Gothic"/>
          <w:i/>
          <w:iCs/>
          <w:lang w:val="fr-CH"/>
        </w:rPr>
        <w:t>g)</w:t>
      </w:r>
      <w:r w:rsidRPr="00D90A18">
        <w:rPr>
          <w:rFonts w:eastAsia="Malgun Gothic"/>
          <w:lang w:val="fr-CH"/>
        </w:rPr>
        <w:tab/>
        <w:t>que les caractéristiques de propagation des systèmes mobiles dans les bandes de fréquences supérieures font actuellement l</w:t>
      </w:r>
      <w:r>
        <w:rPr>
          <w:rFonts w:eastAsia="Malgun Gothic"/>
          <w:lang w:val="fr-CH"/>
        </w:rPr>
        <w:t>'</w:t>
      </w:r>
      <w:r w:rsidRPr="00D90A18">
        <w:rPr>
          <w:rFonts w:eastAsia="Malgun Gothic"/>
          <w:lang w:val="fr-CH"/>
        </w:rPr>
        <w:t>objet d</w:t>
      </w:r>
      <w:r>
        <w:rPr>
          <w:rFonts w:eastAsia="Malgun Gothic"/>
          <w:lang w:val="fr-CH"/>
        </w:rPr>
        <w:t>'</w:t>
      </w:r>
      <w:r w:rsidRPr="00D90A18">
        <w:rPr>
          <w:rFonts w:eastAsia="Malgun Gothic"/>
          <w:lang w:val="fr-CH"/>
        </w:rPr>
        <w:t>études à l</w:t>
      </w:r>
      <w:r>
        <w:rPr>
          <w:rFonts w:eastAsia="Malgun Gothic"/>
          <w:lang w:val="fr-CH"/>
        </w:rPr>
        <w:t>'</w:t>
      </w:r>
      <w:r w:rsidRPr="00D90A18">
        <w:rPr>
          <w:rFonts w:eastAsia="Malgun Gothic"/>
          <w:lang w:val="fr-CH"/>
        </w:rPr>
        <w:t>UIT-R</w:t>
      </w:r>
      <w:r>
        <w:rPr>
          <w:rFonts w:eastAsia="Malgun Gothic"/>
          <w:lang w:val="fr-CH"/>
        </w:rPr>
        <w:t>;</w:t>
      </w:r>
    </w:p>
    <w:p w:rsidR="00C03840" w:rsidRPr="00730563" w:rsidRDefault="00810047" w:rsidP="00425FA3">
      <w:pPr>
        <w:rPr>
          <w:lang w:val="fr-CH"/>
        </w:rPr>
      </w:pPr>
      <w:r w:rsidRPr="00B979D7">
        <w:rPr>
          <w:rStyle w:val="BRNormal"/>
          <w:i/>
          <w:iCs/>
          <w:lang w:val="fr-CH"/>
        </w:rPr>
        <w:t>h)</w:t>
      </w:r>
      <w:r w:rsidR="000F5C08" w:rsidRPr="00730563">
        <w:rPr>
          <w:rStyle w:val="BRNormal"/>
          <w:lang w:val="fr-CH"/>
        </w:rPr>
        <w:tab/>
      </w:r>
      <w:r w:rsidR="001E35D3" w:rsidRPr="00730563">
        <w:rPr>
          <w:rStyle w:val="BRNormal"/>
          <w:lang w:val="fr-CH"/>
        </w:rPr>
        <w:t>qu</w:t>
      </w:r>
      <w:r w:rsidR="00B979D7">
        <w:rPr>
          <w:rStyle w:val="BRNormal"/>
          <w:lang w:val="fr-CH"/>
        </w:rPr>
        <w:t>'</w:t>
      </w:r>
      <w:r w:rsidR="001E35D3" w:rsidRPr="00730563">
        <w:rPr>
          <w:rStyle w:val="BRNormal"/>
          <w:lang w:val="fr-CH"/>
        </w:rPr>
        <w:t>une harmonisation entre les régions présente des avantages importants</w:t>
      </w:r>
      <w:r w:rsidR="00E20867">
        <w:rPr>
          <w:lang w:val="fr-CH"/>
        </w:rPr>
        <w:t>,</w:t>
      </w:r>
    </w:p>
    <w:p w:rsidR="00C03840" w:rsidRPr="000F5C08" w:rsidRDefault="000F5C08" w:rsidP="00425FA3">
      <w:pPr>
        <w:pStyle w:val="Call"/>
        <w:rPr>
          <w:lang w:val="fr-CH"/>
        </w:rPr>
      </w:pPr>
      <w:r w:rsidRPr="000F5C08">
        <w:rPr>
          <w:lang w:val="fr-CH"/>
        </w:rPr>
        <w:t>reconnaissant</w:t>
      </w:r>
    </w:p>
    <w:p w:rsidR="0032601C" w:rsidRDefault="00810047" w:rsidP="00792C2F">
      <w:r w:rsidRPr="00B979D7">
        <w:rPr>
          <w:rStyle w:val="BRNormal"/>
          <w:i/>
          <w:iCs/>
          <w:lang w:val="fr-CH"/>
        </w:rPr>
        <w:t>a)</w:t>
      </w:r>
      <w:r w:rsidR="000F5C08" w:rsidRPr="00DD4258">
        <w:tab/>
      </w:r>
      <w:r w:rsidR="000F5C08" w:rsidRPr="00A7306B">
        <w:t>qu</w:t>
      </w:r>
      <w:r w:rsidR="000F5C08">
        <w:t>'</w:t>
      </w:r>
      <w:r w:rsidR="000F5C08" w:rsidRPr="00A7306B">
        <w:t>il s</w:t>
      </w:r>
      <w:r w:rsidR="000F5C08">
        <w:t>'</w:t>
      </w:r>
      <w:r w:rsidR="000F5C08" w:rsidRPr="00A7306B">
        <w:t>écoule un laps de temps relativement long entre l</w:t>
      </w:r>
      <w:r w:rsidR="000F5C08">
        <w:t>'</w:t>
      </w:r>
      <w:r w:rsidR="00792C2F">
        <w:t>attribution</w:t>
      </w:r>
      <w:r w:rsidR="000F5C08" w:rsidRPr="00A7306B">
        <w:t xml:space="preserve"> de bandes de fréquences par les conférences mondiales des radiocommunications et le déploiement de systèmes dans ces bandes et qu</w:t>
      </w:r>
      <w:r w:rsidR="000F5C08">
        <w:t>'</w:t>
      </w:r>
      <w:r w:rsidR="000F5C08" w:rsidRPr="00A7306B">
        <w:t xml:space="preserve">il est donc important de mettre rapidement à disposition des </w:t>
      </w:r>
      <w:r w:rsidR="00792C2F">
        <w:t>blocs de fréquences contigu</w:t>
      </w:r>
      <w:r w:rsidR="001E35D3">
        <w:t>s bien définis</w:t>
      </w:r>
      <w:r w:rsidR="000F5C08">
        <w:t>,</w:t>
      </w:r>
      <w:r w:rsidR="000F5C08" w:rsidRPr="00A7306B">
        <w:t xml:space="preserve"> pour permettre </w:t>
      </w:r>
      <w:r w:rsidR="000F5C08">
        <w:t xml:space="preserve">le développement des </w:t>
      </w:r>
      <w:r w:rsidR="000F5C08" w:rsidRPr="00A7306B">
        <w:t xml:space="preserve">applications </w:t>
      </w:r>
      <w:r w:rsidR="000F5C08">
        <w:t xml:space="preserve">à </w:t>
      </w:r>
      <w:r w:rsidR="000F5C08" w:rsidRPr="00A7306B">
        <w:t xml:space="preserve">large bande </w:t>
      </w:r>
      <w:r w:rsidR="00792C2F">
        <w:t>telles que les IMT</w:t>
      </w:r>
      <w:r w:rsidR="0032601C">
        <w:t>;</w:t>
      </w:r>
    </w:p>
    <w:p w:rsidR="00810047" w:rsidRPr="00730563" w:rsidRDefault="00810047" w:rsidP="00425FA3">
      <w:pPr>
        <w:rPr>
          <w:rStyle w:val="BRNormal"/>
          <w:rFonts w:eastAsia="MS Mincho"/>
          <w:lang w:val="fr-CH"/>
        </w:rPr>
      </w:pPr>
      <w:r w:rsidRPr="00B979D7">
        <w:rPr>
          <w:rStyle w:val="BRNormal"/>
          <w:rFonts w:eastAsia="MS Mincho"/>
          <w:i/>
          <w:iCs/>
          <w:lang w:val="fr-CH"/>
        </w:rPr>
        <w:lastRenderedPageBreak/>
        <w:t>b</w:t>
      </w:r>
      <w:r w:rsidR="00BF2826" w:rsidRPr="00B979D7">
        <w:rPr>
          <w:rStyle w:val="BRNormal"/>
          <w:rFonts w:eastAsia="MS Mincho"/>
          <w:i/>
          <w:iCs/>
          <w:lang w:val="fr-CH"/>
        </w:rPr>
        <w:t>)</w:t>
      </w:r>
      <w:r w:rsidRPr="00730563">
        <w:rPr>
          <w:rStyle w:val="BRNormal"/>
          <w:rFonts w:eastAsia="MS Mincho"/>
          <w:lang w:val="fr-CH"/>
        </w:rPr>
        <w:tab/>
      </w:r>
      <w:r w:rsidR="0032601C" w:rsidRPr="00730563">
        <w:rPr>
          <w:rStyle w:val="BRNormal"/>
          <w:rFonts w:eastAsia="MS Mincho"/>
          <w:lang w:val="fr-CH"/>
        </w:rPr>
        <w:t>que les bandes de fréquences attribuées en exclusivité aux services passifs ne conviennent pas pour un</w:t>
      </w:r>
      <w:r w:rsidR="00792C2F">
        <w:rPr>
          <w:rStyle w:val="BRNormal"/>
          <w:rFonts w:eastAsia="MS Mincho"/>
          <w:lang w:val="fr-CH"/>
        </w:rPr>
        <w:t>e attribution au service mobile</w:t>
      </w:r>
      <w:r w:rsidRPr="00730563">
        <w:rPr>
          <w:rStyle w:val="BRNormal"/>
          <w:rFonts w:eastAsia="MS Mincho"/>
          <w:lang w:val="fr-CH"/>
        </w:rPr>
        <w:t>;</w:t>
      </w:r>
    </w:p>
    <w:p w:rsidR="00810047" w:rsidRPr="00730563" w:rsidRDefault="00810047" w:rsidP="00425FA3">
      <w:pPr>
        <w:rPr>
          <w:rStyle w:val="BRNormal"/>
          <w:rFonts w:eastAsia="MS Mincho"/>
          <w:lang w:val="fr-CH"/>
        </w:rPr>
      </w:pPr>
      <w:r w:rsidRPr="00B979D7">
        <w:rPr>
          <w:rStyle w:val="BRNormal"/>
          <w:i/>
          <w:iCs/>
          <w:lang w:val="fr-CH"/>
        </w:rPr>
        <w:t>c</w:t>
      </w:r>
      <w:r w:rsidR="00BF2826" w:rsidRPr="00B979D7">
        <w:rPr>
          <w:rStyle w:val="BRNormal"/>
          <w:i/>
          <w:iCs/>
          <w:lang w:val="fr-CH"/>
        </w:rPr>
        <w:t>)</w:t>
      </w:r>
      <w:r w:rsidRPr="00730563">
        <w:rPr>
          <w:rStyle w:val="BRNormal"/>
          <w:lang w:val="fr-CH"/>
        </w:rPr>
        <w:tab/>
      </w:r>
      <w:r w:rsidR="0032601C" w:rsidRPr="00730563">
        <w:rPr>
          <w:rStyle w:val="BRNormal"/>
          <w:lang w:val="fr-CH"/>
        </w:rPr>
        <w:t>que toute identification de bandes de fréquences pour les IMT devrait tenir compte de l</w:t>
      </w:r>
      <w:r w:rsidR="00B979D7">
        <w:rPr>
          <w:rStyle w:val="BRNormal"/>
          <w:lang w:val="fr-CH"/>
        </w:rPr>
        <w:t>'</w:t>
      </w:r>
      <w:r w:rsidR="0032601C" w:rsidRPr="00730563">
        <w:rPr>
          <w:rStyle w:val="BRNormal"/>
          <w:lang w:val="fr-CH"/>
        </w:rPr>
        <w:t>utilisation de</w:t>
      </w:r>
      <w:r w:rsidR="00792C2F">
        <w:rPr>
          <w:rStyle w:val="BRNormal"/>
          <w:lang w:val="fr-CH"/>
        </w:rPr>
        <w:t>s bandes par d</w:t>
      </w:r>
      <w:r w:rsidR="00B979D7">
        <w:rPr>
          <w:rStyle w:val="BRNormal"/>
          <w:lang w:val="fr-CH"/>
        </w:rPr>
        <w:t>'</w:t>
      </w:r>
      <w:r w:rsidR="00792C2F">
        <w:rPr>
          <w:rStyle w:val="BRNormal"/>
          <w:lang w:val="fr-CH"/>
        </w:rPr>
        <w:t>autres services</w:t>
      </w:r>
      <w:r w:rsidRPr="00730563">
        <w:rPr>
          <w:rStyle w:val="BRNormal"/>
          <w:lang w:val="fr-CH"/>
        </w:rPr>
        <w:t>,</w:t>
      </w:r>
    </w:p>
    <w:p w:rsidR="00810047" w:rsidRPr="00730563" w:rsidRDefault="0032601C" w:rsidP="00425FA3">
      <w:pPr>
        <w:pStyle w:val="Call"/>
        <w:rPr>
          <w:rFonts w:eastAsiaTheme="minorEastAsia"/>
          <w:lang w:val="fr-CH"/>
        </w:rPr>
      </w:pPr>
      <w:r w:rsidRPr="00730563">
        <w:rPr>
          <w:rFonts w:eastAsiaTheme="minorEastAsia"/>
          <w:lang w:val="fr-CH"/>
        </w:rPr>
        <w:t>décide d</w:t>
      </w:r>
      <w:r w:rsidR="00B979D7">
        <w:rPr>
          <w:rFonts w:eastAsiaTheme="minorEastAsia"/>
          <w:lang w:val="fr-CH"/>
        </w:rPr>
        <w:t>'</w:t>
      </w:r>
      <w:r w:rsidRPr="00730563">
        <w:rPr>
          <w:rFonts w:eastAsiaTheme="minorEastAsia"/>
          <w:lang w:val="fr-CH"/>
        </w:rPr>
        <w:t>inviter l</w:t>
      </w:r>
      <w:r w:rsidR="00B979D7">
        <w:rPr>
          <w:rFonts w:eastAsiaTheme="minorEastAsia"/>
          <w:lang w:val="fr-CH"/>
        </w:rPr>
        <w:t>'</w:t>
      </w:r>
      <w:r w:rsidRPr="00730563">
        <w:rPr>
          <w:rFonts w:eastAsiaTheme="minorEastAsia"/>
          <w:lang w:val="fr-CH"/>
        </w:rPr>
        <w:t>UIT-R</w:t>
      </w:r>
    </w:p>
    <w:p w:rsidR="00810047" w:rsidRPr="00730563" w:rsidRDefault="00810047" w:rsidP="00425FA3">
      <w:pPr>
        <w:rPr>
          <w:rStyle w:val="BRNormal"/>
          <w:rFonts w:eastAsiaTheme="minorEastAsia"/>
          <w:lang w:val="fr-CH"/>
        </w:rPr>
      </w:pPr>
      <w:r w:rsidRPr="00730563">
        <w:rPr>
          <w:rFonts w:eastAsiaTheme="minorEastAsia"/>
          <w:lang w:val="fr-CH"/>
        </w:rPr>
        <w:t>1</w:t>
      </w:r>
      <w:r w:rsidRPr="00730563">
        <w:rPr>
          <w:rFonts w:eastAsiaTheme="minorEastAsia"/>
          <w:lang w:val="fr-CH"/>
        </w:rPr>
        <w:tab/>
      </w:r>
      <w:r w:rsidR="0032601C">
        <w:rPr>
          <w:color w:val="000000"/>
        </w:rPr>
        <w:t xml:space="preserve">à procéder, à temps pour la CMR-19, aux études nécessaires, afin de déterminer les besoins de spectre nécessaires pour permettre l'exploitation des systèmes </w:t>
      </w:r>
      <w:r w:rsidR="00792C2F">
        <w:rPr>
          <w:rStyle w:val="BRNormal"/>
          <w:rFonts w:eastAsiaTheme="minorEastAsia"/>
          <w:lang w:val="fr-CH"/>
        </w:rPr>
        <w:t>IMT futurs, en tenant compte:</w:t>
      </w:r>
    </w:p>
    <w:p w:rsidR="00810047" w:rsidRPr="00730563" w:rsidRDefault="00810047" w:rsidP="00792C2F">
      <w:pPr>
        <w:pStyle w:val="enumlev1"/>
        <w:rPr>
          <w:rStyle w:val="BRNormal"/>
          <w:rFonts w:eastAsiaTheme="minorEastAsia"/>
          <w:lang w:val="fr-CH"/>
        </w:rPr>
      </w:pPr>
      <w:r w:rsidRPr="00730563">
        <w:rPr>
          <w:rStyle w:val="BRNormal"/>
          <w:rFonts w:eastAsiaTheme="minorEastAsia"/>
          <w:lang w:val="fr-CH"/>
        </w:rPr>
        <w:t>–</w:t>
      </w:r>
      <w:r w:rsidRPr="00730563">
        <w:rPr>
          <w:rStyle w:val="BRNormal"/>
          <w:rFonts w:eastAsiaTheme="minorEastAsia"/>
          <w:lang w:val="fr-CH"/>
        </w:rPr>
        <w:tab/>
      </w:r>
      <w:r w:rsidR="0032601C" w:rsidRPr="00730563">
        <w:rPr>
          <w:rStyle w:val="BRNormal"/>
          <w:rFonts w:eastAsiaTheme="minorEastAsia"/>
          <w:lang w:val="fr-CH"/>
        </w:rPr>
        <w:t xml:space="preserve">des caractéristiques techniques et opérationnelles des systèmes IMT de Terre nécessaires pour prendre en charge des débits de données très élevés, </w:t>
      </w:r>
      <w:r w:rsidR="00CA059E">
        <w:rPr>
          <w:color w:val="000000"/>
        </w:rPr>
        <w:t xml:space="preserve">y compris de l'évolution </w:t>
      </w:r>
      <w:r w:rsidR="0032601C" w:rsidRPr="00730563">
        <w:rPr>
          <w:rStyle w:val="BRNormal"/>
          <w:rFonts w:eastAsiaTheme="minorEastAsia"/>
          <w:lang w:val="fr-CH"/>
        </w:rPr>
        <w:t xml:space="preserve">des systèmes mobiles existants </w:t>
      </w:r>
      <w:r w:rsidR="00792C2F">
        <w:rPr>
          <w:rStyle w:val="BRNormal"/>
          <w:rFonts w:eastAsiaTheme="minorEastAsia"/>
          <w:lang w:val="fr-CH"/>
        </w:rPr>
        <w:t>rendue possible par les</w:t>
      </w:r>
      <w:r w:rsidR="00CA059E" w:rsidRPr="00730563">
        <w:rPr>
          <w:rStyle w:val="BRNormal"/>
          <w:rFonts w:eastAsiaTheme="minorEastAsia"/>
          <w:lang w:val="fr-CH"/>
        </w:rPr>
        <w:t xml:space="preserve"> progrès </w:t>
      </w:r>
      <w:r w:rsidR="00792C2F">
        <w:rPr>
          <w:color w:val="000000"/>
        </w:rPr>
        <w:t xml:space="preserve">technologiques ainsi que par les </w:t>
      </w:r>
      <w:r w:rsidR="00CA059E">
        <w:rPr>
          <w:color w:val="000000"/>
        </w:rPr>
        <w:t>techniques à grande efficacité spectrale et à haut rendement énergétique,</w:t>
      </w:r>
      <w:r w:rsidR="00CA059E" w:rsidRPr="00730563">
        <w:rPr>
          <w:rStyle w:val="BRNormal"/>
          <w:rFonts w:eastAsiaTheme="minorEastAsia"/>
          <w:lang w:val="fr-CH"/>
        </w:rPr>
        <w:t xml:space="preserve"> et du déploiement de ses systèmes</w:t>
      </w:r>
      <w:r w:rsidRPr="00730563">
        <w:rPr>
          <w:rStyle w:val="BRNormal"/>
          <w:rFonts w:eastAsiaTheme="minorEastAsia"/>
          <w:lang w:val="fr-CH"/>
        </w:rPr>
        <w:t>;</w:t>
      </w:r>
    </w:p>
    <w:p w:rsidR="00810047" w:rsidRPr="00810047" w:rsidRDefault="00810047" w:rsidP="00425FA3">
      <w:pPr>
        <w:pStyle w:val="enumlev1"/>
        <w:rPr>
          <w:rStyle w:val="BRNormal"/>
          <w:rFonts w:eastAsiaTheme="minorEastAsia"/>
        </w:rPr>
      </w:pPr>
      <w:r w:rsidRPr="00810047">
        <w:rPr>
          <w:rStyle w:val="BRNormal"/>
          <w:rFonts w:eastAsiaTheme="minorEastAsia"/>
        </w:rPr>
        <w:t>–</w:t>
      </w:r>
      <w:r w:rsidRPr="00810047">
        <w:rPr>
          <w:rStyle w:val="BRNormal"/>
          <w:rFonts w:eastAsiaTheme="minorEastAsia"/>
        </w:rPr>
        <w:tab/>
      </w:r>
      <w:r w:rsidR="00CA059E">
        <w:rPr>
          <w:rStyle w:val="BRNormal"/>
          <w:rFonts w:eastAsiaTheme="minorEastAsia"/>
        </w:rPr>
        <w:t xml:space="preserve">des divers scénarios de déploiement et des exigences </w:t>
      </w:r>
      <w:r w:rsidR="000E04A8">
        <w:rPr>
          <w:rStyle w:val="BRNormal"/>
          <w:rFonts w:eastAsiaTheme="minorEastAsia"/>
        </w:rPr>
        <w:t>liées au volume d</w:t>
      </w:r>
      <w:r w:rsidR="00792C2F">
        <w:rPr>
          <w:rStyle w:val="BRNormal"/>
          <w:rFonts w:eastAsiaTheme="minorEastAsia"/>
        </w:rPr>
        <w:t>e trafic de données important</w:t>
      </w:r>
      <w:r w:rsidRPr="00810047">
        <w:rPr>
          <w:rStyle w:val="BRNormal"/>
          <w:rFonts w:eastAsiaTheme="minorEastAsia"/>
        </w:rPr>
        <w:t>;</w:t>
      </w:r>
    </w:p>
    <w:p w:rsidR="00810047" w:rsidRPr="00810047" w:rsidRDefault="00810047" w:rsidP="00D43D29">
      <w:pPr>
        <w:pStyle w:val="enumlev1"/>
        <w:rPr>
          <w:rStyle w:val="BRNormal"/>
          <w:rFonts w:eastAsiaTheme="minorEastAsia"/>
        </w:rPr>
      </w:pPr>
      <w:r w:rsidRPr="00810047">
        <w:rPr>
          <w:rStyle w:val="BRNormal"/>
          <w:rFonts w:eastAsiaTheme="minorEastAsia"/>
        </w:rPr>
        <w:t>–</w:t>
      </w:r>
      <w:r w:rsidRPr="00810047">
        <w:rPr>
          <w:rStyle w:val="BRNormal"/>
          <w:rFonts w:eastAsiaTheme="minorEastAsia"/>
        </w:rPr>
        <w:tab/>
      </w:r>
      <w:r w:rsidR="000E04A8">
        <w:rPr>
          <w:rStyle w:val="BRNormal"/>
          <w:rFonts w:eastAsiaTheme="minorEastAsia"/>
        </w:rPr>
        <w:t xml:space="preserve">que la largeur de bande optimale </w:t>
      </w:r>
      <w:r w:rsidR="00D43D29">
        <w:rPr>
          <w:rStyle w:val="BRNormal"/>
          <w:rFonts w:eastAsiaTheme="minorEastAsia"/>
        </w:rPr>
        <w:t>d</w:t>
      </w:r>
      <w:r w:rsidR="000E04A8">
        <w:rPr>
          <w:rStyle w:val="BRNormal"/>
          <w:rFonts w:eastAsiaTheme="minorEastAsia"/>
        </w:rPr>
        <w:t>es systèmes différera peut-être en fonc</w:t>
      </w:r>
      <w:r w:rsidR="00792C2F">
        <w:rPr>
          <w:rStyle w:val="BRNormal"/>
          <w:rFonts w:eastAsiaTheme="minorEastAsia"/>
        </w:rPr>
        <w:t>tion de la gamme de fréquences</w:t>
      </w:r>
      <w:r w:rsidRPr="00810047">
        <w:rPr>
          <w:rStyle w:val="BRNormal"/>
          <w:rFonts w:eastAsiaTheme="minorEastAsia"/>
        </w:rPr>
        <w:t>;</w:t>
      </w:r>
    </w:p>
    <w:p w:rsidR="00810047" w:rsidRPr="00810047" w:rsidRDefault="00810047" w:rsidP="00425FA3">
      <w:pPr>
        <w:pStyle w:val="enumlev1"/>
        <w:rPr>
          <w:rStyle w:val="BRNormal"/>
          <w:rFonts w:eastAsiaTheme="minorEastAsia"/>
        </w:rPr>
      </w:pPr>
      <w:r w:rsidRPr="00810047">
        <w:rPr>
          <w:rStyle w:val="BRNormal"/>
          <w:rFonts w:eastAsiaTheme="minorEastAsia"/>
        </w:rPr>
        <w:t>–</w:t>
      </w:r>
      <w:r w:rsidRPr="00810047">
        <w:rPr>
          <w:rStyle w:val="BRNormal"/>
          <w:rFonts w:eastAsiaTheme="minorEastAsia"/>
        </w:rPr>
        <w:tab/>
      </w:r>
      <w:r w:rsidR="000E04A8">
        <w:rPr>
          <w:rStyle w:val="BRNormal"/>
          <w:rFonts w:eastAsiaTheme="minorEastAsia"/>
        </w:rPr>
        <w:t>de la nécessité d</w:t>
      </w:r>
      <w:r w:rsidR="00B979D7">
        <w:rPr>
          <w:rStyle w:val="BRNormal"/>
          <w:rFonts w:eastAsiaTheme="minorEastAsia"/>
        </w:rPr>
        <w:t>'</w:t>
      </w:r>
      <w:r w:rsidR="000E04A8">
        <w:rPr>
          <w:rStyle w:val="BRNormal"/>
          <w:rFonts w:eastAsiaTheme="minorEastAsia"/>
        </w:rPr>
        <w:t>assurer la concurrence</w:t>
      </w:r>
      <w:r w:rsidR="00792C2F">
        <w:rPr>
          <w:rStyle w:val="BRNormal"/>
          <w:rFonts w:eastAsiaTheme="minorEastAsia"/>
        </w:rPr>
        <w:t>;</w:t>
      </w:r>
    </w:p>
    <w:p w:rsidR="00810047" w:rsidRPr="00810047" w:rsidRDefault="00810047" w:rsidP="00792C2F">
      <w:pPr>
        <w:pStyle w:val="enumlev1"/>
        <w:rPr>
          <w:rStyle w:val="BRNormal"/>
          <w:rFonts w:eastAsiaTheme="minorEastAsia"/>
        </w:rPr>
      </w:pPr>
      <w:r w:rsidRPr="00810047">
        <w:rPr>
          <w:rStyle w:val="BRNormal"/>
          <w:rFonts w:eastAsiaTheme="minorEastAsia"/>
        </w:rPr>
        <w:t>–</w:t>
      </w:r>
      <w:r w:rsidRPr="00810047">
        <w:rPr>
          <w:rStyle w:val="BRNormal"/>
          <w:rFonts w:eastAsiaTheme="minorEastAsia"/>
        </w:rPr>
        <w:tab/>
      </w:r>
      <w:r w:rsidR="000E04A8">
        <w:rPr>
          <w:rStyle w:val="BRNormal"/>
          <w:rFonts w:eastAsiaTheme="minorEastAsia"/>
        </w:rPr>
        <w:t>que les besoins de fréquences additionnelles peuvent être différents selon les pays (pays développés et pays en développement</w:t>
      </w:r>
      <w:r w:rsidR="00792C2F">
        <w:rPr>
          <w:rStyle w:val="BRNormal"/>
          <w:rFonts w:eastAsiaTheme="minorEastAsia"/>
        </w:rPr>
        <w:t xml:space="preserve"> par exemple</w:t>
      </w:r>
      <w:r w:rsidRPr="00810047">
        <w:rPr>
          <w:rStyle w:val="BRNormal"/>
          <w:rFonts w:eastAsiaTheme="minorEastAsia"/>
        </w:rPr>
        <w:t>);</w:t>
      </w:r>
    </w:p>
    <w:p w:rsidR="00810047" w:rsidRPr="00730563" w:rsidRDefault="00810047" w:rsidP="00425FA3">
      <w:pPr>
        <w:pStyle w:val="enumlev1"/>
        <w:rPr>
          <w:rStyle w:val="BRNormal"/>
          <w:rFonts w:eastAsiaTheme="minorEastAsia"/>
          <w:lang w:val="fr-CH"/>
        </w:rPr>
      </w:pPr>
      <w:r w:rsidRPr="00810047">
        <w:rPr>
          <w:rStyle w:val="BRNormal"/>
          <w:rFonts w:eastAsiaTheme="minorEastAsia"/>
        </w:rPr>
        <w:t>–</w:t>
      </w:r>
      <w:r w:rsidRPr="00810047">
        <w:rPr>
          <w:rStyle w:val="BRNormal"/>
          <w:rFonts w:eastAsiaTheme="minorEastAsia"/>
        </w:rPr>
        <w:tab/>
      </w:r>
      <w:r w:rsidR="000E04A8">
        <w:rPr>
          <w:color w:val="000000"/>
        </w:rPr>
        <w:t>des délais dans lesquels les bandes de fréquences seraient nécessaires;</w:t>
      </w:r>
    </w:p>
    <w:p w:rsidR="00810047" w:rsidRPr="00730563" w:rsidRDefault="0057013B" w:rsidP="00425FA3">
      <w:pPr>
        <w:rPr>
          <w:rStyle w:val="BRNormal"/>
          <w:lang w:val="fr-CH"/>
        </w:rPr>
      </w:pPr>
      <w:r>
        <w:rPr>
          <w:rStyle w:val="BRNormal"/>
          <w:lang w:val="fr-CH"/>
        </w:rPr>
        <w:t>2</w:t>
      </w:r>
      <w:r w:rsidR="00810047" w:rsidRPr="00730563">
        <w:rPr>
          <w:rStyle w:val="BRNormal"/>
          <w:lang w:val="fr-CH"/>
        </w:rPr>
        <w:tab/>
      </w:r>
      <w:r w:rsidR="000E04A8" w:rsidRPr="00730563">
        <w:rPr>
          <w:rStyle w:val="BRNormal"/>
          <w:lang w:val="fr-CH"/>
        </w:rPr>
        <w:t>à procéder à des études de partage entre le service mobile et les autres services auxquels les bandes sont attribuées, en tenant c</w:t>
      </w:r>
      <w:r>
        <w:rPr>
          <w:rStyle w:val="BRNormal"/>
          <w:lang w:val="fr-CH"/>
        </w:rPr>
        <w:t>ompte des conditions existantes</w:t>
      </w:r>
      <w:r w:rsidR="000E04A8" w:rsidRPr="00730563">
        <w:rPr>
          <w:rStyle w:val="BRNormal"/>
          <w:lang w:val="fr-CH"/>
        </w:rPr>
        <w:t xml:space="preserve"> énoncées dans le Règlement des radiocommunications, ainsi que de l</w:t>
      </w:r>
      <w:r w:rsidR="00B979D7">
        <w:rPr>
          <w:rStyle w:val="BRNormal"/>
          <w:lang w:val="fr-CH"/>
        </w:rPr>
        <w:t>'</w:t>
      </w:r>
      <w:r w:rsidR="000E04A8" w:rsidRPr="00730563">
        <w:rPr>
          <w:rStyle w:val="BRNormal"/>
          <w:lang w:val="fr-CH"/>
        </w:rPr>
        <w:t xml:space="preserve">utilisation des </w:t>
      </w:r>
      <w:r>
        <w:rPr>
          <w:rStyle w:val="BRNormal"/>
          <w:lang w:val="fr-CH"/>
        </w:rPr>
        <w:t>bandes par les autres services</w:t>
      </w:r>
      <w:r w:rsidR="00810047" w:rsidRPr="00730563">
        <w:rPr>
          <w:rStyle w:val="BRNormal"/>
          <w:lang w:val="fr-CH"/>
        </w:rPr>
        <w:t>;</w:t>
      </w:r>
    </w:p>
    <w:p w:rsidR="00810047" w:rsidRPr="00730563" w:rsidRDefault="00810047" w:rsidP="00667324">
      <w:pPr>
        <w:rPr>
          <w:rStyle w:val="BRNormal"/>
          <w:lang w:val="fr-CH"/>
        </w:rPr>
      </w:pPr>
      <w:r w:rsidRPr="00730563">
        <w:rPr>
          <w:rStyle w:val="BRNormal"/>
          <w:lang w:val="fr-CH"/>
        </w:rPr>
        <w:t>3</w:t>
      </w:r>
      <w:r w:rsidRPr="00730563">
        <w:rPr>
          <w:rStyle w:val="BRNormal"/>
          <w:lang w:val="fr-CH"/>
        </w:rPr>
        <w:tab/>
      </w:r>
      <w:r w:rsidR="000E04A8" w:rsidRPr="00730563">
        <w:rPr>
          <w:rStyle w:val="BRNormal"/>
          <w:lang w:val="fr-CH"/>
        </w:rPr>
        <w:t xml:space="preserve">à procéder à des études de compatibilité entre le service mobile et les autres services </w:t>
      </w:r>
      <w:r w:rsidR="00667324">
        <w:rPr>
          <w:rStyle w:val="BRNormal"/>
          <w:lang w:val="fr-CH"/>
        </w:rPr>
        <w:t>dans</w:t>
      </w:r>
      <w:r w:rsidR="000E04A8" w:rsidRPr="00730563">
        <w:rPr>
          <w:rStyle w:val="BRNormal"/>
          <w:lang w:val="fr-CH"/>
        </w:rPr>
        <w:t xml:space="preserve"> les bandes </w:t>
      </w:r>
      <w:r w:rsidR="00667324">
        <w:rPr>
          <w:rStyle w:val="BRNormal"/>
          <w:lang w:val="fr-CH"/>
        </w:rPr>
        <w:t>adjacentes</w:t>
      </w:r>
      <w:r w:rsidR="000E04A8" w:rsidRPr="00730563">
        <w:rPr>
          <w:rStyle w:val="BRNormal"/>
          <w:lang w:val="fr-CH"/>
        </w:rPr>
        <w:t>, en tenant compte des conditions existantes</w:t>
      </w:r>
      <w:r w:rsidR="003228B3">
        <w:rPr>
          <w:rStyle w:val="BRNormal"/>
          <w:lang w:val="fr-CH"/>
        </w:rPr>
        <w:t xml:space="preserve"> </w:t>
      </w:r>
      <w:r w:rsidR="000E04A8" w:rsidRPr="00730563">
        <w:rPr>
          <w:rStyle w:val="BRNormal"/>
          <w:lang w:val="fr-CH"/>
        </w:rPr>
        <w:t>énoncées dans le Règlement des radiocommunications, ainsi que de l</w:t>
      </w:r>
      <w:r w:rsidR="00B979D7">
        <w:rPr>
          <w:rStyle w:val="BRNormal"/>
          <w:lang w:val="fr-CH"/>
        </w:rPr>
        <w:t>'</w:t>
      </w:r>
      <w:r w:rsidR="000E04A8" w:rsidRPr="00730563">
        <w:rPr>
          <w:rStyle w:val="BRNormal"/>
          <w:lang w:val="fr-CH"/>
        </w:rPr>
        <w:t xml:space="preserve">utilisation des bandes </w:t>
      </w:r>
      <w:r w:rsidR="0057013B">
        <w:rPr>
          <w:rStyle w:val="BRNormal"/>
          <w:lang w:val="fr-CH"/>
        </w:rPr>
        <w:t>par les autres services;</w:t>
      </w:r>
    </w:p>
    <w:p w:rsidR="00810047" w:rsidRPr="00730563" w:rsidRDefault="00810047" w:rsidP="00D43D29">
      <w:pPr>
        <w:rPr>
          <w:rStyle w:val="BRNormal"/>
          <w:rFonts w:eastAsiaTheme="minorEastAsia"/>
          <w:lang w:val="fr-CH"/>
        </w:rPr>
      </w:pPr>
      <w:r w:rsidRPr="00730563">
        <w:rPr>
          <w:rStyle w:val="BRNormal"/>
          <w:rFonts w:eastAsiaTheme="minorEastAsia"/>
          <w:lang w:val="fr-CH"/>
        </w:rPr>
        <w:t>4</w:t>
      </w:r>
      <w:r w:rsidRPr="00730563">
        <w:rPr>
          <w:rStyle w:val="BRNormal"/>
          <w:rFonts w:eastAsiaTheme="minorEastAsia"/>
          <w:lang w:val="fr-CH"/>
        </w:rPr>
        <w:tab/>
      </w:r>
      <w:r w:rsidR="000E04A8" w:rsidRPr="00730563">
        <w:rPr>
          <w:rStyle w:val="BRNormal"/>
          <w:rFonts w:eastAsiaTheme="minorEastAsia"/>
          <w:lang w:val="fr-CH"/>
        </w:rPr>
        <w:t>à étudier les b</w:t>
      </w:r>
      <w:r w:rsidR="00667324">
        <w:rPr>
          <w:rStyle w:val="BRNormal"/>
          <w:rFonts w:eastAsiaTheme="minorEastAsia"/>
          <w:lang w:val="fr-CH"/>
        </w:rPr>
        <w:t>andes de fréquences suivantes</w:t>
      </w:r>
      <w:r w:rsidR="00D43D29">
        <w:rPr>
          <w:rStyle w:val="BRNormal"/>
          <w:rFonts w:eastAsiaTheme="minorEastAsia"/>
          <w:lang w:val="fr-CH"/>
        </w:rPr>
        <w:t>:</w:t>
      </w:r>
    </w:p>
    <w:p w:rsidR="00810047" w:rsidRPr="00730563" w:rsidRDefault="00810047" w:rsidP="00B60D5E">
      <w:pPr>
        <w:pStyle w:val="enumlev1"/>
        <w:rPr>
          <w:rFonts w:eastAsiaTheme="minorEastAsia"/>
          <w:lang w:val="fr-CH"/>
        </w:rPr>
      </w:pPr>
      <w:r w:rsidRPr="00730563">
        <w:rPr>
          <w:rFonts w:eastAsiaTheme="minorEastAsia"/>
          <w:lang w:val="fr-CH"/>
        </w:rPr>
        <w:tab/>
        <w:t>31</w:t>
      </w:r>
      <w:r w:rsidR="00B60D5E">
        <w:rPr>
          <w:rFonts w:eastAsiaTheme="minorEastAsia"/>
          <w:lang w:val="fr-CH"/>
        </w:rPr>
        <w:t>,</w:t>
      </w:r>
      <w:r w:rsidRPr="00730563">
        <w:rPr>
          <w:rFonts w:eastAsiaTheme="minorEastAsia"/>
          <w:lang w:val="fr-CH"/>
        </w:rPr>
        <w:t>8-33</w:t>
      </w:r>
      <w:r w:rsidR="00B60D5E">
        <w:rPr>
          <w:rFonts w:eastAsiaTheme="minorEastAsia"/>
          <w:lang w:val="fr-CH"/>
        </w:rPr>
        <w:t>,</w:t>
      </w:r>
      <w:r w:rsidRPr="00730563">
        <w:rPr>
          <w:rFonts w:eastAsiaTheme="minorEastAsia"/>
          <w:lang w:val="fr-CH"/>
        </w:rPr>
        <w:t>4 GHz</w:t>
      </w:r>
    </w:p>
    <w:p w:rsidR="00810047" w:rsidRPr="00730563" w:rsidRDefault="00810047" w:rsidP="00B60D5E">
      <w:pPr>
        <w:pStyle w:val="enumlev1"/>
        <w:rPr>
          <w:rFonts w:eastAsiaTheme="minorEastAsia"/>
          <w:lang w:val="fr-CH"/>
        </w:rPr>
      </w:pPr>
      <w:r w:rsidRPr="00730563">
        <w:rPr>
          <w:rFonts w:eastAsiaTheme="minorEastAsia"/>
          <w:lang w:val="fr-CH"/>
        </w:rPr>
        <w:tab/>
        <w:t>40</w:t>
      </w:r>
      <w:r w:rsidR="00B60D5E">
        <w:rPr>
          <w:rFonts w:eastAsiaTheme="minorEastAsia"/>
          <w:lang w:val="fr-CH"/>
        </w:rPr>
        <w:t>,</w:t>
      </w:r>
      <w:r w:rsidRPr="00730563">
        <w:rPr>
          <w:rFonts w:eastAsiaTheme="minorEastAsia"/>
          <w:lang w:val="fr-CH"/>
        </w:rPr>
        <w:t>5-43</w:t>
      </w:r>
      <w:r w:rsidR="00B60D5E">
        <w:rPr>
          <w:rFonts w:eastAsiaTheme="minorEastAsia"/>
          <w:lang w:val="fr-CH"/>
        </w:rPr>
        <w:t>,</w:t>
      </w:r>
      <w:r w:rsidRPr="00730563">
        <w:rPr>
          <w:rFonts w:eastAsiaTheme="minorEastAsia"/>
          <w:lang w:val="fr-CH"/>
        </w:rPr>
        <w:t>5 GHz</w:t>
      </w:r>
    </w:p>
    <w:p w:rsidR="00810047" w:rsidRPr="00730563" w:rsidRDefault="00810047" w:rsidP="00B60D5E">
      <w:pPr>
        <w:pStyle w:val="enumlev1"/>
        <w:rPr>
          <w:rFonts w:eastAsiaTheme="minorEastAsia"/>
          <w:lang w:val="fr-CH"/>
        </w:rPr>
      </w:pPr>
      <w:r w:rsidRPr="00730563">
        <w:rPr>
          <w:rFonts w:eastAsiaTheme="minorEastAsia"/>
          <w:lang w:val="fr-CH"/>
        </w:rPr>
        <w:tab/>
        <w:t>45</w:t>
      </w:r>
      <w:r w:rsidR="00B60D5E">
        <w:rPr>
          <w:rFonts w:eastAsiaTheme="minorEastAsia"/>
          <w:lang w:val="fr-CH"/>
        </w:rPr>
        <w:t>,</w:t>
      </w:r>
      <w:r w:rsidRPr="00730563">
        <w:rPr>
          <w:rFonts w:eastAsiaTheme="minorEastAsia"/>
          <w:lang w:val="fr-CH"/>
        </w:rPr>
        <w:t>5-48</w:t>
      </w:r>
      <w:r w:rsidR="00B60D5E">
        <w:rPr>
          <w:rFonts w:eastAsiaTheme="minorEastAsia"/>
          <w:lang w:val="fr-CH"/>
        </w:rPr>
        <w:t>,</w:t>
      </w:r>
      <w:r w:rsidRPr="00730563">
        <w:rPr>
          <w:rFonts w:eastAsiaTheme="minorEastAsia"/>
          <w:lang w:val="fr-CH"/>
        </w:rPr>
        <w:t>9 GHz</w:t>
      </w:r>
    </w:p>
    <w:p w:rsidR="00810047" w:rsidRPr="00730563" w:rsidRDefault="00810047" w:rsidP="00425FA3">
      <w:pPr>
        <w:pStyle w:val="enumlev1"/>
        <w:rPr>
          <w:rFonts w:eastAsiaTheme="minorEastAsia"/>
          <w:lang w:val="fr-CH"/>
        </w:rPr>
      </w:pPr>
      <w:r w:rsidRPr="00730563">
        <w:rPr>
          <w:rFonts w:eastAsiaTheme="minorEastAsia"/>
          <w:lang w:val="fr-CH"/>
        </w:rPr>
        <w:tab/>
        <w:t>66-71 GHz</w:t>
      </w:r>
    </w:p>
    <w:p w:rsidR="00810047" w:rsidRPr="00730563" w:rsidRDefault="00810047" w:rsidP="00425FA3">
      <w:pPr>
        <w:pStyle w:val="enumlev1"/>
        <w:rPr>
          <w:rFonts w:eastAsiaTheme="minorEastAsia"/>
          <w:lang w:val="fr-CH"/>
        </w:rPr>
      </w:pPr>
      <w:r w:rsidRPr="00730563">
        <w:rPr>
          <w:rFonts w:eastAsiaTheme="minorEastAsia"/>
          <w:lang w:val="fr-CH"/>
        </w:rPr>
        <w:tab/>
        <w:t>71-76 GHz</w:t>
      </w:r>
    </w:p>
    <w:p w:rsidR="00810047" w:rsidRPr="00730563" w:rsidRDefault="00810047" w:rsidP="00425FA3">
      <w:pPr>
        <w:pStyle w:val="enumlev1"/>
        <w:rPr>
          <w:rFonts w:eastAsiaTheme="minorEastAsia"/>
          <w:lang w:val="fr-CH"/>
        </w:rPr>
      </w:pPr>
      <w:r w:rsidRPr="00730563">
        <w:rPr>
          <w:rFonts w:eastAsiaTheme="minorEastAsia"/>
          <w:lang w:val="fr-CH"/>
        </w:rPr>
        <w:tab/>
        <w:t>81-86 GHz</w:t>
      </w:r>
    </w:p>
    <w:p w:rsidR="00810047" w:rsidRPr="00730563" w:rsidRDefault="00810047" w:rsidP="00B60D5E">
      <w:pPr>
        <w:rPr>
          <w:rFonts w:eastAsiaTheme="minorEastAsia"/>
          <w:lang w:val="fr-CH"/>
        </w:rPr>
      </w:pPr>
      <w:r w:rsidRPr="00730563">
        <w:rPr>
          <w:rFonts w:eastAsiaTheme="minorEastAsia"/>
          <w:lang w:val="fr-CH"/>
        </w:rPr>
        <w:t>5</w:t>
      </w:r>
      <w:r w:rsidRPr="00730563">
        <w:rPr>
          <w:rFonts w:eastAsiaTheme="minorEastAsia"/>
          <w:lang w:val="fr-CH"/>
        </w:rPr>
        <w:tab/>
      </w:r>
      <w:r w:rsidR="00667324">
        <w:rPr>
          <w:rFonts w:eastAsiaTheme="minorEastAsia"/>
          <w:lang w:val="fr-CH"/>
        </w:rPr>
        <w:t>à étudier également la bande</w:t>
      </w:r>
      <w:r w:rsidRPr="00730563">
        <w:rPr>
          <w:rFonts w:eastAsiaTheme="minorEastAsia"/>
          <w:lang w:val="fr-CH"/>
        </w:rPr>
        <w:t xml:space="preserve"> 24</w:t>
      </w:r>
      <w:r w:rsidR="00B60D5E">
        <w:rPr>
          <w:rFonts w:eastAsiaTheme="minorEastAsia"/>
          <w:lang w:val="fr-CH"/>
        </w:rPr>
        <w:t>,</w:t>
      </w:r>
      <w:r w:rsidRPr="00730563">
        <w:rPr>
          <w:rFonts w:eastAsiaTheme="minorEastAsia"/>
          <w:lang w:val="fr-CH"/>
        </w:rPr>
        <w:t>5-27</w:t>
      </w:r>
      <w:r w:rsidR="00B60D5E">
        <w:rPr>
          <w:rFonts w:eastAsiaTheme="minorEastAsia"/>
          <w:lang w:val="fr-CH"/>
        </w:rPr>
        <w:t>,</w:t>
      </w:r>
      <w:r w:rsidRPr="00730563">
        <w:rPr>
          <w:rFonts w:eastAsiaTheme="minorEastAsia"/>
          <w:lang w:val="fr-CH"/>
        </w:rPr>
        <w:t xml:space="preserve">5 GHz, </w:t>
      </w:r>
      <w:r w:rsidR="0044646D" w:rsidRPr="00730563">
        <w:rPr>
          <w:rFonts w:eastAsiaTheme="minorEastAsia"/>
          <w:lang w:val="fr-CH"/>
        </w:rPr>
        <w:t>compte tenu de la nécessité d</w:t>
      </w:r>
      <w:r w:rsidR="00B979D7">
        <w:rPr>
          <w:rFonts w:eastAsiaTheme="minorEastAsia"/>
          <w:lang w:val="fr-CH"/>
        </w:rPr>
        <w:t>'</w:t>
      </w:r>
      <w:r w:rsidR="0044646D" w:rsidRPr="00730563">
        <w:rPr>
          <w:rFonts w:eastAsiaTheme="minorEastAsia"/>
          <w:lang w:val="fr-CH"/>
        </w:rPr>
        <w:t>assurer la protection des stations terriennes existantes et du déploiement des stations de terriennes de réception futures dans le cadre de l</w:t>
      </w:r>
      <w:r w:rsidR="00B979D7">
        <w:rPr>
          <w:rFonts w:eastAsiaTheme="minorEastAsia"/>
          <w:lang w:val="fr-CH"/>
        </w:rPr>
        <w:t>'</w:t>
      </w:r>
      <w:r w:rsidR="0044646D" w:rsidRPr="00730563">
        <w:rPr>
          <w:rFonts w:eastAsiaTheme="minorEastAsia"/>
          <w:lang w:val="fr-CH"/>
        </w:rPr>
        <w:t>attribut</w:t>
      </w:r>
      <w:r w:rsidR="00667324">
        <w:rPr>
          <w:rFonts w:eastAsiaTheme="minorEastAsia"/>
          <w:lang w:val="fr-CH"/>
        </w:rPr>
        <w:t>ion au SETS (espace vers Terre</w:t>
      </w:r>
      <w:r w:rsidR="00BF2826">
        <w:rPr>
          <w:rFonts w:eastAsiaTheme="minorEastAsia"/>
          <w:lang w:val="fr-CH"/>
        </w:rPr>
        <w:t>)</w:t>
      </w:r>
      <w:r w:rsidR="001000D9">
        <w:rPr>
          <w:rFonts w:eastAsiaTheme="minorEastAsia"/>
          <w:lang w:val="fr-CH"/>
        </w:rPr>
        <w:t xml:space="preserve"> </w:t>
      </w:r>
      <w:r w:rsidR="0044646D" w:rsidRPr="00730563">
        <w:rPr>
          <w:rFonts w:eastAsiaTheme="minorEastAsia"/>
          <w:lang w:val="fr-CH"/>
        </w:rPr>
        <w:t>et au service de recherche spatiale (espace vers Terre</w:t>
      </w:r>
      <w:r w:rsidR="00BF2826">
        <w:rPr>
          <w:rFonts w:eastAsiaTheme="minorEastAsia"/>
          <w:lang w:val="fr-CH"/>
        </w:rPr>
        <w:t>)</w:t>
      </w:r>
      <w:r w:rsidR="0044646D" w:rsidRPr="00730563">
        <w:rPr>
          <w:rFonts w:eastAsiaTheme="minorEastAsia"/>
          <w:lang w:val="fr-CH"/>
        </w:rPr>
        <w:t xml:space="preserve">dans la bande de fréquences </w:t>
      </w:r>
      <w:r w:rsidRPr="00730563">
        <w:rPr>
          <w:lang w:val="fr-CH"/>
        </w:rPr>
        <w:t>25</w:t>
      </w:r>
      <w:r w:rsidR="00B60D5E">
        <w:rPr>
          <w:lang w:val="fr-CH"/>
        </w:rPr>
        <w:t>,</w:t>
      </w:r>
      <w:r w:rsidRPr="00730563">
        <w:rPr>
          <w:lang w:val="fr-CH"/>
        </w:rPr>
        <w:t>5-27 GHz</w:t>
      </w:r>
      <w:r w:rsidR="00667324">
        <w:rPr>
          <w:lang w:val="fr-CH"/>
        </w:rPr>
        <w:t>,</w:t>
      </w:r>
      <w:r w:rsidRPr="00730563">
        <w:rPr>
          <w:lang w:val="fr-CH"/>
        </w:rPr>
        <w:t xml:space="preserve"> </w:t>
      </w:r>
      <w:r w:rsidR="00667324">
        <w:rPr>
          <w:lang w:val="fr-CH"/>
        </w:rPr>
        <w:t>ainsi que</w:t>
      </w:r>
      <w:r w:rsidR="0044646D" w:rsidRPr="00730563">
        <w:rPr>
          <w:lang w:val="fr-CH"/>
        </w:rPr>
        <w:t xml:space="preserve"> des futures stations terriennes d</w:t>
      </w:r>
      <w:r w:rsidR="00B979D7">
        <w:rPr>
          <w:lang w:val="fr-CH"/>
        </w:rPr>
        <w:t>'</w:t>
      </w:r>
      <w:r w:rsidR="0044646D" w:rsidRPr="00730563">
        <w:rPr>
          <w:lang w:val="fr-CH"/>
        </w:rPr>
        <w:t>émission dans le cadre de l</w:t>
      </w:r>
      <w:r w:rsidR="00B979D7">
        <w:rPr>
          <w:lang w:val="fr-CH"/>
        </w:rPr>
        <w:t>'</w:t>
      </w:r>
      <w:r w:rsidR="0044646D" w:rsidRPr="00730563">
        <w:rPr>
          <w:lang w:val="fr-CH"/>
        </w:rPr>
        <w:t>attri</w:t>
      </w:r>
      <w:r w:rsidR="00667324">
        <w:rPr>
          <w:lang w:val="fr-CH"/>
        </w:rPr>
        <w:t xml:space="preserve">bution au SFS faites par la </w:t>
      </w:r>
      <w:r w:rsidR="00F50032">
        <w:rPr>
          <w:lang w:val="fr-CH"/>
        </w:rPr>
        <w:t>CMR</w:t>
      </w:r>
      <w:r w:rsidR="00667324">
        <w:rPr>
          <w:lang w:val="fr-CH"/>
        </w:rPr>
        <w:t>-</w:t>
      </w:r>
      <w:r w:rsidR="0044646D" w:rsidRPr="00730563">
        <w:rPr>
          <w:lang w:val="fr-CH"/>
        </w:rPr>
        <w:t>1</w:t>
      </w:r>
      <w:r w:rsidR="00667324">
        <w:rPr>
          <w:lang w:val="fr-CH"/>
        </w:rPr>
        <w:t xml:space="preserve">2, dans la bande de fréquences </w:t>
      </w:r>
      <w:r w:rsidRPr="00730563">
        <w:rPr>
          <w:lang w:val="fr-CH"/>
        </w:rPr>
        <w:t>24</w:t>
      </w:r>
      <w:r w:rsidR="00B60D5E">
        <w:rPr>
          <w:lang w:val="fr-CH"/>
        </w:rPr>
        <w:t>,</w:t>
      </w:r>
      <w:r w:rsidRPr="00730563">
        <w:rPr>
          <w:lang w:val="fr-CH"/>
        </w:rPr>
        <w:t>65-25</w:t>
      </w:r>
      <w:r w:rsidR="00B60D5E">
        <w:rPr>
          <w:lang w:val="fr-CH"/>
        </w:rPr>
        <w:t>,</w:t>
      </w:r>
      <w:r w:rsidRPr="00730563">
        <w:rPr>
          <w:lang w:val="fr-CH"/>
        </w:rPr>
        <w:t>25 GHz,</w:t>
      </w:r>
    </w:p>
    <w:p w:rsidR="00810047" w:rsidRPr="00730563" w:rsidRDefault="0044646D" w:rsidP="00B60D5E">
      <w:pPr>
        <w:pStyle w:val="Call"/>
        <w:rPr>
          <w:lang w:val="fr-CH"/>
        </w:rPr>
      </w:pPr>
      <w:r w:rsidRPr="00730563">
        <w:rPr>
          <w:lang w:val="fr-CH"/>
        </w:rPr>
        <w:lastRenderedPageBreak/>
        <w:t>décide en outre d</w:t>
      </w:r>
      <w:r w:rsidR="00B979D7">
        <w:rPr>
          <w:lang w:val="fr-CH"/>
        </w:rPr>
        <w:t>'</w:t>
      </w:r>
      <w:r w:rsidRPr="00730563">
        <w:rPr>
          <w:lang w:val="fr-CH"/>
        </w:rPr>
        <w:t>inviter la</w:t>
      </w:r>
      <w:r w:rsidR="00810047" w:rsidRPr="00730563">
        <w:rPr>
          <w:lang w:val="fr-CH"/>
        </w:rPr>
        <w:t xml:space="preserve"> </w:t>
      </w:r>
      <w:r w:rsidR="00F50032">
        <w:rPr>
          <w:lang w:val="fr-CH"/>
        </w:rPr>
        <w:t>CMR</w:t>
      </w:r>
      <w:r w:rsidR="00810047" w:rsidRPr="00730563">
        <w:rPr>
          <w:lang w:val="fr-CH"/>
        </w:rPr>
        <w:t>-19</w:t>
      </w:r>
    </w:p>
    <w:p w:rsidR="00810047" w:rsidRDefault="00B515FB" w:rsidP="00B60D5E">
      <w:pPr>
        <w:keepNext/>
        <w:keepLines/>
        <w:rPr>
          <w:rFonts w:eastAsiaTheme="minorEastAsia"/>
          <w:lang w:val="fr-CH"/>
        </w:rPr>
      </w:pPr>
      <w:r w:rsidRPr="00730563">
        <w:rPr>
          <w:rFonts w:eastAsiaTheme="minorEastAsia"/>
          <w:lang w:val="fr-CH"/>
        </w:rPr>
        <w:t xml:space="preserve">à examiner, en se fondant sur les résultats des études pertinentes, des attributions de fréquences additionnelles au service mobile à titre primaire et à envisager </w:t>
      </w:r>
      <w:r w:rsidR="00667324">
        <w:rPr>
          <w:rFonts w:eastAsiaTheme="minorEastAsia"/>
          <w:lang w:val="fr-CH"/>
        </w:rPr>
        <w:t>d'identifier des</w:t>
      </w:r>
      <w:r w:rsidRPr="00730563">
        <w:rPr>
          <w:rFonts w:eastAsiaTheme="minorEastAsia"/>
          <w:lang w:val="fr-CH"/>
        </w:rPr>
        <w:t xml:space="preserve"> bandes de fréquences pour les Télécommunications mobiles internationales, limitées aux bandes spécifiques énumérées aux points 4 et 5</w:t>
      </w:r>
      <w:r w:rsidR="001505E7">
        <w:rPr>
          <w:rFonts w:eastAsiaTheme="minorEastAsia"/>
          <w:lang w:val="fr-CH"/>
        </w:rPr>
        <w:t xml:space="preserve"> du </w:t>
      </w:r>
      <w:r w:rsidR="001505E7" w:rsidRPr="00B60D5E">
        <w:rPr>
          <w:rFonts w:eastAsiaTheme="minorEastAsia"/>
          <w:i/>
          <w:iCs/>
          <w:lang w:val="fr-CH"/>
        </w:rPr>
        <w:t>décide</w:t>
      </w:r>
      <w:r w:rsidR="00810047" w:rsidRPr="00730563">
        <w:rPr>
          <w:rFonts w:eastAsiaTheme="minorEastAsia"/>
          <w:lang w:val="fr-CH"/>
        </w:rPr>
        <w:t>.</w:t>
      </w:r>
    </w:p>
    <w:p w:rsidR="00B60D5E" w:rsidRPr="00730563" w:rsidRDefault="00B60D5E" w:rsidP="008653E6">
      <w:pPr>
        <w:pStyle w:val="Reasons"/>
        <w:rPr>
          <w:rFonts w:eastAsiaTheme="minorEastAsia"/>
          <w:lang w:val="fr-CH"/>
        </w:rPr>
      </w:pPr>
    </w:p>
    <w:p w:rsidR="00D119C7" w:rsidRPr="00730563" w:rsidRDefault="00D119C7" w:rsidP="00425FA3">
      <w:pPr>
        <w:tabs>
          <w:tab w:val="clear" w:pos="1134"/>
          <w:tab w:val="clear" w:pos="1871"/>
          <w:tab w:val="clear" w:pos="2268"/>
        </w:tabs>
        <w:overflowPunct/>
        <w:autoSpaceDE/>
        <w:autoSpaceDN/>
        <w:adjustRightInd/>
        <w:spacing w:before="0"/>
        <w:textAlignment w:val="auto"/>
        <w:rPr>
          <w:lang w:val="fr-CH"/>
        </w:rPr>
      </w:pPr>
      <w:r w:rsidRPr="00730563">
        <w:rPr>
          <w:lang w:val="fr-CH"/>
        </w:rPr>
        <w:br w:type="page"/>
      </w:r>
    </w:p>
    <w:p w:rsidR="00C03840" w:rsidRDefault="00BA2CDF" w:rsidP="001505E7">
      <w:pPr>
        <w:pStyle w:val="Appendixtitle"/>
        <w:rPr>
          <w:lang w:val="fr-CH"/>
        </w:rPr>
      </w:pPr>
      <w:r w:rsidRPr="00730563">
        <w:rPr>
          <w:lang w:val="fr-CH"/>
        </w:rPr>
        <w:lastRenderedPageBreak/>
        <w:t>Proposition</w:t>
      </w:r>
      <w:r w:rsidR="00406FC2" w:rsidRPr="00730563">
        <w:rPr>
          <w:lang w:val="fr-CH"/>
        </w:rPr>
        <w:t xml:space="preserve"> d</w:t>
      </w:r>
      <w:r w:rsidR="00B979D7">
        <w:rPr>
          <w:lang w:val="fr-CH"/>
        </w:rPr>
        <w:t>'</w:t>
      </w:r>
      <w:r w:rsidRPr="00730563">
        <w:rPr>
          <w:lang w:val="fr-CH"/>
        </w:rPr>
        <w:t>inscription d</w:t>
      </w:r>
      <w:r w:rsidR="00B979D7">
        <w:rPr>
          <w:lang w:val="fr-CH"/>
        </w:rPr>
        <w:t>'</w:t>
      </w:r>
      <w:r w:rsidRPr="00730563">
        <w:rPr>
          <w:lang w:val="fr-CH"/>
        </w:rPr>
        <w:t xml:space="preserve">un point </w:t>
      </w:r>
      <w:r w:rsidR="001505E7">
        <w:rPr>
          <w:lang w:val="fr-CH"/>
        </w:rPr>
        <w:t>à l</w:t>
      </w:r>
      <w:r w:rsidR="00B979D7">
        <w:rPr>
          <w:lang w:val="fr-CH"/>
        </w:rPr>
        <w:t>'</w:t>
      </w:r>
      <w:r w:rsidR="001505E7">
        <w:rPr>
          <w:lang w:val="fr-CH"/>
        </w:rPr>
        <w:t xml:space="preserve">ordre du jour de la </w:t>
      </w:r>
      <w:r w:rsidR="00144B80">
        <w:rPr>
          <w:lang w:val="fr-CH"/>
        </w:rPr>
        <w:t>CMR-19</w:t>
      </w:r>
      <w:r w:rsidR="001505E7">
        <w:rPr>
          <w:lang w:val="fr-CH"/>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8653E6" w:rsidRPr="00405079" w:rsidTr="008653E6">
        <w:tc>
          <w:tcPr>
            <w:tcW w:w="1418" w:type="dxa"/>
            <w:tcBorders>
              <w:top w:val="nil"/>
              <w:left w:val="nil"/>
              <w:bottom w:val="nil"/>
              <w:right w:val="nil"/>
            </w:tcBorders>
          </w:tcPr>
          <w:p w:rsidR="008653E6" w:rsidRPr="008653E6" w:rsidRDefault="008653E6" w:rsidP="008653E6">
            <w:pPr>
              <w:tabs>
                <w:tab w:val="clear" w:pos="1871"/>
                <w:tab w:val="clear" w:pos="2268"/>
                <w:tab w:val="left" w:pos="6123"/>
              </w:tabs>
              <w:rPr>
                <w:b/>
                <w:bCs/>
                <w:i/>
                <w:iCs/>
                <w:lang w:val="fr-CH"/>
              </w:rPr>
            </w:pPr>
            <w:r w:rsidRPr="008653E6">
              <w:rPr>
                <w:b/>
                <w:bCs/>
                <w:i/>
                <w:iCs/>
                <w:lang w:val="fr-CH"/>
              </w:rPr>
              <w:t>Objet:</w:t>
            </w:r>
          </w:p>
        </w:tc>
        <w:tc>
          <w:tcPr>
            <w:tcW w:w="8221" w:type="dxa"/>
            <w:gridSpan w:val="2"/>
            <w:tcBorders>
              <w:top w:val="nil"/>
              <w:left w:val="nil"/>
              <w:bottom w:val="nil"/>
              <w:right w:val="nil"/>
            </w:tcBorders>
          </w:tcPr>
          <w:p w:rsidR="008653E6" w:rsidRDefault="008653E6" w:rsidP="008653E6">
            <w:pPr>
              <w:tabs>
                <w:tab w:val="clear" w:pos="1871"/>
                <w:tab w:val="clear" w:pos="2268"/>
                <w:tab w:val="left" w:pos="6123"/>
              </w:tabs>
              <w:rPr>
                <w:b/>
                <w:bCs/>
                <w:i/>
                <w:iCs/>
                <w:lang w:val="fr-CH"/>
              </w:rPr>
            </w:pPr>
            <w:r w:rsidRPr="00BA2CDF">
              <w:t>Question</w:t>
            </w:r>
            <w:r>
              <w:t>s</w:t>
            </w:r>
            <w:r w:rsidRPr="00BA2CDF">
              <w:t xml:space="preserve"> </w:t>
            </w:r>
            <w:r>
              <w:t>liées</w:t>
            </w:r>
            <w:r w:rsidRPr="00BA2CDF">
              <w:t xml:space="preserve"> aux fréquences pour les applications futures des </w:t>
            </w:r>
            <w:r>
              <w:t xml:space="preserve">Télécommunications </w:t>
            </w:r>
            <w:r w:rsidRPr="00BA2CDF">
              <w:t>mobiles internationales</w:t>
            </w:r>
            <w:r>
              <w:t xml:space="preserve"> (IMT) [EUR-B10-1</w:t>
            </w:r>
            <w:r w:rsidRPr="00D87C5F">
              <w:t>] (</w:t>
            </w:r>
            <w:r>
              <w:t>CMR-15</w:t>
            </w:r>
            <w:r w:rsidRPr="00D87C5F">
              <w:t>).</w:t>
            </w:r>
          </w:p>
        </w:tc>
      </w:tr>
      <w:tr w:rsidR="008653E6" w:rsidRPr="00405079" w:rsidTr="008653E6">
        <w:tc>
          <w:tcPr>
            <w:tcW w:w="1418" w:type="dxa"/>
            <w:tcBorders>
              <w:top w:val="nil"/>
              <w:left w:val="nil"/>
              <w:bottom w:val="single" w:sz="4" w:space="0" w:color="auto"/>
              <w:right w:val="nil"/>
            </w:tcBorders>
          </w:tcPr>
          <w:p w:rsidR="008653E6" w:rsidRPr="008653E6" w:rsidRDefault="008653E6" w:rsidP="008653E6">
            <w:pPr>
              <w:tabs>
                <w:tab w:val="clear" w:pos="1871"/>
                <w:tab w:val="clear" w:pos="2268"/>
                <w:tab w:val="left" w:pos="6123"/>
              </w:tabs>
              <w:rPr>
                <w:b/>
                <w:bCs/>
                <w:i/>
                <w:iCs/>
                <w:lang w:val="fr-CH"/>
              </w:rPr>
            </w:pPr>
            <w:r w:rsidRPr="008653E6">
              <w:rPr>
                <w:b/>
                <w:bCs/>
                <w:i/>
                <w:iCs/>
              </w:rPr>
              <w:t>Origine:</w:t>
            </w:r>
          </w:p>
        </w:tc>
        <w:tc>
          <w:tcPr>
            <w:tcW w:w="8221" w:type="dxa"/>
            <w:gridSpan w:val="2"/>
            <w:tcBorders>
              <w:top w:val="nil"/>
              <w:left w:val="nil"/>
              <w:bottom w:val="single" w:sz="4" w:space="0" w:color="auto"/>
              <w:right w:val="nil"/>
            </w:tcBorders>
          </w:tcPr>
          <w:p w:rsidR="008653E6" w:rsidRDefault="008653E6" w:rsidP="008653E6">
            <w:pPr>
              <w:tabs>
                <w:tab w:val="clear" w:pos="1871"/>
                <w:tab w:val="clear" w:pos="2268"/>
                <w:tab w:val="left" w:pos="6123"/>
              </w:tabs>
              <w:rPr>
                <w:b/>
                <w:bCs/>
                <w:i/>
                <w:iCs/>
                <w:lang w:val="fr-CH"/>
              </w:rPr>
            </w:pPr>
            <w:r w:rsidRPr="00393191">
              <w:rPr>
                <w:lang w:val="en-US"/>
              </w:rPr>
              <w:t>CEPT</w:t>
            </w:r>
          </w:p>
        </w:tc>
      </w:tr>
      <w:tr w:rsidR="008653E6" w:rsidRPr="00405079" w:rsidTr="008653E6">
        <w:tc>
          <w:tcPr>
            <w:tcW w:w="9639" w:type="dxa"/>
            <w:gridSpan w:val="3"/>
            <w:tcBorders>
              <w:top w:val="single" w:sz="4" w:space="0" w:color="auto"/>
              <w:left w:val="nil"/>
              <w:bottom w:val="single" w:sz="4" w:space="0" w:color="auto"/>
              <w:right w:val="nil"/>
            </w:tcBorders>
          </w:tcPr>
          <w:p w:rsidR="008653E6" w:rsidRDefault="008653E6" w:rsidP="008653E6">
            <w:pPr>
              <w:tabs>
                <w:tab w:val="clear" w:pos="1871"/>
                <w:tab w:val="clear" w:pos="2268"/>
                <w:tab w:val="left" w:pos="6123"/>
              </w:tabs>
            </w:pPr>
            <w:r>
              <w:rPr>
                <w:b/>
                <w:bCs/>
                <w:i/>
                <w:iCs/>
                <w:lang w:val="fr-CH"/>
              </w:rPr>
              <w:t>Proposition:</w:t>
            </w:r>
          </w:p>
          <w:p w:rsidR="008653E6" w:rsidRPr="0030395A" w:rsidRDefault="008653E6" w:rsidP="008653E6">
            <w:pPr>
              <w:tabs>
                <w:tab w:val="clear" w:pos="1871"/>
                <w:tab w:val="clear" w:pos="2268"/>
                <w:tab w:val="left" w:pos="6123"/>
              </w:tabs>
              <w:spacing w:before="80"/>
              <w:rPr>
                <w:b/>
                <w:bCs/>
                <w:i/>
                <w:iCs/>
                <w:lang w:val="fr-CH"/>
              </w:rPr>
            </w:pPr>
            <w:r>
              <w:t>e</w:t>
            </w:r>
            <w:r w:rsidRPr="00B42483">
              <w:t xml:space="preserve">nvisager des attributions de fréquences additionnelles au </w:t>
            </w:r>
            <w:r w:rsidRPr="00DD4258">
              <w:t>service</w:t>
            </w:r>
            <w:r w:rsidRPr="00B42483">
              <w:t xml:space="preserve"> mobile à titre primaire et identifier des bandes de fréquences pour les </w:t>
            </w:r>
            <w:r>
              <w:t xml:space="preserve">Télécommunications mobiles internationales, conformément à la Résolution </w:t>
            </w:r>
            <w:r w:rsidRPr="001505E7">
              <w:rPr>
                <w:rStyle w:val="Artdef"/>
                <w:b w:val="0"/>
                <w:bCs/>
                <w:lang w:val="fr-CH"/>
              </w:rPr>
              <w:t>[EUR-B10-1] (</w:t>
            </w:r>
            <w:r>
              <w:rPr>
                <w:rStyle w:val="Artdef"/>
                <w:b w:val="0"/>
                <w:bCs/>
                <w:lang w:val="fr-CH"/>
              </w:rPr>
              <w:t>CMR-15</w:t>
            </w:r>
            <w:r w:rsidRPr="001505E7">
              <w:rPr>
                <w:rStyle w:val="Artdef"/>
                <w:b w:val="0"/>
                <w:bCs/>
                <w:lang w:val="fr-CH"/>
              </w:rPr>
              <w:t>)</w:t>
            </w:r>
            <w:r>
              <w:rPr>
                <w:rStyle w:val="Artdef"/>
                <w:b w:val="0"/>
                <w:bCs/>
                <w:lang w:val="fr-CH"/>
              </w:rPr>
              <w:t>.</w:t>
            </w:r>
          </w:p>
        </w:tc>
      </w:tr>
      <w:tr w:rsidR="008653E6" w:rsidRPr="00393191" w:rsidTr="008653E6">
        <w:tc>
          <w:tcPr>
            <w:tcW w:w="9639" w:type="dxa"/>
            <w:gridSpan w:val="3"/>
            <w:tcBorders>
              <w:top w:val="single" w:sz="4" w:space="0" w:color="auto"/>
              <w:left w:val="nil"/>
              <w:bottom w:val="single" w:sz="4" w:space="0" w:color="auto"/>
              <w:right w:val="nil"/>
            </w:tcBorders>
          </w:tcPr>
          <w:p w:rsidR="008653E6" w:rsidRPr="00730563" w:rsidRDefault="008653E6" w:rsidP="008653E6">
            <w:pPr>
              <w:rPr>
                <w:b/>
                <w:bCs/>
                <w:i/>
                <w:iCs/>
                <w:lang w:val="fr-CH"/>
              </w:rPr>
            </w:pPr>
            <w:r w:rsidRPr="00730563">
              <w:rPr>
                <w:b/>
                <w:bCs/>
                <w:i/>
                <w:iCs/>
                <w:lang w:val="fr-CH"/>
              </w:rPr>
              <w:t>Contexte/motif:</w:t>
            </w:r>
          </w:p>
          <w:p w:rsidR="008653E6" w:rsidRPr="00730563" w:rsidRDefault="008653E6" w:rsidP="008653E6">
            <w:pPr>
              <w:keepNext/>
              <w:rPr>
                <w:lang w:val="fr-CH"/>
              </w:rPr>
            </w:pPr>
            <w:r w:rsidRPr="00730563">
              <w:rPr>
                <w:lang w:val="fr-CH"/>
              </w:rPr>
              <w:t>Jusqu</w:t>
            </w:r>
            <w:r>
              <w:rPr>
                <w:lang w:val="fr-CH"/>
              </w:rPr>
              <w:t>'</w:t>
            </w:r>
            <w:r w:rsidRPr="00730563">
              <w:rPr>
                <w:lang w:val="fr-CH"/>
              </w:rPr>
              <w:t xml:space="preserve">à présent, on considérait généralement que les </w:t>
            </w:r>
            <w:r>
              <w:rPr>
                <w:lang w:val="fr-CH"/>
              </w:rPr>
              <w:t>gamme</w:t>
            </w:r>
            <w:r w:rsidRPr="00730563">
              <w:rPr>
                <w:lang w:val="fr-CH"/>
              </w:rPr>
              <w:t>s de fréquences qui convenaient pour les technologies IMT de Terre étaient</w:t>
            </w:r>
            <w:r>
              <w:rPr>
                <w:color w:val="000000"/>
              </w:rPr>
              <w:t xml:space="preserve"> les bandes au-dessous de 6 GHz</w:t>
            </w:r>
            <w:r w:rsidRPr="00730563">
              <w:rPr>
                <w:lang w:val="fr-CH"/>
              </w:rPr>
              <w:t xml:space="preserve"> (ce point de vu</w:t>
            </w:r>
            <w:r>
              <w:rPr>
                <w:lang w:val="fr-CH"/>
              </w:rPr>
              <w:t xml:space="preserve">e est corroboré dans le Rapport </w:t>
            </w:r>
            <w:r w:rsidRPr="00730563">
              <w:rPr>
                <w:lang w:val="fr-CH"/>
              </w:rPr>
              <w:t>UIT</w:t>
            </w:r>
            <w:r>
              <w:rPr>
                <w:lang w:val="fr-CH"/>
              </w:rPr>
              <w:t>-</w:t>
            </w:r>
            <w:r w:rsidRPr="00730563">
              <w:rPr>
                <w:lang w:val="fr-CH"/>
              </w:rPr>
              <w:t>R M.</w:t>
            </w:r>
            <w:r>
              <w:rPr>
                <w:lang w:val="fr-CH"/>
              </w:rPr>
              <w:t>2074</w:t>
            </w:r>
            <w:r w:rsidRPr="00730563">
              <w:rPr>
                <w:lang w:val="fr-CH"/>
              </w:rPr>
              <w:t xml:space="preserve">). Les bandes déjà identifiées pour les IMT offrent </w:t>
            </w:r>
            <w:r>
              <w:rPr>
                <w:lang w:val="fr-CH"/>
              </w:rPr>
              <w:t>des</w:t>
            </w:r>
            <w:r w:rsidRPr="00730563">
              <w:rPr>
                <w:lang w:val="fr-CH"/>
              </w:rPr>
              <w:t xml:space="preserve"> possibilités</w:t>
            </w:r>
            <w:r>
              <w:rPr>
                <w:lang w:val="fr-CH"/>
              </w:rPr>
              <w:t xml:space="preserve"> très diverses, notamment celle</w:t>
            </w:r>
            <w:r w:rsidRPr="00730563">
              <w:rPr>
                <w:lang w:val="fr-CH"/>
              </w:rPr>
              <w:t xml:space="preserve"> de pouvoir desservir des zones é</w:t>
            </w:r>
            <w:r>
              <w:rPr>
                <w:lang w:val="fr-CH"/>
              </w:rPr>
              <w:t>tendues (par exemple les bandes</w:t>
            </w:r>
            <w:r w:rsidRPr="00730563">
              <w:rPr>
                <w:lang w:val="fr-CH"/>
              </w:rPr>
              <w:t xml:space="preserve"> au voisinage des 1 GHz</w:t>
            </w:r>
            <w:r>
              <w:rPr>
                <w:lang w:val="fr-CH"/>
              </w:rPr>
              <w:t>)</w:t>
            </w:r>
            <w:r w:rsidRPr="00730563">
              <w:rPr>
                <w:lang w:val="fr-CH"/>
              </w:rPr>
              <w:t xml:space="preserve"> et d</w:t>
            </w:r>
            <w:r>
              <w:rPr>
                <w:lang w:val="fr-CH"/>
              </w:rPr>
              <w:t>'</w:t>
            </w:r>
            <w:r w:rsidRPr="00730563">
              <w:rPr>
                <w:lang w:val="fr-CH"/>
              </w:rPr>
              <w:t>offrir une capacité plus ciblée (par exemple les différentes bandes s</w:t>
            </w:r>
            <w:r>
              <w:rPr>
                <w:lang w:val="fr-CH"/>
              </w:rPr>
              <w:t>ituées entre 1 GHz environ et 3,</w:t>
            </w:r>
            <w:r w:rsidRPr="00730563">
              <w:rPr>
                <w:lang w:val="fr-CH"/>
              </w:rPr>
              <w:t>5</w:t>
            </w:r>
            <w:r>
              <w:rPr>
                <w:lang w:val="fr-CH"/>
              </w:rPr>
              <w:t xml:space="preserve"> GHz</w:t>
            </w:r>
            <w:r w:rsidRPr="00730563">
              <w:rPr>
                <w:lang w:val="fr-CH"/>
              </w:rPr>
              <w:t xml:space="preserve"> environ). Ces bandes, et celles susceptible</w:t>
            </w:r>
            <w:r>
              <w:rPr>
                <w:lang w:val="fr-CH"/>
              </w:rPr>
              <w:t>s d'être identifiées par la CMR-</w:t>
            </w:r>
            <w:r w:rsidRPr="00730563">
              <w:rPr>
                <w:lang w:val="fr-CH"/>
              </w:rPr>
              <w:t>15 au titre du point 1.1 de l</w:t>
            </w:r>
            <w:r>
              <w:rPr>
                <w:lang w:val="fr-CH"/>
              </w:rPr>
              <w:t>'</w:t>
            </w:r>
            <w:r w:rsidRPr="00730563">
              <w:rPr>
                <w:lang w:val="fr-CH"/>
              </w:rPr>
              <w:t>ordre du jour, sont nécessaires pour répondre à la demande</w:t>
            </w:r>
            <w:r>
              <w:rPr>
                <w:lang w:val="fr-CH"/>
              </w:rPr>
              <w:t xml:space="preserve"> </w:t>
            </w:r>
            <w:r w:rsidRPr="001505E7">
              <w:rPr>
                <w:lang w:val="fr-CH"/>
              </w:rPr>
              <w:t>–</w:t>
            </w:r>
            <w:r>
              <w:rPr>
                <w:lang w:val="fr-CH"/>
              </w:rPr>
              <w:t xml:space="preserve"> </w:t>
            </w:r>
            <w:r w:rsidRPr="00730563">
              <w:rPr>
                <w:lang w:val="fr-CH"/>
              </w:rPr>
              <w:t xml:space="preserve">actuelle et prévue </w:t>
            </w:r>
            <w:r w:rsidRPr="000B098E">
              <w:rPr>
                <w:lang w:val="fr-CH"/>
              </w:rPr>
              <w:t>–</w:t>
            </w:r>
            <w:r>
              <w:rPr>
                <w:lang w:val="fr-CH"/>
              </w:rPr>
              <w:t xml:space="preserve"> </w:t>
            </w:r>
            <w:r w:rsidRPr="00730563">
              <w:rPr>
                <w:lang w:val="fr-CH"/>
              </w:rPr>
              <w:t>de service</w:t>
            </w:r>
            <w:r>
              <w:rPr>
                <w:lang w:val="fr-CH"/>
              </w:rPr>
              <w:t>s</w:t>
            </w:r>
            <w:r w:rsidRPr="00730563">
              <w:rPr>
                <w:lang w:val="fr-CH"/>
              </w:rPr>
              <w:t xml:space="preserve"> large bande mobile </w:t>
            </w:r>
            <w:r>
              <w:rPr>
                <w:lang w:val="fr-CH"/>
              </w:rPr>
              <w:t xml:space="preserve">jusqu'en </w:t>
            </w:r>
            <w:r w:rsidRPr="00730563">
              <w:rPr>
                <w:lang w:val="fr-CH"/>
              </w:rPr>
              <w:t>2020</w:t>
            </w:r>
            <w:r>
              <w:rPr>
                <w:lang w:val="fr-CH"/>
              </w:rPr>
              <w:t xml:space="preserve"> environ</w:t>
            </w:r>
            <w:r w:rsidRPr="00730563">
              <w:rPr>
                <w:lang w:val="fr-CH"/>
              </w:rPr>
              <w:t xml:space="preserve">. </w:t>
            </w:r>
            <w:r>
              <w:rPr>
                <w:lang w:val="fr-CH"/>
              </w:rPr>
              <w:t xml:space="preserve">Les travaux sur </w:t>
            </w:r>
            <w:r>
              <w:rPr>
                <w:color w:val="000000"/>
              </w:rPr>
              <w:t>les estimations de la quantité de spectre nécessaire</w:t>
            </w:r>
            <w:r w:rsidRPr="00730563">
              <w:rPr>
                <w:lang w:val="fr-CH"/>
              </w:rPr>
              <w:t xml:space="preserve"> ont été actualisés et sont présentés dans le</w:t>
            </w:r>
            <w:r>
              <w:rPr>
                <w:color w:val="000000"/>
              </w:rPr>
              <w:t xml:space="preserve"> Rapport UIT-R</w:t>
            </w:r>
            <w:r>
              <w:rPr>
                <w:lang w:val="fr-CH"/>
              </w:rPr>
              <w:t xml:space="preserve"> M.2290</w:t>
            </w:r>
            <w:r>
              <w:rPr>
                <w:color w:val="000000"/>
              </w:rPr>
              <w:t>, approuvé dernièrement par la</w:t>
            </w:r>
            <w:r w:rsidRPr="00730563">
              <w:rPr>
                <w:lang w:val="fr-CH"/>
              </w:rPr>
              <w:t xml:space="preserve"> CE</w:t>
            </w:r>
            <w:r>
              <w:rPr>
                <w:lang w:val="fr-CH"/>
              </w:rPr>
              <w:t> </w:t>
            </w:r>
            <w:r w:rsidRPr="00730563">
              <w:rPr>
                <w:lang w:val="fr-CH"/>
              </w:rPr>
              <w:t>5</w:t>
            </w:r>
            <w:r>
              <w:rPr>
                <w:color w:val="000000"/>
              </w:rPr>
              <w:t xml:space="preserve"> de l'UIT-R</w:t>
            </w:r>
            <w:r>
              <w:rPr>
                <w:lang w:val="fr-CH"/>
              </w:rPr>
              <w:t>.</w:t>
            </w:r>
          </w:p>
          <w:p w:rsidR="008653E6" w:rsidRPr="00730563" w:rsidRDefault="008653E6" w:rsidP="008653E6">
            <w:pPr>
              <w:keepNext/>
              <w:rPr>
                <w:lang w:val="fr-CH"/>
              </w:rPr>
            </w:pPr>
            <w:r w:rsidRPr="00730563">
              <w:rPr>
                <w:lang w:val="fr-CH"/>
              </w:rPr>
              <w:t>Lors de l</w:t>
            </w:r>
            <w:r>
              <w:rPr>
                <w:lang w:val="fr-CH"/>
              </w:rPr>
              <w:t>'</w:t>
            </w:r>
            <w:r w:rsidRPr="00730563">
              <w:rPr>
                <w:lang w:val="fr-CH"/>
              </w:rPr>
              <w:t>élaboration de ce rapport, de nouvelles proposi</w:t>
            </w:r>
            <w:r>
              <w:rPr>
                <w:lang w:val="fr-CH"/>
              </w:rPr>
              <w:t xml:space="preserve">tions ont été formulées en vue </w:t>
            </w:r>
            <w:r w:rsidRPr="00730563">
              <w:rPr>
                <w:lang w:val="fr-CH"/>
              </w:rPr>
              <w:t>d</w:t>
            </w:r>
            <w:r>
              <w:rPr>
                <w:lang w:val="fr-CH"/>
              </w:rPr>
              <w:t>'</w:t>
            </w:r>
            <w:r w:rsidRPr="00730563">
              <w:rPr>
                <w:lang w:val="fr-CH"/>
              </w:rPr>
              <w:t>offrir une capacité nettement supérieure, en mode plus ubiquitaire et selon une répartition plus homogène</w:t>
            </w:r>
            <w:r>
              <w:rPr>
                <w:lang w:val="fr-CH"/>
              </w:rPr>
              <w:t>,</w:t>
            </w:r>
            <w:r w:rsidRPr="00730563">
              <w:rPr>
                <w:lang w:val="fr-CH"/>
              </w:rPr>
              <w:t xml:space="preserve"> sur l</w:t>
            </w:r>
            <w:r>
              <w:rPr>
                <w:lang w:val="fr-CH"/>
              </w:rPr>
              <w:t>'</w:t>
            </w:r>
            <w:r w:rsidRPr="00730563">
              <w:rPr>
                <w:lang w:val="fr-CH"/>
              </w:rPr>
              <w:t xml:space="preserve">ensemble de la </w:t>
            </w:r>
            <w:r>
              <w:rPr>
                <w:lang w:val="fr-CH"/>
              </w:rPr>
              <w:t>zone couverte par un réseau IMT</w:t>
            </w:r>
            <w:r w:rsidRPr="00730563">
              <w:rPr>
                <w:lang w:val="fr-CH"/>
              </w:rPr>
              <w:t>.</w:t>
            </w:r>
            <w:r>
              <w:rPr>
                <w:lang w:val="fr-CH"/>
              </w:rPr>
              <w:t xml:space="preserve"> On considère qu'un impératif fondamental est</w:t>
            </w:r>
            <w:r w:rsidRPr="00730563">
              <w:rPr>
                <w:lang w:val="fr-CH"/>
              </w:rPr>
              <w:t xml:space="preserve"> d</w:t>
            </w:r>
            <w:r>
              <w:rPr>
                <w:lang w:val="fr-CH"/>
              </w:rPr>
              <w:t>'</w:t>
            </w:r>
            <w:r w:rsidRPr="00730563">
              <w:rPr>
                <w:lang w:val="fr-CH"/>
              </w:rPr>
              <w:t>am</w:t>
            </w:r>
            <w:r>
              <w:rPr>
                <w:lang w:val="fr-CH"/>
              </w:rPr>
              <w:t>éliorer la qualité d'expérience</w:t>
            </w:r>
            <w:r w:rsidRPr="00730563">
              <w:rPr>
                <w:lang w:val="fr-CH"/>
              </w:rPr>
              <w:t xml:space="preserve"> (QoE</w:t>
            </w:r>
            <w:r>
              <w:rPr>
                <w:lang w:val="fr-CH"/>
              </w:rPr>
              <w:t>)</w:t>
            </w:r>
            <w:r w:rsidRPr="00730563">
              <w:rPr>
                <w:lang w:val="fr-CH"/>
              </w:rPr>
              <w:t xml:space="preserve"> pour les utilisateurs de réseaux mobiles</w:t>
            </w:r>
            <w:r>
              <w:rPr>
                <w:lang w:val="fr-CH"/>
              </w:rPr>
              <w:t>,</w:t>
            </w:r>
            <w:r w:rsidRPr="00730563">
              <w:rPr>
                <w:lang w:val="fr-CH"/>
              </w:rPr>
              <w:t xml:space="preserve"> en augmentant les débits binaires dans de plus grandes parties de la zone de couverture. En outre, on considère qu</w:t>
            </w:r>
            <w:r>
              <w:rPr>
                <w:lang w:val="fr-CH"/>
              </w:rPr>
              <w:t>'</w:t>
            </w:r>
            <w:r w:rsidRPr="00730563">
              <w:rPr>
                <w:lang w:val="fr-CH"/>
              </w:rPr>
              <w:t>une probabilité d</w:t>
            </w:r>
            <w:r>
              <w:rPr>
                <w:lang w:val="fr-CH"/>
              </w:rPr>
              <w:t>'</w:t>
            </w:r>
            <w:r w:rsidRPr="00730563">
              <w:rPr>
                <w:lang w:val="fr-CH"/>
              </w:rPr>
              <w:t>interruption</w:t>
            </w:r>
            <w:r>
              <w:rPr>
                <w:lang w:val="fr-CH"/>
              </w:rPr>
              <w:t xml:space="preserve"> </w:t>
            </w:r>
            <w:r w:rsidRPr="00730563">
              <w:rPr>
                <w:lang w:val="fr-CH"/>
              </w:rPr>
              <w:t xml:space="preserve">plus faible (meilleure </w:t>
            </w:r>
            <w:r>
              <w:rPr>
                <w:lang w:val="fr-CH"/>
              </w:rPr>
              <w:t xml:space="preserve">couverture), un </w:t>
            </w:r>
            <w:r w:rsidRPr="00730563">
              <w:rPr>
                <w:lang w:val="fr-CH"/>
              </w:rPr>
              <w:t>plus faible temps de latence, la possibilité d</w:t>
            </w:r>
            <w:r>
              <w:rPr>
                <w:lang w:val="fr-CH"/>
              </w:rPr>
              <w:t>'</w:t>
            </w:r>
            <w:r w:rsidRPr="00730563">
              <w:rPr>
                <w:lang w:val="fr-CH"/>
              </w:rPr>
              <w:t>offrir une plus large gamme de dispositifs, une baisse des coûts du déploie</w:t>
            </w:r>
            <w:r>
              <w:rPr>
                <w:lang w:val="fr-CH"/>
              </w:rPr>
              <w:t xml:space="preserve">ment des infrastructures, une </w:t>
            </w:r>
            <w:r w:rsidRPr="00730563">
              <w:rPr>
                <w:lang w:val="fr-CH"/>
              </w:rPr>
              <w:t>souplesse et une modularité accrues et une amélioration de l</w:t>
            </w:r>
            <w:r>
              <w:rPr>
                <w:lang w:val="fr-CH"/>
              </w:rPr>
              <w:t>'</w:t>
            </w:r>
            <w:r w:rsidRPr="00730563">
              <w:rPr>
                <w:lang w:val="fr-CH"/>
              </w:rPr>
              <w:t>autonomie des batteries sont importants dans l</w:t>
            </w:r>
            <w:r>
              <w:rPr>
                <w:lang w:val="fr-CH"/>
              </w:rPr>
              <w:t>'</w:t>
            </w:r>
            <w:r w:rsidRPr="00730563">
              <w:rPr>
                <w:lang w:val="fr-CH"/>
              </w:rPr>
              <w:t>o</w:t>
            </w:r>
            <w:r>
              <w:rPr>
                <w:lang w:val="fr-CH"/>
              </w:rPr>
              <w:t>ptique d'améliorations futures</w:t>
            </w:r>
            <w:r w:rsidRPr="00730563">
              <w:rPr>
                <w:lang w:val="fr-CH"/>
              </w:rPr>
              <w:t>.</w:t>
            </w:r>
          </w:p>
          <w:p w:rsidR="008653E6" w:rsidRPr="00730563" w:rsidRDefault="008653E6" w:rsidP="008653E6">
            <w:pPr>
              <w:keepNext/>
              <w:rPr>
                <w:lang w:val="fr-CH"/>
              </w:rPr>
            </w:pPr>
            <w:r w:rsidRPr="00730563">
              <w:rPr>
                <w:lang w:val="fr-CH"/>
              </w:rPr>
              <w:t>L</w:t>
            </w:r>
            <w:r>
              <w:rPr>
                <w:lang w:val="fr-CH"/>
              </w:rPr>
              <w:t>'</w:t>
            </w:r>
            <w:r w:rsidRPr="00730563">
              <w:rPr>
                <w:lang w:val="fr-CH"/>
              </w:rPr>
              <w:t>objectif de ce nouveau niveau de qualité de fonctionnement est de pouvoir offrir une qualité d</w:t>
            </w:r>
            <w:r>
              <w:rPr>
                <w:lang w:val="fr-CH"/>
              </w:rPr>
              <w:t>'</w:t>
            </w:r>
            <w:r w:rsidRPr="00730563">
              <w:rPr>
                <w:lang w:val="fr-CH"/>
              </w:rPr>
              <w:t>exp</w:t>
            </w:r>
            <w:r>
              <w:rPr>
                <w:lang w:val="fr-CH"/>
              </w:rPr>
              <w:t>érience utilisateur homogène de</w:t>
            </w:r>
            <w:r w:rsidRPr="00730563">
              <w:rPr>
                <w:lang w:val="fr-CH"/>
              </w:rPr>
              <w:t xml:space="preserve"> 1</w:t>
            </w:r>
            <w:r>
              <w:rPr>
                <w:lang w:val="fr-CH"/>
              </w:rPr>
              <w:t> </w:t>
            </w:r>
            <w:r w:rsidRPr="00730563">
              <w:rPr>
                <w:lang w:val="fr-CH"/>
              </w:rPr>
              <w:t>Gbit/s dans l</w:t>
            </w:r>
            <w:r>
              <w:rPr>
                <w:lang w:val="fr-CH"/>
              </w:rPr>
              <w:t>'</w:t>
            </w:r>
            <w:r w:rsidRPr="00730563">
              <w:rPr>
                <w:lang w:val="fr-CH"/>
              </w:rPr>
              <w:t>ens</w:t>
            </w:r>
            <w:r>
              <w:rPr>
                <w:lang w:val="fr-CH"/>
              </w:rPr>
              <w:t>emble d'une zone de couverture. P</w:t>
            </w:r>
            <w:r w:rsidRPr="00730563">
              <w:rPr>
                <w:lang w:val="fr-CH"/>
              </w:rPr>
              <w:t>our y pa</w:t>
            </w:r>
            <w:r>
              <w:rPr>
                <w:lang w:val="fr-CH"/>
              </w:rPr>
              <w:t xml:space="preserve">rvenir, une solution consisterait à </w:t>
            </w:r>
            <w:r w:rsidRPr="00730563">
              <w:rPr>
                <w:lang w:val="fr-CH"/>
              </w:rPr>
              <w:t>utiliser des systèmes</w:t>
            </w:r>
            <w:r>
              <w:rPr>
                <w:lang w:val="fr-CH"/>
              </w:rPr>
              <w:t xml:space="preserve"> à plus grande largeur de bande</w:t>
            </w:r>
            <w:r w:rsidRPr="00730563">
              <w:rPr>
                <w:lang w:val="fr-CH"/>
              </w:rPr>
              <w:t xml:space="preserve">. Ces systèmes </w:t>
            </w:r>
            <w:r>
              <w:rPr>
                <w:lang w:val="fr-CH"/>
              </w:rPr>
              <w:t>devront fonctionner</w:t>
            </w:r>
            <w:r w:rsidRPr="00730563">
              <w:rPr>
                <w:lang w:val="fr-CH"/>
              </w:rPr>
              <w:t xml:space="preserve"> dans les bandes de fréquences supérieures qui n</w:t>
            </w:r>
            <w:r>
              <w:rPr>
                <w:lang w:val="fr-CH"/>
              </w:rPr>
              <w:t>'</w:t>
            </w:r>
            <w:r w:rsidRPr="00730563">
              <w:rPr>
                <w:lang w:val="fr-CH"/>
              </w:rPr>
              <w:t xml:space="preserve">avaient </w:t>
            </w:r>
            <w:r>
              <w:rPr>
                <w:lang w:val="fr-CH"/>
              </w:rPr>
              <w:t>auparavant pas été jugées appropriées</w:t>
            </w:r>
            <w:r w:rsidRPr="00730563">
              <w:rPr>
                <w:lang w:val="fr-CH"/>
              </w:rPr>
              <w:t xml:space="preserve"> pour les communications des réseaux mobiles ce</w:t>
            </w:r>
            <w:r>
              <w:rPr>
                <w:lang w:val="fr-CH"/>
              </w:rPr>
              <w:t>llulaires</w:t>
            </w:r>
            <w:r w:rsidRPr="00730563">
              <w:rPr>
                <w:lang w:val="fr-CH"/>
              </w:rPr>
              <w:t>.</w:t>
            </w:r>
          </w:p>
          <w:p w:rsidR="008653E6" w:rsidRPr="00730563" w:rsidRDefault="008653E6" w:rsidP="008653E6">
            <w:pPr>
              <w:spacing w:before="100"/>
              <w:rPr>
                <w:b/>
                <w:i/>
                <w:lang w:val="fr-CH"/>
              </w:rPr>
            </w:pPr>
            <w:r w:rsidRPr="00730563">
              <w:rPr>
                <w:lang w:val="fr-CH"/>
              </w:rPr>
              <w:t>Ce point de l</w:t>
            </w:r>
            <w:r>
              <w:rPr>
                <w:lang w:val="fr-CH"/>
              </w:rPr>
              <w:t>'</w:t>
            </w:r>
            <w:r w:rsidRPr="00730563">
              <w:rPr>
                <w:lang w:val="fr-CH"/>
              </w:rPr>
              <w:t xml:space="preserve">ordre du jour vise à </w:t>
            </w:r>
            <w:r>
              <w:rPr>
                <w:lang w:val="fr-CH"/>
              </w:rPr>
              <w:t>répondre aux</w:t>
            </w:r>
            <w:r w:rsidRPr="00730563">
              <w:rPr>
                <w:lang w:val="fr-CH"/>
              </w:rPr>
              <w:t xml:space="preserve"> besoins futurs </w:t>
            </w:r>
            <w:r>
              <w:rPr>
                <w:color w:val="000000"/>
              </w:rPr>
              <w:t>de fréquences harmonisées à l'échelle mondiale</w:t>
            </w:r>
            <w:r w:rsidRPr="00730563">
              <w:rPr>
                <w:lang w:val="fr-CH"/>
              </w:rPr>
              <w:t xml:space="preserve"> pour les Télécommunications mobiles international</w:t>
            </w:r>
            <w:r>
              <w:rPr>
                <w:lang w:val="fr-CH"/>
              </w:rPr>
              <w:t>e</w:t>
            </w:r>
            <w:r w:rsidRPr="00730563">
              <w:rPr>
                <w:lang w:val="fr-CH"/>
              </w:rPr>
              <w:t xml:space="preserve">s en </w:t>
            </w:r>
            <w:r>
              <w:rPr>
                <w:lang w:val="fr-CH"/>
              </w:rPr>
              <w:t>mettant en évidence</w:t>
            </w:r>
            <w:r w:rsidRPr="00730563">
              <w:rPr>
                <w:lang w:val="fr-CH"/>
              </w:rPr>
              <w:t xml:space="preserve"> une </w:t>
            </w:r>
            <w:r>
              <w:rPr>
                <w:lang w:val="fr-CH"/>
              </w:rPr>
              <w:t>quantité de spectre bien définie</w:t>
            </w:r>
            <w:r w:rsidRPr="00730563">
              <w:rPr>
                <w:lang w:val="fr-CH"/>
              </w:rPr>
              <w:t xml:space="preserve"> dans les bandes supérie</w:t>
            </w:r>
            <w:r>
              <w:rPr>
                <w:lang w:val="fr-CH"/>
              </w:rPr>
              <w:t xml:space="preserve">ures à </w:t>
            </w:r>
            <w:r w:rsidRPr="00730563">
              <w:rPr>
                <w:lang w:val="fr-CH"/>
              </w:rPr>
              <w:t>6 GHz, tout en étudiant le meilleur moyen de protéger l</w:t>
            </w:r>
            <w:r>
              <w:rPr>
                <w:lang w:val="fr-CH"/>
              </w:rPr>
              <w:t>'</w:t>
            </w:r>
            <w:r w:rsidRPr="00730563">
              <w:rPr>
                <w:lang w:val="fr-CH"/>
              </w:rPr>
              <w:t>utilisation existante dans ces bandes.</w:t>
            </w:r>
          </w:p>
        </w:tc>
      </w:tr>
      <w:tr w:rsidR="008653E6" w:rsidRPr="00714540" w:rsidTr="008653E6">
        <w:tc>
          <w:tcPr>
            <w:tcW w:w="9639" w:type="dxa"/>
            <w:gridSpan w:val="3"/>
            <w:tcBorders>
              <w:top w:val="single" w:sz="4" w:space="0" w:color="auto"/>
              <w:left w:val="nil"/>
              <w:bottom w:val="single" w:sz="4" w:space="0" w:color="auto"/>
              <w:right w:val="nil"/>
            </w:tcBorders>
          </w:tcPr>
          <w:p w:rsidR="008653E6" w:rsidRPr="00A31EA2" w:rsidRDefault="008653E6" w:rsidP="008653E6">
            <w:r w:rsidRPr="0014454C">
              <w:rPr>
                <w:b/>
                <w:bCs/>
                <w:i/>
                <w:iCs/>
                <w:lang w:val="fr-CH"/>
              </w:rPr>
              <w:t>Services de radiocommunication concernés</w:t>
            </w:r>
            <w:r w:rsidRPr="00A31EA2">
              <w:t>:</w:t>
            </w:r>
          </w:p>
          <w:p w:rsidR="008653E6" w:rsidRPr="00714540" w:rsidRDefault="008653E6" w:rsidP="008653E6">
            <w:pPr>
              <w:spacing w:before="100"/>
              <w:rPr>
                <w:b/>
                <w:i/>
              </w:rPr>
            </w:pPr>
            <w:r>
              <w:t>Services fixe, mobile, d'amateur</w:t>
            </w:r>
          </w:p>
        </w:tc>
      </w:tr>
      <w:tr w:rsidR="008653E6" w:rsidRPr="00714540" w:rsidTr="008653E6">
        <w:tc>
          <w:tcPr>
            <w:tcW w:w="9639" w:type="dxa"/>
            <w:gridSpan w:val="3"/>
            <w:tcBorders>
              <w:top w:val="single" w:sz="4" w:space="0" w:color="auto"/>
              <w:left w:val="nil"/>
              <w:bottom w:val="single" w:sz="4" w:space="0" w:color="auto"/>
              <w:right w:val="nil"/>
            </w:tcBorders>
          </w:tcPr>
          <w:p w:rsidR="008653E6" w:rsidRPr="00A31EA2" w:rsidRDefault="008653E6" w:rsidP="008653E6">
            <w:r w:rsidRPr="0014454C">
              <w:rPr>
                <w:b/>
                <w:bCs/>
                <w:i/>
                <w:iCs/>
                <w:lang w:val="fr-CH"/>
              </w:rPr>
              <w:t>Indication des difficultés éventuelles</w:t>
            </w:r>
            <w:r w:rsidRPr="0014454C">
              <w:rPr>
                <w:b/>
                <w:bCs/>
                <w:i/>
                <w:iCs/>
              </w:rPr>
              <w:t>:</w:t>
            </w:r>
          </w:p>
          <w:p w:rsidR="008653E6" w:rsidRPr="00714540" w:rsidRDefault="008653E6" w:rsidP="008653E6">
            <w:pPr>
              <w:spacing w:before="80"/>
              <w:rPr>
                <w:b/>
                <w:i/>
              </w:rPr>
            </w:pPr>
            <w:r w:rsidRPr="00730563">
              <w:rPr>
                <w:lang w:val="fr-CH"/>
              </w:rPr>
              <w:t>Les bandes proposées sont largement utilisées par les services de Terre à titre primaire avec égalité des droits</w:t>
            </w:r>
          </w:p>
        </w:tc>
      </w:tr>
      <w:tr w:rsidR="008653E6" w:rsidRPr="009E4745" w:rsidTr="008653E6">
        <w:tc>
          <w:tcPr>
            <w:tcW w:w="9639" w:type="dxa"/>
            <w:gridSpan w:val="3"/>
            <w:tcBorders>
              <w:top w:val="single" w:sz="4" w:space="0" w:color="auto"/>
              <w:left w:val="nil"/>
              <w:bottom w:val="single" w:sz="4" w:space="0" w:color="auto"/>
              <w:right w:val="nil"/>
            </w:tcBorders>
          </w:tcPr>
          <w:p w:rsidR="008653E6" w:rsidRPr="00A31EA2" w:rsidRDefault="008653E6" w:rsidP="008653E6">
            <w:r w:rsidRPr="003A2ED4">
              <w:rPr>
                <w:b/>
                <w:bCs/>
                <w:i/>
                <w:iCs/>
                <w:lang w:val="fr-CH"/>
              </w:rPr>
              <w:lastRenderedPageBreak/>
              <w:t>Etudes précédentes ou en cours sur la question</w:t>
            </w:r>
            <w:r w:rsidRPr="003A2ED4">
              <w:rPr>
                <w:b/>
                <w:bCs/>
                <w:i/>
                <w:iCs/>
              </w:rPr>
              <w:t>:</w:t>
            </w:r>
          </w:p>
          <w:p w:rsidR="008653E6" w:rsidRPr="009E4745" w:rsidRDefault="008653E6" w:rsidP="008653E6">
            <w:pPr>
              <w:spacing w:before="80"/>
              <w:rPr>
                <w:b/>
                <w:i/>
                <w:lang w:val="fr-CH"/>
              </w:rPr>
            </w:pPr>
            <w:r w:rsidRPr="00730563">
              <w:rPr>
                <w:rFonts w:eastAsiaTheme="minorEastAsia"/>
                <w:lang w:val="fr-CH"/>
              </w:rPr>
              <w:t xml:space="preserve">Certaines études ont déjà été entreprises et se poursuivent actuellement au sein du </w:t>
            </w:r>
            <w:r>
              <w:rPr>
                <w:rFonts w:eastAsiaTheme="minorEastAsia" w:hint="eastAsia"/>
                <w:lang w:val="fr-CH"/>
              </w:rPr>
              <w:t>GT 5D</w:t>
            </w:r>
            <w:r>
              <w:rPr>
                <w:rFonts w:eastAsiaTheme="minorEastAsia"/>
                <w:lang w:val="fr-CH"/>
              </w:rPr>
              <w:t xml:space="preserve"> </w:t>
            </w:r>
            <w:r w:rsidRPr="00730563">
              <w:rPr>
                <w:rFonts w:eastAsiaTheme="minorEastAsia"/>
                <w:lang w:val="fr-CH"/>
              </w:rPr>
              <w:t>de l</w:t>
            </w:r>
            <w:r>
              <w:rPr>
                <w:rFonts w:eastAsiaTheme="minorEastAsia"/>
                <w:lang w:val="fr-CH"/>
              </w:rPr>
              <w:t>'</w:t>
            </w:r>
            <w:r w:rsidRPr="00730563">
              <w:rPr>
                <w:rFonts w:eastAsiaTheme="minorEastAsia"/>
                <w:lang w:val="fr-CH"/>
              </w:rPr>
              <w:t>UIT-R</w:t>
            </w:r>
            <w:r>
              <w:rPr>
                <w:rFonts w:eastAsiaTheme="minorEastAsia"/>
                <w:lang w:val="fr-CH"/>
              </w:rPr>
              <w:t>.</w:t>
            </w:r>
          </w:p>
        </w:tc>
      </w:tr>
      <w:tr w:rsidR="008653E6" w:rsidRPr="00393191" w:rsidTr="008653E6">
        <w:tc>
          <w:tcPr>
            <w:tcW w:w="4539" w:type="dxa"/>
            <w:gridSpan w:val="2"/>
            <w:tcBorders>
              <w:top w:val="single" w:sz="4" w:space="0" w:color="auto"/>
              <w:left w:val="nil"/>
              <w:bottom w:val="single" w:sz="4" w:space="0" w:color="auto"/>
              <w:right w:val="single" w:sz="4" w:space="0" w:color="auto"/>
            </w:tcBorders>
          </w:tcPr>
          <w:p w:rsidR="008653E6" w:rsidRPr="00A31EA2" w:rsidRDefault="008653E6" w:rsidP="008653E6">
            <w:r w:rsidRPr="0014454C">
              <w:rPr>
                <w:b/>
                <w:bCs/>
                <w:i/>
                <w:iCs/>
                <w:lang w:val="fr-CH"/>
              </w:rPr>
              <w:t>Etudes devant être réalisées par</w:t>
            </w:r>
            <w:r w:rsidRPr="0014454C">
              <w:rPr>
                <w:b/>
                <w:bCs/>
                <w:i/>
                <w:iCs/>
              </w:rPr>
              <w:t>:</w:t>
            </w:r>
          </w:p>
          <w:p w:rsidR="008653E6" w:rsidRPr="009E4745" w:rsidRDefault="008653E6" w:rsidP="008653E6">
            <w:pPr>
              <w:spacing w:before="80"/>
              <w:rPr>
                <w:b/>
                <w:i/>
                <w:color w:val="000000"/>
                <w:lang w:val="fr-CH"/>
              </w:rPr>
            </w:pPr>
            <w:r>
              <w:t>CE 5 de l'UIT-R</w:t>
            </w:r>
          </w:p>
        </w:tc>
        <w:tc>
          <w:tcPr>
            <w:tcW w:w="5100" w:type="dxa"/>
            <w:tcBorders>
              <w:top w:val="single" w:sz="4" w:space="0" w:color="auto"/>
              <w:left w:val="single" w:sz="4" w:space="0" w:color="auto"/>
              <w:bottom w:val="single" w:sz="4" w:space="0" w:color="auto"/>
              <w:right w:val="nil"/>
            </w:tcBorders>
          </w:tcPr>
          <w:p w:rsidR="008653E6" w:rsidRPr="00730563" w:rsidRDefault="008653E6" w:rsidP="008653E6">
            <w:pPr>
              <w:rPr>
                <w:b/>
                <w:bCs/>
                <w:i/>
                <w:iCs/>
                <w:lang w:val="fr-CH"/>
              </w:rPr>
            </w:pPr>
            <w:r w:rsidRPr="00504217">
              <w:rPr>
                <w:b/>
                <w:bCs/>
                <w:i/>
                <w:iCs/>
              </w:rPr>
              <w:t>avec la participation de</w:t>
            </w:r>
            <w:r w:rsidRPr="00730563">
              <w:rPr>
                <w:b/>
                <w:bCs/>
                <w:i/>
                <w:iCs/>
                <w:lang w:val="fr-CH"/>
              </w:rPr>
              <w:t>:</w:t>
            </w:r>
          </w:p>
          <w:p w:rsidR="008653E6" w:rsidRPr="00730563" w:rsidRDefault="008653E6" w:rsidP="008653E6">
            <w:pPr>
              <w:spacing w:before="80"/>
              <w:rPr>
                <w:b/>
                <w:i/>
                <w:color w:val="000000"/>
                <w:lang w:val="fr-CH"/>
              </w:rPr>
            </w:pPr>
            <w:r w:rsidRPr="00730563">
              <w:rPr>
                <w:lang w:val="fr-CH"/>
              </w:rPr>
              <w:t>Administrations et Membres du Secteur de l</w:t>
            </w:r>
            <w:r>
              <w:rPr>
                <w:lang w:val="fr-CH"/>
              </w:rPr>
              <w:t>'</w:t>
            </w:r>
            <w:r w:rsidRPr="00730563">
              <w:rPr>
                <w:lang w:val="fr-CH"/>
              </w:rPr>
              <w:t>UIT</w:t>
            </w:r>
            <w:r>
              <w:rPr>
                <w:lang w:val="fr-CH"/>
              </w:rPr>
              <w:noBreakHyphen/>
            </w:r>
            <w:r w:rsidRPr="00730563">
              <w:rPr>
                <w:lang w:val="fr-CH"/>
              </w:rPr>
              <w:t>R</w:t>
            </w:r>
          </w:p>
        </w:tc>
      </w:tr>
      <w:tr w:rsidR="008653E6" w:rsidRPr="009E4745" w:rsidTr="008653E6">
        <w:tc>
          <w:tcPr>
            <w:tcW w:w="9639" w:type="dxa"/>
            <w:gridSpan w:val="3"/>
            <w:tcBorders>
              <w:top w:val="single" w:sz="4" w:space="0" w:color="auto"/>
              <w:left w:val="nil"/>
              <w:bottom w:val="single" w:sz="4" w:space="0" w:color="auto"/>
              <w:right w:val="nil"/>
            </w:tcBorders>
          </w:tcPr>
          <w:p w:rsidR="008653E6" w:rsidRPr="00A31EA2" w:rsidRDefault="008653E6" w:rsidP="008653E6">
            <w:r w:rsidRPr="0014454C">
              <w:rPr>
                <w:b/>
                <w:bCs/>
                <w:i/>
                <w:iCs/>
                <w:lang w:val="fr-CH"/>
              </w:rPr>
              <w:t>Commissions d'études de l'UIT-R concernées</w:t>
            </w:r>
            <w:r w:rsidRPr="00A31EA2">
              <w:rPr>
                <w:b/>
                <w:bCs/>
                <w:i/>
                <w:iCs/>
              </w:rPr>
              <w:t>:</w:t>
            </w:r>
          </w:p>
          <w:p w:rsidR="008653E6" w:rsidRPr="009E4745" w:rsidRDefault="008653E6" w:rsidP="008653E6">
            <w:pPr>
              <w:rPr>
                <w:b/>
                <w:i/>
                <w:lang w:val="fr-CH"/>
              </w:rPr>
            </w:pPr>
            <w:r>
              <w:t xml:space="preserve">CE </w:t>
            </w:r>
            <w:r w:rsidRPr="00DD3AF9">
              <w:t>5</w:t>
            </w:r>
            <w:r>
              <w:t>, CE 4, CE 6, CE 7</w:t>
            </w:r>
          </w:p>
        </w:tc>
      </w:tr>
      <w:tr w:rsidR="008653E6" w:rsidRPr="00393191" w:rsidTr="008653E6">
        <w:tc>
          <w:tcPr>
            <w:tcW w:w="9639" w:type="dxa"/>
            <w:gridSpan w:val="3"/>
            <w:tcBorders>
              <w:top w:val="single" w:sz="4" w:space="0" w:color="auto"/>
              <w:left w:val="nil"/>
              <w:bottom w:val="single" w:sz="4" w:space="0" w:color="auto"/>
              <w:right w:val="nil"/>
            </w:tcBorders>
          </w:tcPr>
          <w:p w:rsidR="008653E6" w:rsidRPr="00A31EA2" w:rsidRDefault="008653E6" w:rsidP="008653E6">
            <w:r w:rsidRPr="0014454C">
              <w:rPr>
                <w:b/>
                <w:bCs/>
                <w:i/>
                <w:iCs/>
              </w:rPr>
              <w:t>Répercussions au niveau des ressources de l'UIT, y compris incidences financières</w:t>
            </w:r>
            <w:r w:rsidRPr="0014454C">
              <w:rPr>
                <w:b/>
                <w:bCs/>
                <w:i/>
                <w:iCs/>
              </w:rPr>
              <w:br/>
              <w:t>(voir le numéro 126 de la Convention):</w:t>
            </w:r>
          </w:p>
          <w:p w:rsidR="008653E6" w:rsidRPr="00730563" w:rsidRDefault="008653E6" w:rsidP="008653E6">
            <w:pPr>
              <w:rPr>
                <w:b/>
                <w:i/>
                <w:lang w:val="fr-CH"/>
              </w:rPr>
            </w:pPr>
            <w:r>
              <w:rPr>
                <w:color w:val="000000"/>
              </w:rPr>
              <w:t>Ce point proposé de l'ordre du jour sera étudié conformément aux procédures normales ainsi qu'au budget prévu de l'UIT-R</w:t>
            </w:r>
          </w:p>
        </w:tc>
      </w:tr>
      <w:tr w:rsidR="008653E6" w:rsidRPr="009E4745" w:rsidTr="008653E6">
        <w:tc>
          <w:tcPr>
            <w:tcW w:w="4539" w:type="dxa"/>
            <w:gridSpan w:val="2"/>
            <w:tcBorders>
              <w:top w:val="single" w:sz="4" w:space="0" w:color="auto"/>
              <w:left w:val="nil"/>
              <w:bottom w:val="single" w:sz="4" w:space="0" w:color="auto"/>
              <w:right w:val="nil"/>
            </w:tcBorders>
          </w:tcPr>
          <w:p w:rsidR="008653E6" w:rsidRPr="009E4745" w:rsidRDefault="008653E6" w:rsidP="008653E6">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8653E6" w:rsidRPr="00A31EA2" w:rsidRDefault="008653E6" w:rsidP="008653E6">
            <w:r w:rsidRPr="00695ABE">
              <w:rPr>
                <w:b/>
                <w:bCs/>
                <w:i/>
                <w:iCs/>
              </w:rPr>
              <w:t>Proposition soumise par plusieurs pays:</w:t>
            </w:r>
            <w:r w:rsidRPr="008C0EDF">
              <w:rPr>
                <w:b/>
                <w:bCs/>
              </w:rPr>
              <w:t xml:space="preserve"> </w:t>
            </w:r>
            <w:r w:rsidRPr="009217A6">
              <w:t>Non</w:t>
            </w:r>
          </w:p>
          <w:p w:rsidR="008653E6" w:rsidRPr="00E013FE" w:rsidRDefault="008653E6" w:rsidP="008653E6">
            <w:r w:rsidRPr="003A2ED4">
              <w:rPr>
                <w:b/>
                <w:bCs/>
                <w:i/>
                <w:iCs/>
                <w:lang w:val="fr-CH"/>
              </w:rPr>
              <w:t>Nombre de pays:</w:t>
            </w:r>
          </w:p>
        </w:tc>
      </w:tr>
      <w:tr w:rsidR="008653E6" w:rsidRPr="00714540" w:rsidTr="008653E6">
        <w:tc>
          <w:tcPr>
            <w:tcW w:w="9639" w:type="dxa"/>
            <w:gridSpan w:val="3"/>
            <w:tcBorders>
              <w:top w:val="single" w:sz="4" w:space="0" w:color="auto"/>
              <w:left w:val="nil"/>
              <w:bottom w:val="nil"/>
              <w:right w:val="nil"/>
            </w:tcBorders>
          </w:tcPr>
          <w:p w:rsidR="008653E6" w:rsidRPr="00A31EA2" w:rsidRDefault="008653E6" w:rsidP="008653E6">
            <w:r w:rsidRPr="003A2ED4">
              <w:rPr>
                <w:b/>
                <w:bCs/>
                <w:i/>
                <w:iCs/>
              </w:rPr>
              <w:t>Observations</w:t>
            </w:r>
          </w:p>
          <w:p w:rsidR="008653E6" w:rsidRPr="00714540" w:rsidRDefault="008653E6" w:rsidP="008653E6">
            <w:pPr>
              <w:spacing w:before="80"/>
              <w:rPr>
                <w:b/>
                <w:i/>
              </w:rPr>
            </w:pPr>
            <w:r>
              <w:t>Néant</w:t>
            </w:r>
          </w:p>
        </w:tc>
      </w:tr>
    </w:tbl>
    <w:p w:rsidR="008653E6" w:rsidRDefault="008653E6" w:rsidP="008653E6">
      <w:pPr>
        <w:rPr>
          <w:lang w:val="fr-CH"/>
        </w:rPr>
      </w:pPr>
    </w:p>
    <w:p w:rsidR="00D119C7" w:rsidRDefault="00D119C7"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Pr="00405079" w:rsidRDefault="00A846F5" w:rsidP="00425FA3">
      <w:pPr>
        <w:pStyle w:val="Proposal"/>
        <w:rPr>
          <w:lang w:val="fr-CH"/>
        </w:rPr>
      </w:pPr>
      <w:r w:rsidRPr="00405079">
        <w:rPr>
          <w:lang w:val="fr-CH"/>
        </w:rPr>
        <w:lastRenderedPageBreak/>
        <w:t>ADD</w:t>
      </w:r>
      <w:r w:rsidRPr="00405079">
        <w:rPr>
          <w:lang w:val="fr-CH"/>
        </w:rPr>
        <w:tab/>
        <w:t>EUR/9A25/4</w:t>
      </w:r>
    </w:p>
    <w:p w:rsidR="006B1FD4" w:rsidRPr="008653E6" w:rsidRDefault="001261B0" w:rsidP="008653E6">
      <w:pPr>
        <w:pStyle w:val="ResNo"/>
        <w:rPr>
          <w:lang w:val="fr-CH"/>
        </w:rPr>
      </w:pPr>
      <w:r w:rsidRPr="008653E6">
        <w:rPr>
          <w:lang w:val="fr-CH"/>
        </w:rPr>
        <w:t xml:space="preserve">PROJET DE NOUVELLE </w:t>
      </w:r>
      <w:r w:rsidR="00405079" w:rsidRPr="008653E6">
        <w:rPr>
          <w:lang w:val="fr-CH"/>
        </w:rPr>
        <w:t>Ré</w:t>
      </w:r>
      <w:r w:rsidR="00D119C7" w:rsidRPr="008653E6">
        <w:rPr>
          <w:lang w:val="fr-CH"/>
        </w:rPr>
        <w:t>SOLUTION [EUR-C10</w:t>
      </w:r>
      <w:r w:rsidR="00A846F5" w:rsidRPr="008653E6">
        <w:rPr>
          <w:lang w:val="fr-CH"/>
        </w:rPr>
        <w:t>-2]</w:t>
      </w:r>
      <w:r w:rsidR="00D119C7" w:rsidRPr="008653E6">
        <w:rPr>
          <w:lang w:val="fr-CH"/>
        </w:rPr>
        <w:t xml:space="preserve"> (</w:t>
      </w:r>
      <w:r w:rsidR="003228B3" w:rsidRPr="008653E6">
        <w:rPr>
          <w:lang w:val="fr-CH"/>
        </w:rPr>
        <w:t>CMR-15</w:t>
      </w:r>
      <w:r w:rsidR="00D119C7" w:rsidRPr="008653E6">
        <w:rPr>
          <w:lang w:val="fr-CH"/>
        </w:rPr>
        <w:t>)</w:t>
      </w:r>
    </w:p>
    <w:p w:rsidR="00393191" w:rsidRPr="00730563" w:rsidRDefault="00872994" w:rsidP="00425FA3">
      <w:pPr>
        <w:pStyle w:val="Restitle"/>
        <w:rPr>
          <w:lang w:val="fr-CH"/>
        </w:rPr>
      </w:pPr>
      <w:r w:rsidRPr="00730563">
        <w:rPr>
          <w:lang w:val="fr-CH"/>
        </w:rPr>
        <w:t xml:space="preserve">Attribution à titre primaire de la bande 50-54 MHz au service </w:t>
      </w:r>
      <w:r w:rsidR="00B979D7">
        <w:rPr>
          <w:lang w:val="fr-CH"/>
        </w:rPr>
        <w:br/>
      </w:r>
      <w:r w:rsidRPr="00730563">
        <w:rPr>
          <w:lang w:val="fr-CH"/>
        </w:rPr>
        <w:t>d</w:t>
      </w:r>
      <w:r w:rsidR="00B979D7">
        <w:rPr>
          <w:lang w:val="fr-CH"/>
        </w:rPr>
        <w:t>'</w:t>
      </w:r>
      <w:r w:rsidRPr="00730563">
        <w:rPr>
          <w:lang w:val="fr-CH"/>
        </w:rPr>
        <w:t>amateur</w:t>
      </w:r>
      <w:r w:rsidR="003228B3">
        <w:rPr>
          <w:lang w:val="fr-CH"/>
        </w:rPr>
        <w:t xml:space="preserve"> </w:t>
      </w:r>
      <w:r w:rsidRPr="00730563">
        <w:rPr>
          <w:lang w:val="fr-CH"/>
        </w:rPr>
        <w:t>dans la Région</w:t>
      </w:r>
      <w:r w:rsidR="003228B3">
        <w:rPr>
          <w:lang w:val="fr-CH"/>
        </w:rPr>
        <w:t xml:space="preserve"> </w:t>
      </w:r>
      <w:r w:rsidR="00393191" w:rsidRPr="00730563">
        <w:rPr>
          <w:lang w:val="fr-CH"/>
        </w:rPr>
        <w:t>1</w:t>
      </w:r>
    </w:p>
    <w:p w:rsidR="00393191" w:rsidRPr="00730563" w:rsidRDefault="001261B0" w:rsidP="00425FA3">
      <w:pPr>
        <w:pStyle w:val="Normalaftertitle"/>
        <w:rPr>
          <w:lang w:val="fr-CH"/>
        </w:rPr>
      </w:pPr>
      <w:r w:rsidRPr="00730563">
        <w:rPr>
          <w:lang w:val="fr-CH"/>
        </w:rPr>
        <w:t xml:space="preserve">La Conférence mondiale des radiocommunications </w:t>
      </w:r>
      <w:r w:rsidR="00393191" w:rsidRPr="00730563">
        <w:rPr>
          <w:lang w:val="fr-CH"/>
        </w:rPr>
        <w:t>(</w:t>
      </w:r>
      <w:r w:rsidRPr="00730563">
        <w:rPr>
          <w:lang w:val="fr-CH"/>
        </w:rPr>
        <w:t>Genève</w:t>
      </w:r>
      <w:r w:rsidR="003228B3">
        <w:rPr>
          <w:lang w:val="fr-CH"/>
        </w:rPr>
        <w:t>,</w:t>
      </w:r>
      <w:r w:rsidR="00393191" w:rsidRPr="00730563">
        <w:rPr>
          <w:lang w:val="fr-CH"/>
        </w:rPr>
        <w:t xml:space="preserve"> 2015),</w:t>
      </w:r>
    </w:p>
    <w:p w:rsidR="00393191" w:rsidRPr="00730563" w:rsidRDefault="00393191" w:rsidP="00425FA3">
      <w:pPr>
        <w:pStyle w:val="Call"/>
        <w:rPr>
          <w:lang w:val="fr-CH"/>
        </w:rPr>
      </w:pPr>
      <w:r w:rsidRPr="00730563">
        <w:rPr>
          <w:lang w:val="fr-CH"/>
        </w:rPr>
        <w:t>consid</w:t>
      </w:r>
      <w:r w:rsidR="00003EF7" w:rsidRPr="00730563">
        <w:rPr>
          <w:lang w:val="fr-CH"/>
        </w:rPr>
        <w:t>érant</w:t>
      </w:r>
    </w:p>
    <w:p w:rsidR="00393191" w:rsidRPr="00730563" w:rsidRDefault="00393191" w:rsidP="00425FA3">
      <w:pPr>
        <w:rPr>
          <w:lang w:val="fr-CH"/>
        </w:rPr>
      </w:pPr>
      <w:r w:rsidRPr="00B979D7">
        <w:rPr>
          <w:i/>
          <w:iCs/>
          <w:lang w:val="fr-CH"/>
        </w:rPr>
        <w:t>a)</w:t>
      </w:r>
      <w:r w:rsidRPr="00730563">
        <w:rPr>
          <w:lang w:val="fr-CH"/>
        </w:rPr>
        <w:tab/>
      </w:r>
      <w:r w:rsidR="00405079">
        <w:rPr>
          <w:color w:val="000000"/>
        </w:rPr>
        <w:t xml:space="preserve">qu'il est </w:t>
      </w:r>
      <w:r w:rsidR="00003EF7">
        <w:rPr>
          <w:color w:val="000000"/>
        </w:rPr>
        <w:t>souhaitable d'utiliser des bandes harmonisées</w:t>
      </w:r>
      <w:r w:rsidR="002F0F9D">
        <w:rPr>
          <w:color w:val="000000"/>
        </w:rPr>
        <w:t>, en partie ou en totalité,</w:t>
      </w:r>
      <w:r w:rsidR="00003EF7">
        <w:rPr>
          <w:color w:val="000000"/>
        </w:rPr>
        <w:t xml:space="preserve"> à l'échelle mondiale </w:t>
      </w:r>
      <w:r w:rsidR="002F0F9D">
        <w:rPr>
          <w:color w:val="000000"/>
        </w:rPr>
        <w:t>pour les s</w:t>
      </w:r>
      <w:r w:rsidR="00405079">
        <w:rPr>
          <w:color w:val="000000"/>
        </w:rPr>
        <w:t>ervices de radiocommunication</w:t>
      </w:r>
      <w:r w:rsidR="00F50032">
        <w:rPr>
          <w:color w:val="000000"/>
        </w:rPr>
        <w:t>, afin</w:t>
      </w:r>
      <w:r w:rsidR="00003EF7">
        <w:rPr>
          <w:color w:val="000000"/>
        </w:rPr>
        <w:t xml:space="preserve"> de parvenir à </w:t>
      </w:r>
      <w:r w:rsidR="00F50032">
        <w:rPr>
          <w:color w:val="000000"/>
        </w:rPr>
        <w:t>l'</w:t>
      </w:r>
      <w:r w:rsidR="00F50032" w:rsidRPr="002F0F9D">
        <w:t>interopérabilité</w:t>
      </w:r>
      <w:r w:rsidR="00405079">
        <w:rPr>
          <w:color w:val="000000"/>
        </w:rPr>
        <w:t xml:space="preserve"> internationale</w:t>
      </w:r>
      <w:r w:rsidR="00003EF7">
        <w:rPr>
          <w:color w:val="000000"/>
        </w:rPr>
        <w:t xml:space="preserve"> et de tirer parti des économies d'échelle;</w:t>
      </w:r>
    </w:p>
    <w:p w:rsidR="00393191" w:rsidRPr="00730563" w:rsidRDefault="00393191" w:rsidP="00425FA3">
      <w:pPr>
        <w:rPr>
          <w:lang w:val="fr-CH"/>
        </w:rPr>
      </w:pPr>
      <w:r w:rsidRPr="00B979D7">
        <w:rPr>
          <w:i/>
          <w:iCs/>
          <w:lang w:val="fr-CH"/>
        </w:rPr>
        <w:t>b)</w:t>
      </w:r>
      <w:r w:rsidRPr="00730563">
        <w:rPr>
          <w:lang w:val="fr-CH"/>
        </w:rPr>
        <w:tab/>
      </w:r>
      <w:r w:rsidR="002F0F9D" w:rsidRPr="00730563">
        <w:rPr>
          <w:lang w:val="fr-CH"/>
        </w:rPr>
        <w:t>qu</w:t>
      </w:r>
      <w:r w:rsidR="00B979D7">
        <w:rPr>
          <w:lang w:val="fr-CH"/>
        </w:rPr>
        <w:t>'</w:t>
      </w:r>
      <w:r w:rsidR="002F0F9D" w:rsidRPr="00730563">
        <w:rPr>
          <w:lang w:val="fr-CH"/>
        </w:rPr>
        <w:t xml:space="preserve">il est nécessaire de définir les conditions de partage, </w:t>
      </w:r>
      <w:r w:rsidR="002F0F9D">
        <w:rPr>
          <w:color w:val="000000"/>
        </w:rPr>
        <w:t>lorsqu'on examine des bandes</w:t>
      </w:r>
      <w:r w:rsidR="003228B3">
        <w:rPr>
          <w:lang w:val="fr-CH"/>
        </w:rPr>
        <w:t xml:space="preserve"> </w:t>
      </w:r>
      <w:r w:rsidR="002F0F9D" w:rsidRPr="00730563">
        <w:rPr>
          <w:lang w:val="fr-CH"/>
        </w:rPr>
        <w:t xml:space="preserve">de fréquences </w:t>
      </w:r>
      <w:r w:rsidR="002F0F9D">
        <w:rPr>
          <w:color w:val="000000"/>
        </w:rPr>
        <w:t xml:space="preserve">en vue de faire des attributions additionnelles </w:t>
      </w:r>
      <w:r w:rsidR="00405079">
        <w:rPr>
          <w:color w:val="000000"/>
        </w:rPr>
        <w:t xml:space="preserve">possibles </w:t>
      </w:r>
      <w:r w:rsidR="002F0F9D">
        <w:rPr>
          <w:color w:val="000000"/>
        </w:rPr>
        <w:t>à un service</w:t>
      </w:r>
      <w:r w:rsidR="00405079">
        <w:rPr>
          <w:lang w:val="fr-CH"/>
        </w:rPr>
        <w:t>;</w:t>
      </w:r>
    </w:p>
    <w:p w:rsidR="00393191" w:rsidRPr="00730563" w:rsidRDefault="00393191" w:rsidP="00425FA3">
      <w:pPr>
        <w:rPr>
          <w:lang w:val="fr-CH"/>
        </w:rPr>
      </w:pPr>
      <w:r w:rsidRPr="00B979D7">
        <w:rPr>
          <w:i/>
          <w:iCs/>
          <w:lang w:val="fr-CH"/>
        </w:rPr>
        <w:t>c</w:t>
      </w:r>
      <w:r w:rsidR="00BF2826" w:rsidRPr="00B979D7">
        <w:rPr>
          <w:i/>
          <w:iCs/>
          <w:lang w:val="fr-CH"/>
        </w:rPr>
        <w:t>)</w:t>
      </w:r>
      <w:r w:rsidRPr="00730563">
        <w:rPr>
          <w:lang w:val="fr-CH"/>
        </w:rPr>
        <w:tab/>
      </w:r>
      <w:r w:rsidR="00AB4373" w:rsidRPr="00730563">
        <w:rPr>
          <w:lang w:val="fr-CH"/>
        </w:rPr>
        <w:t>que l</w:t>
      </w:r>
      <w:r w:rsidR="00B979D7">
        <w:rPr>
          <w:lang w:val="fr-CH"/>
        </w:rPr>
        <w:t>'</w:t>
      </w:r>
      <w:r w:rsidR="00AB4373" w:rsidRPr="00730563">
        <w:rPr>
          <w:lang w:val="fr-CH"/>
        </w:rPr>
        <w:t xml:space="preserve">utilisation de la bande de fréquences 47-68 MHz par le service de radiodiffusion a sensiblement diminué, </w:t>
      </w:r>
    </w:p>
    <w:p w:rsidR="00393191" w:rsidRPr="00730563" w:rsidRDefault="00393191" w:rsidP="00425FA3">
      <w:pPr>
        <w:pStyle w:val="Call"/>
        <w:rPr>
          <w:lang w:val="fr-CH"/>
        </w:rPr>
      </w:pPr>
      <w:r w:rsidRPr="00730563">
        <w:rPr>
          <w:lang w:val="fr-CH"/>
        </w:rPr>
        <w:t>not</w:t>
      </w:r>
      <w:r w:rsidR="00AB4373" w:rsidRPr="00730563">
        <w:rPr>
          <w:lang w:val="fr-CH"/>
        </w:rPr>
        <w:t>ant</w:t>
      </w:r>
    </w:p>
    <w:p w:rsidR="00393191" w:rsidRPr="00730563" w:rsidRDefault="00393191" w:rsidP="00425FA3">
      <w:pPr>
        <w:rPr>
          <w:lang w:val="fr-CH"/>
        </w:rPr>
      </w:pPr>
      <w:r w:rsidRPr="00B979D7">
        <w:rPr>
          <w:i/>
          <w:iCs/>
          <w:lang w:val="fr-CH"/>
        </w:rPr>
        <w:t>a)</w:t>
      </w:r>
      <w:r w:rsidRPr="00730563">
        <w:rPr>
          <w:lang w:val="fr-CH"/>
        </w:rPr>
        <w:tab/>
      </w:r>
      <w:r w:rsidR="00AB4373" w:rsidRPr="00730563">
        <w:rPr>
          <w:lang w:val="fr-CH"/>
        </w:rPr>
        <w:t>que la bande de fréquences 50-54 MHz est</w:t>
      </w:r>
      <w:r w:rsidR="003228B3">
        <w:rPr>
          <w:lang w:val="fr-CH"/>
        </w:rPr>
        <w:t xml:space="preserve"> </w:t>
      </w:r>
      <w:r w:rsidR="00AB4373" w:rsidRPr="00730563">
        <w:rPr>
          <w:lang w:val="fr-CH"/>
        </w:rPr>
        <w:t>essentiellement a</w:t>
      </w:r>
      <w:r w:rsidR="00405079">
        <w:rPr>
          <w:lang w:val="fr-CH"/>
        </w:rPr>
        <w:t>ttribuée au service d</w:t>
      </w:r>
      <w:r w:rsidR="00B979D7">
        <w:rPr>
          <w:lang w:val="fr-CH"/>
        </w:rPr>
        <w:t>'</w:t>
      </w:r>
      <w:r w:rsidR="00405079">
        <w:rPr>
          <w:lang w:val="fr-CH"/>
        </w:rPr>
        <w:t xml:space="preserve">amateur </w:t>
      </w:r>
      <w:r w:rsidR="00AB4373" w:rsidRPr="00730563">
        <w:rPr>
          <w:lang w:val="fr-CH"/>
        </w:rPr>
        <w:t>à t</w:t>
      </w:r>
      <w:r w:rsidR="00405079">
        <w:rPr>
          <w:lang w:val="fr-CH"/>
        </w:rPr>
        <w:t>itre primaire dans les Régions 2 et 3</w:t>
      </w:r>
      <w:r w:rsidRPr="00730563">
        <w:rPr>
          <w:lang w:val="fr-CH"/>
        </w:rPr>
        <w:t>;</w:t>
      </w:r>
    </w:p>
    <w:p w:rsidR="00393191" w:rsidRPr="00730563" w:rsidRDefault="00393191" w:rsidP="00425FA3">
      <w:pPr>
        <w:rPr>
          <w:lang w:val="fr-CH"/>
        </w:rPr>
      </w:pPr>
      <w:r w:rsidRPr="00B979D7">
        <w:rPr>
          <w:i/>
          <w:iCs/>
          <w:lang w:val="fr-CH"/>
        </w:rPr>
        <w:t>b)</w:t>
      </w:r>
      <w:r w:rsidRPr="00730563">
        <w:rPr>
          <w:lang w:val="fr-CH"/>
        </w:rPr>
        <w:tab/>
      </w:r>
      <w:r w:rsidR="00AB4373" w:rsidRPr="00730563">
        <w:rPr>
          <w:lang w:val="fr-CH"/>
        </w:rPr>
        <w:t xml:space="preserve"> que le numéro </w:t>
      </w:r>
      <w:r w:rsidR="00AB4373" w:rsidRPr="00730563">
        <w:rPr>
          <w:rStyle w:val="Artdef"/>
          <w:lang w:val="fr-CH"/>
        </w:rPr>
        <w:t xml:space="preserve">5.169 </w:t>
      </w:r>
      <w:r w:rsidR="00AB4373" w:rsidRPr="00730563">
        <w:rPr>
          <w:lang w:val="fr-CH"/>
        </w:rPr>
        <w:t>du Règlement des radiocommunications prévoit une attribution de remplacement au service d</w:t>
      </w:r>
      <w:r w:rsidR="00B979D7">
        <w:rPr>
          <w:lang w:val="fr-CH"/>
        </w:rPr>
        <w:t>'</w:t>
      </w:r>
      <w:r w:rsidR="00AB4373" w:rsidRPr="00730563">
        <w:rPr>
          <w:lang w:val="fr-CH"/>
        </w:rPr>
        <w:t xml:space="preserve">amateur à titre primaire dans plusieurs pays de la </w:t>
      </w:r>
      <w:r w:rsidR="00780FA7" w:rsidRPr="00730563">
        <w:rPr>
          <w:lang w:val="fr-CH"/>
        </w:rPr>
        <w:t xml:space="preserve">Région </w:t>
      </w:r>
      <w:r w:rsidR="00405079">
        <w:rPr>
          <w:lang w:val="fr-CH"/>
        </w:rPr>
        <w:t>1;</w:t>
      </w:r>
    </w:p>
    <w:p w:rsidR="00393191" w:rsidRPr="00730563" w:rsidRDefault="00393191" w:rsidP="00405079">
      <w:pPr>
        <w:rPr>
          <w:lang w:val="fr-CH"/>
        </w:rPr>
      </w:pPr>
      <w:r w:rsidRPr="00B979D7">
        <w:rPr>
          <w:i/>
          <w:iCs/>
          <w:lang w:val="fr-CH"/>
        </w:rPr>
        <w:t>c</w:t>
      </w:r>
      <w:r w:rsidR="00BF2826" w:rsidRPr="00B979D7">
        <w:rPr>
          <w:i/>
          <w:iCs/>
          <w:lang w:val="fr-CH"/>
        </w:rPr>
        <w:t>)</w:t>
      </w:r>
      <w:r w:rsidRPr="00730563">
        <w:rPr>
          <w:lang w:val="fr-CH"/>
        </w:rPr>
        <w:tab/>
      </w:r>
      <w:r w:rsidR="00D23F3C" w:rsidRPr="00730563">
        <w:rPr>
          <w:lang w:val="fr-CH"/>
        </w:rPr>
        <w:t xml:space="preserve">que le numéro </w:t>
      </w:r>
      <w:r w:rsidRPr="00730563">
        <w:rPr>
          <w:b/>
          <w:bCs/>
          <w:lang w:val="fr-CH"/>
        </w:rPr>
        <w:t>5.162A</w:t>
      </w:r>
      <w:r w:rsidRPr="00730563">
        <w:rPr>
          <w:lang w:val="fr-CH"/>
        </w:rPr>
        <w:t xml:space="preserve"> </w:t>
      </w:r>
      <w:r w:rsidR="00D23F3C" w:rsidRPr="00730563">
        <w:rPr>
          <w:lang w:val="fr-CH"/>
        </w:rPr>
        <w:t>du Règlement des radiocommunications prévoit une attribution additionnelle au service de radiolocalisation à titre secondaire</w:t>
      </w:r>
      <w:r w:rsidR="00405079">
        <w:rPr>
          <w:lang w:val="fr-CH"/>
        </w:rPr>
        <w:t xml:space="preserve"> dans plusieurs pays</w:t>
      </w:r>
      <w:r w:rsidR="00D23F3C" w:rsidRPr="00730563">
        <w:rPr>
          <w:lang w:val="fr-CH"/>
        </w:rPr>
        <w:t>, l</w:t>
      </w:r>
      <w:r w:rsidR="00B979D7">
        <w:rPr>
          <w:lang w:val="fr-CH"/>
        </w:rPr>
        <w:t>'</w:t>
      </w:r>
      <w:r w:rsidR="00D23F3C" w:rsidRPr="00730563">
        <w:rPr>
          <w:lang w:val="fr-CH"/>
        </w:rPr>
        <w:t>utilisatio</w:t>
      </w:r>
      <w:r w:rsidR="00405079">
        <w:rPr>
          <w:lang w:val="fr-CH"/>
        </w:rPr>
        <w:t xml:space="preserve">n de cette bande étant limitée </w:t>
      </w:r>
      <w:r w:rsidR="00D23F3C" w:rsidRPr="00730563">
        <w:rPr>
          <w:lang w:val="fr-CH"/>
        </w:rPr>
        <w:t>à l</w:t>
      </w:r>
      <w:r w:rsidR="00B979D7">
        <w:rPr>
          <w:lang w:val="fr-CH"/>
        </w:rPr>
        <w:t>'</w:t>
      </w:r>
      <w:r w:rsidR="00D23F3C" w:rsidRPr="00730563">
        <w:rPr>
          <w:lang w:val="fr-CH"/>
        </w:rPr>
        <w:t xml:space="preserve">exploitation des radars profileurs de vent conformément à la </w:t>
      </w:r>
      <w:r w:rsidR="00BB138D">
        <w:rPr>
          <w:lang w:val="fr-CH"/>
        </w:rPr>
        <w:t>Résolution</w:t>
      </w:r>
      <w:r w:rsidRPr="00730563">
        <w:rPr>
          <w:lang w:val="fr-CH"/>
        </w:rPr>
        <w:t xml:space="preserve"> </w:t>
      </w:r>
      <w:r w:rsidR="0030395A">
        <w:rPr>
          <w:lang w:val="fr-CH"/>
        </w:rPr>
        <w:t> </w:t>
      </w:r>
      <w:r w:rsidRPr="00730563">
        <w:rPr>
          <w:rStyle w:val="Artdef"/>
          <w:lang w:val="fr-CH"/>
        </w:rPr>
        <w:t>217 (</w:t>
      </w:r>
      <w:r w:rsidR="00405079">
        <w:rPr>
          <w:rStyle w:val="Artdef"/>
          <w:lang w:val="fr-CH"/>
        </w:rPr>
        <w:t>CMR-</w:t>
      </w:r>
      <w:r w:rsidRPr="00730563">
        <w:rPr>
          <w:rStyle w:val="Artdef"/>
          <w:lang w:val="fr-CH"/>
        </w:rPr>
        <w:t>97)</w:t>
      </w:r>
      <w:r w:rsidR="008653E6">
        <w:rPr>
          <w:lang w:val="fr-CH"/>
        </w:rPr>
        <w:t>;</w:t>
      </w:r>
    </w:p>
    <w:p w:rsidR="00393191" w:rsidRPr="00730563" w:rsidRDefault="00393191" w:rsidP="000B0BD1">
      <w:pPr>
        <w:rPr>
          <w:lang w:val="fr-CH"/>
        </w:rPr>
      </w:pPr>
      <w:r w:rsidRPr="00B979D7">
        <w:rPr>
          <w:i/>
          <w:iCs/>
          <w:lang w:val="fr-CH"/>
        </w:rPr>
        <w:t>d)</w:t>
      </w:r>
      <w:r w:rsidRPr="00730563">
        <w:rPr>
          <w:lang w:val="fr-CH"/>
        </w:rPr>
        <w:tab/>
      </w:r>
      <w:r w:rsidR="00D23F3C" w:rsidRPr="00730563">
        <w:rPr>
          <w:lang w:val="fr-CH"/>
        </w:rPr>
        <w:t xml:space="preserve">que la bande de fréquences </w:t>
      </w:r>
      <w:r w:rsidRPr="00730563">
        <w:rPr>
          <w:lang w:val="fr-CH"/>
        </w:rPr>
        <w:t>47</w:t>
      </w:r>
      <w:r w:rsidR="000B0BD1">
        <w:rPr>
          <w:lang w:val="fr-CH"/>
        </w:rPr>
        <w:noBreakHyphen/>
      </w:r>
      <w:r w:rsidRPr="00730563">
        <w:rPr>
          <w:lang w:val="fr-CH"/>
        </w:rPr>
        <w:t xml:space="preserve">68 MHz, </w:t>
      </w:r>
      <w:r w:rsidR="00D23F3C" w:rsidRPr="00730563">
        <w:rPr>
          <w:lang w:val="fr-CH"/>
        </w:rPr>
        <w:t>ou une partie</w:t>
      </w:r>
      <w:r w:rsidR="00F50032">
        <w:rPr>
          <w:lang w:val="fr-CH"/>
        </w:rPr>
        <w:t xml:space="preserve"> </w:t>
      </w:r>
      <w:r w:rsidR="00D23F3C" w:rsidRPr="00730563">
        <w:rPr>
          <w:lang w:val="fr-CH"/>
        </w:rPr>
        <w:t>de cette bande, est attribuée au service mobile à titre primaire da</w:t>
      </w:r>
      <w:r w:rsidR="00405079">
        <w:rPr>
          <w:lang w:val="fr-CH"/>
        </w:rPr>
        <w:t>ns plusieurs pays de la Région 1,</w:t>
      </w:r>
    </w:p>
    <w:p w:rsidR="00393191" w:rsidRPr="00730563" w:rsidRDefault="00D23F3C" w:rsidP="00425FA3">
      <w:pPr>
        <w:pStyle w:val="Call"/>
        <w:rPr>
          <w:i w:val="0"/>
          <w:iCs/>
          <w:lang w:val="fr-CH"/>
        </w:rPr>
      </w:pPr>
      <w:r w:rsidRPr="00730563">
        <w:rPr>
          <w:lang w:val="fr-CH"/>
        </w:rPr>
        <w:t>décide d</w:t>
      </w:r>
      <w:r w:rsidR="00B979D7">
        <w:rPr>
          <w:lang w:val="fr-CH"/>
        </w:rPr>
        <w:t>'</w:t>
      </w:r>
      <w:r w:rsidRPr="00730563">
        <w:rPr>
          <w:lang w:val="fr-CH"/>
        </w:rPr>
        <w:t>inviter l</w:t>
      </w:r>
      <w:r w:rsidR="00B979D7">
        <w:rPr>
          <w:lang w:val="fr-CH"/>
        </w:rPr>
        <w:t>'</w:t>
      </w:r>
      <w:r w:rsidRPr="00730563">
        <w:rPr>
          <w:lang w:val="fr-CH"/>
        </w:rPr>
        <w:t>UIT-R</w:t>
      </w:r>
    </w:p>
    <w:p w:rsidR="00393191" w:rsidRPr="00730563" w:rsidRDefault="00393191" w:rsidP="00425FA3">
      <w:pPr>
        <w:rPr>
          <w:lang w:val="fr-CH"/>
        </w:rPr>
      </w:pPr>
      <w:r w:rsidRPr="00730563">
        <w:rPr>
          <w:lang w:val="fr-CH"/>
        </w:rPr>
        <w:t>1</w:t>
      </w:r>
      <w:r w:rsidRPr="00730563">
        <w:rPr>
          <w:lang w:val="fr-CH"/>
        </w:rPr>
        <w:tab/>
      </w:r>
      <w:r w:rsidR="00D23F3C" w:rsidRPr="00730563">
        <w:rPr>
          <w:lang w:val="fr-CH"/>
        </w:rPr>
        <w:t xml:space="preserve"> à étudier les besoins de fréquences en Région 1 du service d</w:t>
      </w:r>
      <w:r w:rsidR="00B979D7">
        <w:rPr>
          <w:lang w:val="fr-CH"/>
        </w:rPr>
        <w:t>'</w:t>
      </w:r>
      <w:r w:rsidR="00D23F3C" w:rsidRPr="00730563">
        <w:rPr>
          <w:lang w:val="fr-CH"/>
        </w:rPr>
        <w:t xml:space="preserve">amateur dans la bande de fréquences </w:t>
      </w:r>
      <w:r w:rsidRPr="00730563">
        <w:rPr>
          <w:lang w:val="fr-CH"/>
        </w:rPr>
        <w:t>50-54 MHz;</w:t>
      </w:r>
    </w:p>
    <w:p w:rsidR="00393191" w:rsidRPr="00730563" w:rsidRDefault="00393191" w:rsidP="000B0BD1">
      <w:pPr>
        <w:rPr>
          <w:lang w:val="fr-CH"/>
        </w:rPr>
      </w:pPr>
      <w:r w:rsidRPr="00730563">
        <w:rPr>
          <w:lang w:val="fr-CH"/>
        </w:rPr>
        <w:t>2</w:t>
      </w:r>
      <w:r w:rsidRPr="00730563">
        <w:rPr>
          <w:lang w:val="fr-CH"/>
        </w:rPr>
        <w:tab/>
      </w:r>
      <w:r w:rsidR="00D23F3C" w:rsidRPr="00730563">
        <w:rPr>
          <w:lang w:val="fr-CH"/>
        </w:rPr>
        <w:t>à étudier le partage entre le service d</w:t>
      </w:r>
      <w:r w:rsidR="00B979D7">
        <w:rPr>
          <w:lang w:val="fr-CH"/>
        </w:rPr>
        <w:t>'</w:t>
      </w:r>
      <w:r w:rsidR="00D23F3C" w:rsidRPr="00730563">
        <w:rPr>
          <w:lang w:val="fr-CH"/>
        </w:rPr>
        <w:t>amateur et les services fixe et mobile, le service de radiolocalisation et le service de radiodiffusion, compte tenu des résultats des études visées a</w:t>
      </w:r>
      <w:r w:rsidR="00405079">
        <w:rPr>
          <w:lang w:val="fr-CH"/>
        </w:rPr>
        <w:t>u point</w:t>
      </w:r>
      <w:r w:rsidR="000B0BD1">
        <w:rPr>
          <w:lang w:val="fr-CH"/>
        </w:rPr>
        <w:t> </w:t>
      </w:r>
      <w:r w:rsidR="00405079">
        <w:rPr>
          <w:lang w:val="fr-CH"/>
        </w:rPr>
        <w:t>1</w:t>
      </w:r>
      <w:r w:rsidR="003228B3">
        <w:rPr>
          <w:lang w:val="fr-CH"/>
        </w:rPr>
        <w:t xml:space="preserve"> </w:t>
      </w:r>
      <w:r w:rsidR="00405079">
        <w:rPr>
          <w:lang w:val="fr-CH"/>
        </w:rPr>
        <w:t xml:space="preserve">du </w:t>
      </w:r>
      <w:r w:rsidR="00405079" w:rsidRPr="000B0BD1">
        <w:rPr>
          <w:i/>
          <w:iCs/>
          <w:lang w:val="fr-CH"/>
        </w:rPr>
        <w:t>décide</w:t>
      </w:r>
      <w:r w:rsidR="00405079">
        <w:rPr>
          <w:lang w:val="fr-CH"/>
        </w:rPr>
        <w:t xml:space="preserve"> ci-dessus</w:t>
      </w:r>
      <w:r w:rsidRPr="00730563">
        <w:rPr>
          <w:lang w:val="fr-CH"/>
        </w:rPr>
        <w:t>,</w:t>
      </w:r>
    </w:p>
    <w:p w:rsidR="00393191" w:rsidRPr="00730563" w:rsidRDefault="00D23F3C" w:rsidP="00425FA3">
      <w:pPr>
        <w:pStyle w:val="Call"/>
        <w:rPr>
          <w:lang w:val="fr-CH"/>
        </w:rPr>
      </w:pPr>
      <w:r w:rsidRPr="00730563">
        <w:rPr>
          <w:lang w:val="fr-CH"/>
        </w:rPr>
        <w:t>décide d</w:t>
      </w:r>
      <w:r w:rsidR="00B979D7">
        <w:rPr>
          <w:lang w:val="fr-CH"/>
        </w:rPr>
        <w:t>'</w:t>
      </w:r>
      <w:r w:rsidRPr="00730563">
        <w:rPr>
          <w:lang w:val="fr-CH"/>
        </w:rPr>
        <w:t>inviter la</w:t>
      </w:r>
      <w:r w:rsidR="00393191" w:rsidRPr="00730563">
        <w:rPr>
          <w:lang w:val="fr-CH"/>
        </w:rPr>
        <w:t xml:space="preserve"> </w:t>
      </w:r>
      <w:r w:rsidR="00F50032">
        <w:rPr>
          <w:lang w:val="fr-CH"/>
        </w:rPr>
        <w:t>CMR</w:t>
      </w:r>
      <w:r w:rsidR="00393191" w:rsidRPr="00730563">
        <w:rPr>
          <w:lang w:val="fr-CH"/>
        </w:rPr>
        <w:t>-19</w:t>
      </w:r>
    </w:p>
    <w:p w:rsidR="00393191" w:rsidRDefault="00D23F3C" w:rsidP="00425FA3">
      <w:pPr>
        <w:rPr>
          <w:lang w:val="fr-CH"/>
        </w:rPr>
      </w:pPr>
      <w:r>
        <w:rPr>
          <w:color w:val="000000"/>
        </w:rPr>
        <w:t>à examiner les résultats des études susmentionnées et à prendre les mesures appropriées</w:t>
      </w:r>
      <w:r w:rsidR="00393191" w:rsidRPr="00730563">
        <w:rPr>
          <w:lang w:val="fr-CH"/>
        </w:rPr>
        <w:t>.</w:t>
      </w:r>
    </w:p>
    <w:p w:rsidR="008653E6" w:rsidRPr="00730563" w:rsidRDefault="008653E6" w:rsidP="008653E6">
      <w:pPr>
        <w:pStyle w:val="Reasons"/>
        <w:rPr>
          <w:lang w:val="fr-CH"/>
        </w:rPr>
      </w:pPr>
    </w:p>
    <w:p w:rsidR="00393191" w:rsidRPr="00730563" w:rsidRDefault="00393191" w:rsidP="00425FA3">
      <w:pPr>
        <w:tabs>
          <w:tab w:val="clear" w:pos="1134"/>
          <w:tab w:val="clear" w:pos="1871"/>
          <w:tab w:val="clear" w:pos="2268"/>
        </w:tabs>
        <w:overflowPunct/>
        <w:autoSpaceDE/>
        <w:autoSpaceDN/>
        <w:adjustRightInd/>
        <w:spacing w:before="0"/>
        <w:textAlignment w:val="auto"/>
        <w:rPr>
          <w:lang w:val="fr-CH"/>
        </w:rPr>
      </w:pPr>
      <w:r w:rsidRPr="00730563">
        <w:rPr>
          <w:lang w:val="fr-CH"/>
        </w:rPr>
        <w:br w:type="page"/>
      </w:r>
    </w:p>
    <w:p w:rsidR="00393191" w:rsidRPr="00730563" w:rsidRDefault="00D23F3C" w:rsidP="00425FA3">
      <w:pPr>
        <w:pStyle w:val="Appendixtitle"/>
        <w:rPr>
          <w:lang w:val="fr-CH"/>
        </w:rPr>
      </w:pPr>
      <w:r w:rsidRPr="00730563">
        <w:rPr>
          <w:lang w:val="fr-CH"/>
        </w:rPr>
        <w:lastRenderedPageBreak/>
        <w:t>Proposition</w:t>
      </w:r>
      <w:r w:rsidR="00A16255" w:rsidRPr="00730563">
        <w:rPr>
          <w:lang w:val="fr-CH"/>
        </w:rPr>
        <w:t xml:space="preserve"> d</w:t>
      </w:r>
      <w:r w:rsidR="00B979D7">
        <w:rPr>
          <w:lang w:val="fr-CH"/>
        </w:rPr>
        <w:t>'</w:t>
      </w:r>
      <w:r w:rsidR="00A16255" w:rsidRPr="00730563">
        <w:rPr>
          <w:lang w:val="fr-CH"/>
        </w:rPr>
        <w:t>inscriptio</w:t>
      </w:r>
      <w:r w:rsidR="00405079">
        <w:rPr>
          <w:lang w:val="fr-CH"/>
        </w:rPr>
        <w:t>n d</w:t>
      </w:r>
      <w:r w:rsidR="00B979D7">
        <w:rPr>
          <w:lang w:val="fr-CH"/>
        </w:rPr>
        <w:t>'</w:t>
      </w:r>
      <w:r w:rsidR="00405079">
        <w:rPr>
          <w:lang w:val="fr-CH"/>
        </w:rPr>
        <w:t>un point à l</w:t>
      </w:r>
      <w:r w:rsidR="00B979D7">
        <w:rPr>
          <w:lang w:val="fr-CH"/>
        </w:rPr>
        <w:t>'</w:t>
      </w:r>
      <w:r w:rsidR="00405079">
        <w:rPr>
          <w:lang w:val="fr-CH"/>
        </w:rPr>
        <w:t>ordre du jour de la CMR-19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0B0BD1" w:rsidRPr="00405079" w:rsidTr="000B0BD1">
        <w:tc>
          <w:tcPr>
            <w:tcW w:w="1418" w:type="dxa"/>
            <w:tcBorders>
              <w:top w:val="nil"/>
              <w:left w:val="nil"/>
              <w:bottom w:val="nil"/>
              <w:right w:val="nil"/>
            </w:tcBorders>
          </w:tcPr>
          <w:p w:rsidR="000B0BD1" w:rsidRPr="008653E6" w:rsidRDefault="000B0BD1" w:rsidP="00B979D7">
            <w:pPr>
              <w:tabs>
                <w:tab w:val="clear" w:pos="1871"/>
                <w:tab w:val="clear" w:pos="2268"/>
                <w:tab w:val="left" w:pos="6123"/>
              </w:tabs>
              <w:rPr>
                <w:b/>
                <w:bCs/>
                <w:i/>
                <w:iCs/>
                <w:lang w:val="fr-CH"/>
              </w:rPr>
            </w:pPr>
            <w:r w:rsidRPr="008653E6">
              <w:rPr>
                <w:b/>
                <w:bCs/>
                <w:i/>
                <w:iCs/>
                <w:lang w:val="fr-CH"/>
              </w:rPr>
              <w:t>Objet:</w:t>
            </w:r>
          </w:p>
        </w:tc>
        <w:tc>
          <w:tcPr>
            <w:tcW w:w="8221" w:type="dxa"/>
            <w:gridSpan w:val="2"/>
            <w:tcBorders>
              <w:top w:val="nil"/>
              <w:left w:val="nil"/>
              <w:bottom w:val="nil"/>
              <w:right w:val="nil"/>
            </w:tcBorders>
          </w:tcPr>
          <w:p w:rsidR="000B0BD1" w:rsidRDefault="000B0BD1" w:rsidP="00B979D7">
            <w:pPr>
              <w:tabs>
                <w:tab w:val="clear" w:pos="1871"/>
                <w:tab w:val="clear" w:pos="2268"/>
                <w:tab w:val="left" w:pos="6123"/>
              </w:tabs>
              <w:rPr>
                <w:b/>
                <w:bCs/>
                <w:i/>
                <w:iCs/>
                <w:lang w:val="fr-CH"/>
              </w:rPr>
            </w:pPr>
            <w:r w:rsidRPr="00730563">
              <w:rPr>
                <w:lang w:val="fr-CH"/>
              </w:rPr>
              <w:t>Attribution de la bande 50-54 MHz au service d</w:t>
            </w:r>
            <w:r>
              <w:rPr>
                <w:lang w:val="fr-CH"/>
              </w:rPr>
              <w:t>'</w:t>
            </w:r>
            <w:r w:rsidRPr="00730563">
              <w:rPr>
                <w:lang w:val="fr-CH"/>
              </w:rPr>
              <w:t xml:space="preserve">amateur en </w:t>
            </w:r>
            <w:r>
              <w:rPr>
                <w:lang w:val="fr-CH"/>
              </w:rPr>
              <w:t>Région</w:t>
            </w:r>
            <w:r w:rsidRPr="00730563">
              <w:rPr>
                <w:lang w:val="fr-CH"/>
              </w:rPr>
              <w:t xml:space="preserve"> 1</w:t>
            </w:r>
          </w:p>
        </w:tc>
      </w:tr>
      <w:tr w:rsidR="000B0BD1" w:rsidRPr="00405079" w:rsidTr="000B0BD1">
        <w:tc>
          <w:tcPr>
            <w:tcW w:w="1418" w:type="dxa"/>
            <w:tcBorders>
              <w:top w:val="nil"/>
              <w:left w:val="nil"/>
              <w:bottom w:val="single" w:sz="4" w:space="0" w:color="auto"/>
              <w:right w:val="nil"/>
            </w:tcBorders>
          </w:tcPr>
          <w:p w:rsidR="000B0BD1" w:rsidRPr="008653E6" w:rsidRDefault="000B0BD1" w:rsidP="00B979D7">
            <w:pPr>
              <w:tabs>
                <w:tab w:val="clear" w:pos="1871"/>
                <w:tab w:val="clear" w:pos="2268"/>
                <w:tab w:val="left" w:pos="6123"/>
              </w:tabs>
              <w:rPr>
                <w:b/>
                <w:bCs/>
                <w:i/>
                <w:iCs/>
                <w:lang w:val="fr-CH"/>
              </w:rPr>
            </w:pPr>
            <w:r w:rsidRPr="008653E6">
              <w:rPr>
                <w:b/>
                <w:bCs/>
                <w:i/>
                <w:iCs/>
              </w:rPr>
              <w:t>Origine:</w:t>
            </w:r>
          </w:p>
        </w:tc>
        <w:tc>
          <w:tcPr>
            <w:tcW w:w="8221" w:type="dxa"/>
            <w:gridSpan w:val="2"/>
            <w:tcBorders>
              <w:top w:val="nil"/>
              <w:left w:val="nil"/>
              <w:bottom w:val="single" w:sz="4" w:space="0" w:color="auto"/>
              <w:right w:val="nil"/>
            </w:tcBorders>
          </w:tcPr>
          <w:p w:rsidR="000B0BD1" w:rsidRDefault="000B0BD1" w:rsidP="00B979D7">
            <w:pPr>
              <w:tabs>
                <w:tab w:val="clear" w:pos="1871"/>
                <w:tab w:val="clear" w:pos="2268"/>
                <w:tab w:val="left" w:pos="6123"/>
              </w:tabs>
              <w:rPr>
                <w:b/>
                <w:bCs/>
                <w:i/>
                <w:iCs/>
                <w:lang w:val="fr-CH"/>
              </w:rPr>
            </w:pPr>
            <w:r w:rsidRPr="00393191">
              <w:rPr>
                <w:lang w:val="en-US"/>
              </w:rPr>
              <w:t>CEPT</w:t>
            </w:r>
          </w:p>
        </w:tc>
      </w:tr>
      <w:tr w:rsidR="00393191" w:rsidRPr="00405079" w:rsidTr="00E013FE">
        <w:tc>
          <w:tcPr>
            <w:tcW w:w="9639" w:type="dxa"/>
            <w:gridSpan w:val="3"/>
            <w:tcBorders>
              <w:top w:val="single" w:sz="4" w:space="0" w:color="auto"/>
              <w:left w:val="nil"/>
              <w:bottom w:val="single" w:sz="4" w:space="0" w:color="auto"/>
              <w:right w:val="nil"/>
            </w:tcBorders>
          </w:tcPr>
          <w:p w:rsidR="000B0BD1" w:rsidRDefault="00E20867" w:rsidP="00B979D7">
            <w:pPr>
              <w:tabs>
                <w:tab w:val="clear" w:pos="1871"/>
                <w:tab w:val="clear" w:pos="2268"/>
                <w:tab w:val="left" w:pos="6123"/>
              </w:tabs>
            </w:pPr>
            <w:r>
              <w:rPr>
                <w:b/>
                <w:bCs/>
                <w:i/>
                <w:iCs/>
                <w:lang w:val="fr-CH"/>
              </w:rPr>
              <w:t>Proposition:</w:t>
            </w:r>
          </w:p>
          <w:p w:rsidR="00393191" w:rsidRPr="0030395A" w:rsidRDefault="000B0BD1" w:rsidP="00EE5360">
            <w:pPr>
              <w:tabs>
                <w:tab w:val="clear" w:pos="1871"/>
                <w:tab w:val="clear" w:pos="2268"/>
                <w:tab w:val="left" w:pos="6123"/>
              </w:tabs>
              <w:spacing w:before="80"/>
              <w:rPr>
                <w:b/>
                <w:bCs/>
                <w:i/>
                <w:iCs/>
                <w:lang w:val="fr-CH"/>
              </w:rPr>
            </w:pPr>
            <w:r>
              <w:t>e</w:t>
            </w:r>
            <w:r w:rsidR="00405079" w:rsidRPr="00405079">
              <w:rPr>
                <w:lang w:val="fr-CH"/>
              </w:rPr>
              <w:t>nvisager une attribution à titre primaire au service d'amateur dans la bande</w:t>
            </w:r>
            <w:r w:rsidR="00393191" w:rsidRPr="00405079">
              <w:rPr>
                <w:lang w:val="fr-CH"/>
              </w:rPr>
              <w:t xml:space="preserve"> </w:t>
            </w:r>
            <w:r w:rsidR="00405079">
              <w:rPr>
                <w:lang w:val="fr-CH"/>
              </w:rPr>
              <w:t xml:space="preserve">de fréquences </w:t>
            </w:r>
            <w:r w:rsidR="00393191" w:rsidRPr="00405079">
              <w:rPr>
                <w:lang w:val="fr-CH"/>
              </w:rPr>
              <w:t>50</w:t>
            </w:r>
            <w:r w:rsidR="00EE5360">
              <w:rPr>
                <w:lang w:val="fr-CH"/>
              </w:rPr>
              <w:noBreakHyphen/>
            </w:r>
            <w:r w:rsidR="00393191" w:rsidRPr="00405079">
              <w:rPr>
                <w:lang w:val="fr-CH"/>
              </w:rPr>
              <w:t>54</w:t>
            </w:r>
            <w:r>
              <w:rPr>
                <w:lang w:val="fr-CH"/>
              </w:rPr>
              <w:t> </w:t>
            </w:r>
            <w:r w:rsidR="00393191" w:rsidRPr="00405079">
              <w:rPr>
                <w:lang w:val="fr-CH"/>
              </w:rPr>
              <w:t xml:space="preserve">MHz </w:t>
            </w:r>
            <w:r w:rsidR="00405079">
              <w:rPr>
                <w:lang w:val="fr-CH"/>
              </w:rPr>
              <w:t>conformément à la Résolution</w:t>
            </w:r>
            <w:r w:rsidR="00393191" w:rsidRPr="00405079">
              <w:rPr>
                <w:lang w:val="fr-CH"/>
              </w:rPr>
              <w:t xml:space="preserve"> </w:t>
            </w:r>
            <w:r w:rsidR="00393191" w:rsidRPr="000B0BD1">
              <w:rPr>
                <w:rStyle w:val="Artdef"/>
                <w:b w:val="0"/>
                <w:bCs/>
                <w:lang w:val="fr-CH"/>
              </w:rPr>
              <w:t>[EUR-C10-2] (</w:t>
            </w:r>
            <w:r w:rsidR="003228B3" w:rsidRPr="000B0BD1">
              <w:rPr>
                <w:rStyle w:val="Artdef"/>
                <w:b w:val="0"/>
                <w:bCs/>
                <w:lang w:val="fr-CH"/>
              </w:rPr>
              <w:t>CMR-15</w:t>
            </w:r>
            <w:r w:rsidR="00393191" w:rsidRPr="000B0BD1">
              <w:rPr>
                <w:rStyle w:val="Artdef"/>
                <w:b w:val="0"/>
                <w:bCs/>
                <w:lang w:val="fr-CH"/>
              </w:rPr>
              <w:t>)</w:t>
            </w:r>
            <w:r w:rsidR="00EE5360">
              <w:rPr>
                <w:rStyle w:val="Artdef"/>
                <w:b w:val="0"/>
                <w:bCs/>
                <w:lang w:val="fr-CH"/>
              </w:rPr>
              <w:t>.</w:t>
            </w:r>
          </w:p>
        </w:tc>
      </w:tr>
      <w:tr w:rsidR="00393191" w:rsidRPr="00393191" w:rsidTr="00E013FE">
        <w:tc>
          <w:tcPr>
            <w:tcW w:w="9639" w:type="dxa"/>
            <w:gridSpan w:val="3"/>
            <w:tcBorders>
              <w:top w:val="single" w:sz="4" w:space="0" w:color="auto"/>
              <w:left w:val="nil"/>
              <w:bottom w:val="single" w:sz="4" w:space="0" w:color="auto"/>
              <w:right w:val="nil"/>
            </w:tcBorders>
          </w:tcPr>
          <w:p w:rsidR="00393191" w:rsidRPr="00730563" w:rsidRDefault="00393191" w:rsidP="00425FA3">
            <w:pPr>
              <w:rPr>
                <w:b/>
                <w:bCs/>
                <w:i/>
                <w:iCs/>
                <w:lang w:val="fr-CH"/>
              </w:rPr>
            </w:pPr>
            <w:r w:rsidRPr="00730563">
              <w:rPr>
                <w:b/>
                <w:bCs/>
                <w:i/>
                <w:iCs/>
                <w:lang w:val="fr-CH"/>
              </w:rPr>
              <w:t>Contexte/motif:</w:t>
            </w:r>
          </w:p>
          <w:p w:rsidR="00393191" w:rsidRPr="00730563" w:rsidRDefault="00A16255" w:rsidP="00405079">
            <w:pPr>
              <w:keepNext/>
              <w:rPr>
                <w:lang w:val="fr-CH"/>
              </w:rPr>
            </w:pPr>
            <w:r w:rsidRPr="00730563">
              <w:rPr>
                <w:lang w:val="fr-CH"/>
              </w:rPr>
              <w:t>Le</w:t>
            </w:r>
            <w:r w:rsidR="00405079">
              <w:rPr>
                <w:lang w:val="fr-CH"/>
              </w:rPr>
              <w:t xml:space="preserve"> service de radiodiffusion est nettement moins utilisé </w:t>
            </w:r>
            <w:r w:rsidRPr="00730563">
              <w:rPr>
                <w:lang w:val="fr-CH"/>
              </w:rPr>
              <w:t>dans la bande et des attribut</w:t>
            </w:r>
            <w:r w:rsidR="00F50032">
              <w:rPr>
                <w:lang w:val="fr-CH"/>
              </w:rPr>
              <w:t>ions ont été faites au service</w:t>
            </w:r>
            <w:r w:rsidRPr="00730563">
              <w:rPr>
                <w:lang w:val="fr-CH"/>
              </w:rPr>
              <w:t xml:space="preserve"> mobile</w:t>
            </w:r>
            <w:r w:rsidR="00405079">
              <w:rPr>
                <w:lang w:val="fr-CH"/>
              </w:rPr>
              <w:t xml:space="preserve"> et d</w:t>
            </w:r>
            <w:r w:rsidR="00B979D7">
              <w:rPr>
                <w:lang w:val="fr-CH"/>
              </w:rPr>
              <w:t>'</w:t>
            </w:r>
            <w:r w:rsidR="00405079">
              <w:rPr>
                <w:lang w:val="fr-CH"/>
              </w:rPr>
              <w:t>amateur</w:t>
            </w:r>
            <w:r w:rsidR="0030395A">
              <w:rPr>
                <w:lang w:val="fr-CH"/>
              </w:rPr>
              <w:t>.</w:t>
            </w:r>
          </w:p>
          <w:p w:rsidR="00393191" w:rsidRPr="00730563" w:rsidRDefault="00405079" w:rsidP="000B0BD1">
            <w:pPr>
              <w:keepNext/>
              <w:spacing w:before="100"/>
              <w:rPr>
                <w:lang w:val="fr-CH"/>
              </w:rPr>
            </w:pPr>
            <w:r>
              <w:rPr>
                <w:lang w:val="fr-CH"/>
              </w:rPr>
              <w:t>L</w:t>
            </w:r>
            <w:r w:rsidR="00B979D7">
              <w:rPr>
                <w:lang w:val="fr-CH"/>
              </w:rPr>
              <w:t>'</w:t>
            </w:r>
            <w:r w:rsidR="00A16255" w:rsidRPr="00730563">
              <w:rPr>
                <w:lang w:val="fr-CH"/>
              </w:rPr>
              <w:t>attribution d</w:t>
            </w:r>
            <w:r w:rsidR="00B979D7">
              <w:rPr>
                <w:lang w:val="fr-CH"/>
              </w:rPr>
              <w:t>'</w:t>
            </w:r>
            <w:r w:rsidR="00A16255" w:rsidRPr="00730563">
              <w:rPr>
                <w:lang w:val="fr-CH"/>
              </w:rPr>
              <w:t>une bande en</w:t>
            </w:r>
            <w:r w:rsidR="003228B3">
              <w:rPr>
                <w:lang w:val="fr-CH"/>
              </w:rPr>
              <w:t xml:space="preserve"> </w:t>
            </w:r>
            <w:r w:rsidR="00780FA7" w:rsidRPr="00730563">
              <w:rPr>
                <w:lang w:val="fr-CH"/>
              </w:rPr>
              <w:t xml:space="preserve">Région </w:t>
            </w:r>
            <w:r w:rsidR="00A16255" w:rsidRPr="00730563">
              <w:rPr>
                <w:lang w:val="fr-CH"/>
              </w:rPr>
              <w:t>1 faciliterait une plus grande harm</w:t>
            </w:r>
            <w:r>
              <w:rPr>
                <w:lang w:val="fr-CH"/>
              </w:rPr>
              <w:t>onisation à l</w:t>
            </w:r>
            <w:r w:rsidR="00B979D7">
              <w:rPr>
                <w:lang w:val="fr-CH"/>
              </w:rPr>
              <w:t>'</w:t>
            </w:r>
            <w:r>
              <w:rPr>
                <w:lang w:val="fr-CH"/>
              </w:rPr>
              <w:t>échelle mondiale</w:t>
            </w:r>
            <w:r w:rsidR="0030395A">
              <w:rPr>
                <w:lang w:val="fr-CH"/>
              </w:rPr>
              <w:t>.</w:t>
            </w:r>
          </w:p>
          <w:p w:rsidR="00393191" w:rsidRPr="00730563" w:rsidRDefault="00A16255" w:rsidP="000B0BD1">
            <w:pPr>
              <w:keepNext/>
              <w:spacing w:before="100"/>
              <w:rPr>
                <w:lang w:val="fr-CH"/>
              </w:rPr>
            </w:pPr>
            <w:r w:rsidRPr="00730563">
              <w:rPr>
                <w:lang w:val="fr-CH"/>
              </w:rPr>
              <w:t>Pour le service d</w:t>
            </w:r>
            <w:r w:rsidR="00B979D7">
              <w:rPr>
                <w:lang w:val="fr-CH"/>
              </w:rPr>
              <w:t>'</w:t>
            </w:r>
            <w:r w:rsidRPr="00730563">
              <w:rPr>
                <w:lang w:val="fr-CH"/>
              </w:rPr>
              <w:t>amateur, il est nécessaire de rédui</w:t>
            </w:r>
            <w:r w:rsidR="00405079">
              <w:rPr>
                <w:lang w:val="fr-CH"/>
              </w:rPr>
              <w:t>re l</w:t>
            </w:r>
            <w:r w:rsidR="00B979D7">
              <w:rPr>
                <w:lang w:val="fr-CH"/>
              </w:rPr>
              <w:t>'</w:t>
            </w:r>
            <w:r w:rsidR="00405079">
              <w:rPr>
                <w:lang w:val="fr-CH"/>
              </w:rPr>
              <w:t>écart très important entre</w:t>
            </w:r>
            <w:r w:rsidR="00393191" w:rsidRPr="00730563">
              <w:rPr>
                <w:lang w:val="fr-CH"/>
              </w:rPr>
              <w:t xml:space="preserve"> 28 MHz </w:t>
            </w:r>
            <w:r w:rsidRPr="00730563">
              <w:rPr>
                <w:lang w:val="fr-CH"/>
              </w:rPr>
              <w:t xml:space="preserve">et </w:t>
            </w:r>
            <w:r w:rsidR="00393191" w:rsidRPr="00730563">
              <w:rPr>
                <w:lang w:val="fr-CH"/>
              </w:rPr>
              <w:t>144</w:t>
            </w:r>
            <w:r w:rsidR="00F314D8">
              <w:rPr>
                <w:lang w:val="fr-CH"/>
              </w:rPr>
              <w:t> </w:t>
            </w:r>
            <w:r w:rsidR="00393191" w:rsidRPr="00730563">
              <w:rPr>
                <w:lang w:val="fr-CH"/>
              </w:rPr>
              <w:t>MHz.</w:t>
            </w:r>
          </w:p>
          <w:p w:rsidR="00393191" w:rsidRPr="00730563" w:rsidRDefault="00A16255" w:rsidP="000B0BD1">
            <w:pPr>
              <w:keepNext/>
              <w:spacing w:before="100"/>
              <w:rPr>
                <w:lang w:val="fr-CH"/>
              </w:rPr>
            </w:pPr>
            <w:r w:rsidRPr="00730563">
              <w:rPr>
                <w:lang w:val="fr-CH"/>
              </w:rPr>
              <w:t>Une attention particulière doit être a</w:t>
            </w:r>
            <w:r w:rsidR="003228B3">
              <w:rPr>
                <w:lang w:val="fr-CH"/>
              </w:rPr>
              <w:t>ccordée aux questions suivantes</w:t>
            </w:r>
            <w:r w:rsidR="0030395A">
              <w:rPr>
                <w:lang w:val="fr-CH"/>
              </w:rPr>
              <w:t>:</w:t>
            </w:r>
          </w:p>
          <w:p w:rsidR="00393191" w:rsidRPr="00730563" w:rsidRDefault="00405079" w:rsidP="000B0BD1">
            <w:pPr>
              <w:keepNext/>
              <w:spacing w:before="100"/>
              <w:rPr>
                <w:lang w:val="fr-CH"/>
              </w:rPr>
            </w:pPr>
            <w:r>
              <w:rPr>
                <w:lang w:val="fr-CH"/>
              </w:rPr>
              <w:t>H</w:t>
            </w:r>
            <w:r w:rsidR="00A16255" w:rsidRPr="00730563">
              <w:rPr>
                <w:lang w:val="fr-CH"/>
              </w:rPr>
              <w:t>armonisation des communications utilisant des si</w:t>
            </w:r>
            <w:r>
              <w:rPr>
                <w:lang w:val="fr-CH"/>
              </w:rPr>
              <w:t>gnaux de faible intensité avec</w:t>
            </w:r>
            <w:r w:rsidR="00A16255" w:rsidRPr="00730563">
              <w:rPr>
                <w:lang w:val="fr-CH"/>
              </w:rPr>
              <w:t xml:space="preserve"> les </w:t>
            </w:r>
            <w:r>
              <w:rPr>
                <w:lang w:val="fr-CH"/>
              </w:rPr>
              <w:t xml:space="preserve">Régions </w:t>
            </w:r>
            <w:r w:rsidR="000B0BD1">
              <w:rPr>
                <w:lang w:val="fr-CH"/>
              </w:rPr>
              <w:t xml:space="preserve">2 </w:t>
            </w:r>
            <w:r>
              <w:rPr>
                <w:lang w:val="fr-CH"/>
              </w:rPr>
              <w:t>et</w:t>
            </w:r>
            <w:r w:rsidR="000B0BD1">
              <w:rPr>
                <w:lang w:val="fr-CH"/>
              </w:rPr>
              <w:t> </w:t>
            </w:r>
            <w:r>
              <w:rPr>
                <w:lang w:val="fr-CH"/>
              </w:rPr>
              <w:t xml:space="preserve">3. Actuellement, la </w:t>
            </w:r>
            <w:r w:rsidR="00A16255" w:rsidRPr="00730563">
              <w:rPr>
                <w:lang w:val="fr-CH"/>
              </w:rPr>
              <w:t>bande 50</w:t>
            </w:r>
            <w:r w:rsidR="000B0BD1">
              <w:rPr>
                <w:lang w:val="fr-CH"/>
              </w:rPr>
              <w:t>,</w:t>
            </w:r>
            <w:r w:rsidR="00A16255" w:rsidRPr="00730563">
              <w:rPr>
                <w:lang w:val="fr-CH"/>
              </w:rPr>
              <w:t>0-50</w:t>
            </w:r>
            <w:r w:rsidR="000B0BD1">
              <w:rPr>
                <w:lang w:val="fr-CH"/>
              </w:rPr>
              <w:t>,</w:t>
            </w:r>
            <w:r w:rsidR="00A16255" w:rsidRPr="00730563">
              <w:rPr>
                <w:lang w:val="fr-CH"/>
              </w:rPr>
              <w:t>5 MHz est utilisée à cette fin.</w:t>
            </w:r>
          </w:p>
          <w:p w:rsidR="00393191" w:rsidRPr="00730563" w:rsidRDefault="00C203CC" w:rsidP="000B0BD1">
            <w:pPr>
              <w:spacing w:before="100"/>
              <w:rPr>
                <w:b/>
                <w:i/>
                <w:lang w:val="fr-CH"/>
              </w:rPr>
            </w:pPr>
            <w:r w:rsidRPr="00730563">
              <w:rPr>
                <w:lang w:val="fr-CH"/>
              </w:rPr>
              <w:t>D</w:t>
            </w:r>
            <w:r w:rsidR="00B979D7">
              <w:rPr>
                <w:lang w:val="fr-CH"/>
              </w:rPr>
              <w:t>'</w:t>
            </w:r>
            <w:r w:rsidRPr="00730563">
              <w:rPr>
                <w:lang w:val="fr-CH"/>
              </w:rPr>
              <w:t>ici à</w:t>
            </w:r>
            <w:r w:rsidR="003228B3">
              <w:rPr>
                <w:lang w:val="fr-CH"/>
              </w:rPr>
              <w:t xml:space="preserve"> </w:t>
            </w:r>
            <w:r w:rsidR="00A16255" w:rsidRPr="00730563">
              <w:rPr>
                <w:lang w:val="fr-CH"/>
              </w:rPr>
              <w:t>2019,</w:t>
            </w:r>
            <w:r w:rsidRPr="00730563">
              <w:rPr>
                <w:lang w:val="fr-CH"/>
              </w:rPr>
              <w:t xml:space="preserve"> l</w:t>
            </w:r>
            <w:r w:rsidR="00B979D7">
              <w:rPr>
                <w:lang w:val="fr-CH"/>
              </w:rPr>
              <w:t>'</w:t>
            </w:r>
            <w:r w:rsidR="00405079">
              <w:rPr>
                <w:lang w:val="fr-CH"/>
              </w:rPr>
              <w:t>utilisation</w:t>
            </w:r>
            <w:r w:rsidRPr="00730563">
              <w:rPr>
                <w:lang w:val="fr-CH"/>
              </w:rPr>
              <w:t xml:space="preserve"> du </w:t>
            </w:r>
            <w:r w:rsidR="00A16255" w:rsidRPr="00730563">
              <w:rPr>
                <w:lang w:val="fr-CH"/>
              </w:rPr>
              <w:t>service de radiodiffusion télévisuelle dans d</w:t>
            </w:r>
            <w:r w:rsidR="00B979D7">
              <w:rPr>
                <w:lang w:val="fr-CH"/>
              </w:rPr>
              <w:t>'</w:t>
            </w:r>
            <w:r w:rsidR="00A16255" w:rsidRPr="00730563">
              <w:rPr>
                <w:lang w:val="fr-CH"/>
              </w:rPr>
              <w:t xml:space="preserve">autres parties de la Région 1 dans cette gamme de fréquences devrait </w:t>
            </w:r>
            <w:r w:rsidRPr="00730563">
              <w:rPr>
                <w:lang w:val="fr-CH"/>
              </w:rPr>
              <w:t>encore diminuer. En conséquence, nous estimons</w:t>
            </w:r>
            <w:r w:rsidR="003228B3">
              <w:rPr>
                <w:lang w:val="fr-CH"/>
              </w:rPr>
              <w:t xml:space="preserve"> </w:t>
            </w:r>
            <w:r w:rsidRPr="00730563">
              <w:rPr>
                <w:lang w:val="fr-CH"/>
              </w:rPr>
              <w:t>qu</w:t>
            </w:r>
            <w:r w:rsidR="00B979D7">
              <w:rPr>
                <w:lang w:val="fr-CH"/>
              </w:rPr>
              <w:t>'</w:t>
            </w:r>
            <w:r w:rsidRPr="00730563">
              <w:rPr>
                <w:lang w:val="fr-CH"/>
              </w:rPr>
              <w:t>une mise à jour et une harmonisation n</w:t>
            </w:r>
            <w:r w:rsidR="00B979D7">
              <w:rPr>
                <w:lang w:val="fr-CH"/>
              </w:rPr>
              <w:t>'</w:t>
            </w:r>
            <w:r w:rsidRPr="00730563">
              <w:rPr>
                <w:lang w:val="fr-CH"/>
              </w:rPr>
              <w:t>ont que trop tardé</w:t>
            </w:r>
            <w:r w:rsidR="00405079">
              <w:rPr>
                <w:lang w:val="fr-CH"/>
              </w:rPr>
              <w:t>.</w:t>
            </w:r>
          </w:p>
        </w:tc>
      </w:tr>
      <w:tr w:rsidR="00393191" w:rsidRPr="00714540" w:rsidTr="00E013FE">
        <w:tc>
          <w:tcPr>
            <w:tcW w:w="9639" w:type="dxa"/>
            <w:gridSpan w:val="3"/>
            <w:tcBorders>
              <w:top w:val="single" w:sz="4" w:space="0" w:color="auto"/>
              <w:left w:val="nil"/>
              <w:bottom w:val="single" w:sz="4" w:space="0" w:color="auto"/>
              <w:right w:val="nil"/>
            </w:tcBorders>
          </w:tcPr>
          <w:p w:rsidR="00393191" w:rsidRPr="00A31EA2" w:rsidRDefault="00393191" w:rsidP="00425FA3">
            <w:r w:rsidRPr="0014454C">
              <w:rPr>
                <w:b/>
                <w:bCs/>
                <w:i/>
                <w:iCs/>
                <w:lang w:val="fr-CH"/>
              </w:rPr>
              <w:t>Services de radiocommunication concernés</w:t>
            </w:r>
            <w:r w:rsidRPr="00A31EA2">
              <w:t>:</w:t>
            </w:r>
          </w:p>
          <w:p w:rsidR="00393191" w:rsidRPr="00714540" w:rsidRDefault="00405079" w:rsidP="000B0BD1">
            <w:pPr>
              <w:spacing w:before="100"/>
              <w:rPr>
                <w:b/>
                <w:i/>
              </w:rPr>
            </w:pPr>
            <w:r>
              <w:rPr>
                <w:rStyle w:val="BRNormal"/>
              </w:rPr>
              <w:t>Services fixe,</w:t>
            </w:r>
            <w:r w:rsidR="00C203CC">
              <w:rPr>
                <w:rStyle w:val="BRNormal"/>
              </w:rPr>
              <w:t xml:space="preserve"> mobile et de radiodiffusion</w:t>
            </w:r>
            <w:r w:rsidR="003228B3">
              <w:rPr>
                <w:rStyle w:val="BRNormal"/>
              </w:rPr>
              <w:t xml:space="preserve"> </w:t>
            </w:r>
          </w:p>
        </w:tc>
      </w:tr>
      <w:tr w:rsidR="00393191" w:rsidRPr="00714540" w:rsidTr="00E013FE">
        <w:tc>
          <w:tcPr>
            <w:tcW w:w="9639" w:type="dxa"/>
            <w:gridSpan w:val="3"/>
            <w:tcBorders>
              <w:top w:val="single" w:sz="4" w:space="0" w:color="auto"/>
              <w:left w:val="nil"/>
              <w:bottom w:val="single" w:sz="4" w:space="0" w:color="auto"/>
              <w:right w:val="nil"/>
            </w:tcBorders>
          </w:tcPr>
          <w:p w:rsidR="00393191" w:rsidRPr="00A31EA2" w:rsidRDefault="00393191" w:rsidP="00425FA3">
            <w:r w:rsidRPr="0014454C">
              <w:rPr>
                <w:b/>
                <w:bCs/>
                <w:i/>
                <w:iCs/>
                <w:lang w:val="fr-CH"/>
              </w:rPr>
              <w:t>Indication des difficultés éventuelles</w:t>
            </w:r>
            <w:r w:rsidRPr="0014454C">
              <w:rPr>
                <w:b/>
                <w:bCs/>
                <w:i/>
                <w:iCs/>
              </w:rPr>
              <w:t>:</w:t>
            </w:r>
          </w:p>
          <w:p w:rsidR="00393191" w:rsidRPr="00714540" w:rsidRDefault="00393191" w:rsidP="000B0BD1">
            <w:pPr>
              <w:spacing w:before="80"/>
              <w:rPr>
                <w:b/>
                <w:i/>
              </w:rPr>
            </w:pPr>
          </w:p>
        </w:tc>
      </w:tr>
      <w:tr w:rsidR="00393191" w:rsidRPr="009E4745" w:rsidTr="00E013FE">
        <w:tc>
          <w:tcPr>
            <w:tcW w:w="9639" w:type="dxa"/>
            <w:gridSpan w:val="3"/>
            <w:tcBorders>
              <w:top w:val="single" w:sz="4" w:space="0" w:color="auto"/>
              <w:left w:val="nil"/>
              <w:bottom w:val="single" w:sz="4" w:space="0" w:color="auto"/>
              <w:right w:val="nil"/>
            </w:tcBorders>
          </w:tcPr>
          <w:p w:rsidR="00393191" w:rsidRPr="00A31EA2" w:rsidRDefault="00393191" w:rsidP="00425FA3">
            <w:r w:rsidRPr="003A2ED4">
              <w:rPr>
                <w:b/>
                <w:bCs/>
                <w:i/>
                <w:iCs/>
                <w:lang w:val="fr-CH"/>
              </w:rPr>
              <w:t>Etudes précédentes ou en cours sur la question</w:t>
            </w:r>
            <w:r w:rsidRPr="003A2ED4">
              <w:rPr>
                <w:b/>
                <w:bCs/>
                <w:i/>
                <w:iCs/>
              </w:rPr>
              <w:t>:</w:t>
            </w:r>
          </w:p>
          <w:p w:rsidR="00393191" w:rsidRPr="009E4745" w:rsidRDefault="00393191" w:rsidP="000B0BD1">
            <w:pPr>
              <w:spacing w:before="80"/>
              <w:rPr>
                <w:b/>
                <w:i/>
                <w:lang w:val="fr-CH"/>
              </w:rPr>
            </w:pPr>
          </w:p>
        </w:tc>
      </w:tr>
      <w:tr w:rsidR="00393191" w:rsidRPr="00393191" w:rsidTr="00E013FE">
        <w:tc>
          <w:tcPr>
            <w:tcW w:w="4539" w:type="dxa"/>
            <w:gridSpan w:val="2"/>
            <w:tcBorders>
              <w:top w:val="single" w:sz="4" w:space="0" w:color="auto"/>
              <w:left w:val="nil"/>
              <w:bottom w:val="single" w:sz="4" w:space="0" w:color="auto"/>
              <w:right w:val="single" w:sz="4" w:space="0" w:color="auto"/>
            </w:tcBorders>
          </w:tcPr>
          <w:p w:rsidR="00393191" w:rsidRPr="00A31EA2" w:rsidRDefault="00393191" w:rsidP="00425FA3">
            <w:r w:rsidRPr="0014454C">
              <w:rPr>
                <w:b/>
                <w:bCs/>
                <w:i/>
                <w:iCs/>
                <w:lang w:val="fr-CH"/>
              </w:rPr>
              <w:t>Etudes devant être réalisées par</w:t>
            </w:r>
            <w:r w:rsidRPr="0014454C">
              <w:rPr>
                <w:b/>
                <w:bCs/>
                <w:i/>
                <w:iCs/>
              </w:rPr>
              <w:t>:</w:t>
            </w:r>
          </w:p>
          <w:p w:rsidR="00393191" w:rsidRPr="009E4745" w:rsidRDefault="00872994" w:rsidP="000B0BD1">
            <w:pPr>
              <w:spacing w:before="80"/>
              <w:rPr>
                <w:b/>
                <w:i/>
                <w:color w:val="000000"/>
                <w:lang w:val="fr-CH"/>
              </w:rPr>
            </w:pPr>
            <w:r>
              <w:rPr>
                <w:rStyle w:val="BRNormal"/>
              </w:rPr>
              <w:t>GT</w:t>
            </w:r>
            <w:r w:rsidR="003228B3">
              <w:rPr>
                <w:rStyle w:val="BRNormal"/>
              </w:rPr>
              <w:t xml:space="preserve"> </w:t>
            </w:r>
            <w:r w:rsidR="00393191">
              <w:rPr>
                <w:rStyle w:val="BRNormal"/>
              </w:rPr>
              <w:t>5A</w:t>
            </w:r>
          </w:p>
        </w:tc>
        <w:tc>
          <w:tcPr>
            <w:tcW w:w="5100" w:type="dxa"/>
            <w:tcBorders>
              <w:top w:val="single" w:sz="4" w:space="0" w:color="auto"/>
              <w:left w:val="single" w:sz="4" w:space="0" w:color="auto"/>
              <w:bottom w:val="single" w:sz="4" w:space="0" w:color="auto"/>
              <w:right w:val="nil"/>
            </w:tcBorders>
          </w:tcPr>
          <w:p w:rsidR="00393191" w:rsidRPr="00730563" w:rsidRDefault="00393191" w:rsidP="00425FA3">
            <w:pPr>
              <w:rPr>
                <w:b/>
                <w:bCs/>
                <w:i/>
                <w:iCs/>
                <w:lang w:val="fr-CH"/>
              </w:rPr>
            </w:pPr>
            <w:r w:rsidRPr="00504217">
              <w:rPr>
                <w:b/>
                <w:bCs/>
                <w:i/>
                <w:iCs/>
              </w:rPr>
              <w:t>avec la participation de</w:t>
            </w:r>
            <w:r w:rsidRPr="00730563">
              <w:rPr>
                <w:b/>
                <w:bCs/>
                <w:i/>
                <w:iCs/>
                <w:lang w:val="fr-CH"/>
              </w:rPr>
              <w:t>:</w:t>
            </w:r>
          </w:p>
          <w:p w:rsidR="00393191" w:rsidRPr="00730563" w:rsidRDefault="00C203CC" w:rsidP="000B0BD1">
            <w:pPr>
              <w:spacing w:before="80"/>
              <w:rPr>
                <w:b/>
                <w:i/>
                <w:color w:val="000000"/>
                <w:lang w:val="fr-CH"/>
              </w:rPr>
            </w:pPr>
            <w:r w:rsidRPr="00730563">
              <w:rPr>
                <w:lang w:val="fr-CH"/>
              </w:rPr>
              <w:t>Administrati</w:t>
            </w:r>
            <w:r w:rsidR="00F50032">
              <w:rPr>
                <w:lang w:val="fr-CH"/>
              </w:rPr>
              <w:t>ons et Membres du Secteur de l'</w:t>
            </w:r>
            <w:r w:rsidR="002E2C8C" w:rsidRPr="00730563">
              <w:rPr>
                <w:lang w:val="fr-CH"/>
              </w:rPr>
              <w:t>UIT</w:t>
            </w:r>
            <w:r w:rsidR="00F50032">
              <w:rPr>
                <w:lang w:val="fr-CH"/>
              </w:rPr>
              <w:noBreakHyphen/>
            </w:r>
            <w:r w:rsidR="00393191" w:rsidRPr="00730563">
              <w:rPr>
                <w:lang w:val="fr-CH"/>
              </w:rPr>
              <w:t>R</w:t>
            </w:r>
          </w:p>
        </w:tc>
      </w:tr>
      <w:tr w:rsidR="00393191" w:rsidRPr="009E4745" w:rsidTr="00E013FE">
        <w:tc>
          <w:tcPr>
            <w:tcW w:w="9639" w:type="dxa"/>
            <w:gridSpan w:val="3"/>
            <w:tcBorders>
              <w:top w:val="single" w:sz="4" w:space="0" w:color="auto"/>
              <w:left w:val="nil"/>
              <w:bottom w:val="single" w:sz="4" w:space="0" w:color="auto"/>
              <w:right w:val="nil"/>
            </w:tcBorders>
          </w:tcPr>
          <w:p w:rsidR="00393191" w:rsidRPr="00A31EA2" w:rsidRDefault="00393191" w:rsidP="00425FA3">
            <w:r w:rsidRPr="0014454C">
              <w:rPr>
                <w:b/>
                <w:bCs/>
                <w:i/>
                <w:iCs/>
                <w:lang w:val="fr-CH"/>
              </w:rPr>
              <w:t>Commissions d'études de l'UIT-R concernées</w:t>
            </w:r>
            <w:r w:rsidRPr="00A31EA2">
              <w:rPr>
                <w:b/>
                <w:bCs/>
                <w:i/>
                <w:iCs/>
              </w:rPr>
              <w:t>:</w:t>
            </w:r>
          </w:p>
          <w:p w:rsidR="00393191" w:rsidRPr="009E4745" w:rsidRDefault="00C937A8" w:rsidP="00425FA3">
            <w:pPr>
              <w:rPr>
                <w:b/>
                <w:i/>
                <w:lang w:val="fr-CH"/>
              </w:rPr>
            </w:pPr>
            <w:r>
              <w:rPr>
                <w:rStyle w:val="BRNormal"/>
              </w:rPr>
              <w:t>CE</w:t>
            </w:r>
            <w:r w:rsidR="000B0BD1">
              <w:rPr>
                <w:rStyle w:val="BRNormal"/>
              </w:rPr>
              <w:t xml:space="preserve"> </w:t>
            </w:r>
            <w:r w:rsidR="00E013FE">
              <w:rPr>
                <w:rStyle w:val="BRNormal"/>
              </w:rPr>
              <w:t>5 et</w:t>
            </w:r>
            <w:r w:rsidR="00393191" w:rsidRPr="008330FA">
              <w:rPr>
                <w:rStyle w:val="BRNormal"/>
              </w:rPr>
              <w:t xml:space="preserve"> </w:t>
            </w:r>
            <w:r>
              <w:rPr>
                <w:rStyle w:val="BRNormal"/>
              </w:rPr>
              <w:t>CE</w:t>
            </w:r>
            <w:r w:rsidR="000B0BD1">
              <w:rPr>
                <w:rStyle w:val="BRNormal"/>
              </w:rPr>
              <w:t xml:space="preserve"> </w:t>
            </w:r>
            <w:r w:rsidR="00393191" w:rsidRPr="008330FA">
              <w:rPr>
                <w:rStyle w:val="BRNormal"/>
              </w:rPr>
              <w:t>6</w:t>
            </w:r>
          </w:p>
        </w:tc>
      </w:tr>
      <w:tr w:rsidR="00393191" w:rsidRPr="00393191" w:rsidTr="00E013FE">
        <w:tc>
          <w:tcPr>
            <w:tcW w:w="9639" w:type="dxa"/>
            <w:gridSpan w:val="3"/>
            <w:tcBorders>
              <w:top w:val="single" w:sz="4" w:space="0" w:color="auto"/>
              <w:left w:val="nil"/>
              <w:bottom w:val="single" w:sz="4" w:space="0" w:color="auto"/>
              <w:right w:val="nil"/>
            </w:tcBorders>
          </w:tcPr>
          <w:p w:rsidR="00393191" w:rsidRPr="00A31EA2" w:rsidRDefault="00393191" w:rsidP="00425FA3">
            <w:r w:rsidRPr="0014454C">
              <w:rPr>
                <w:b/>
                <w:bCs/>
                <w:i/>
                <w:iCs/>
              </w:rPr>
              <w:t>Répercussions au niveau des ressources de l'UIT, y compris incidences financières</w:t>
            </w:r>
            <w:r w:rsidRPr="0014454C">
              <w:rPr>
                <w:b/>
                <w:bCs/>
                <w:i/>
                <w:iCs/>
              </w:rPr>
              <w:br/>
              <w:t>(voir le numéro 126 de la Convention):</w:t>
            </w:r>
          </w:p>
          <w:p w:rsidR="00393191" w:rsidRPr="00730563" w:rsidRDefault="00C203CC"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p>
        </w:tc>
      </w:tr>
      <w:tr w:rsidR="00393191" w:rsidRPr="009E4745" w:rsidTr="00F314D8">
        <w:tc>
          <w:tcPr>
            <w:tcW w:w="4539" w:type="dxa"/>
            <w:gridSpan w:val="2"/>
            <w:tcBorders>
              <w:top w:val="single" w:sz="4" w:space="0" w:color="auto"/>
              <w:left w:val="nil"/>
              <w:bottom w:val="single" w:sz="4" w:space="0" w:color="auto"/>
              <w:right w:val="nil"/>
            </w:tcBorders>
          </w:tcPr>
          <w:p w:rsidR="00393191" w:rsidRPr="009E4745" w:rsidRDefault="00393191" w:rsidP="00425FA3">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393191" w:rsidRPr="00A31EA2" w:rsidRDefault="00393191" w:rsidP="00425FA3">
            <w:r w:rsidRPr="00695ABE">
              <w:rPr>
                <w:b/>
                <w:bCs/>
                <w:i/>
                <w:iCs/>
              </w:rPr>
              <w:t>Proposition soumise par plusieurs pays:</w:t>
            </w:r>
            <w:r w:rsidRPr="008C0EDF">
              <w:rPr>
                <w:b/>
                <w:bCs/>
              </w:rPr>
              <w:t xml:space="preserve"> </w:t>
            </w:r>
            <w:r w:rsidRPr="009217A6">
              <w:t>Non</w:t>
            </w:r>
          </w:p>
          <w:p w:rsidR="00393191" w:rsidRPr="00E013FE" w:rsidRDefault="00393191" w:rsidP="00E013FE">
            <w:r w:rsidRPr="003A2ED4">
              <w:rPr>
                <w:b/>
                <w:bCs/>
                <w:i/>
                <w:iCs/>
                <w:lang w:val="fr-CH"/>
              </w:rPr>
              <w:t>Nombre de pays:</w:t>
            </w:r>
          </w:p>
        </w:tc>
      </w:tr>
      <w:tr w:rsidR="00393191" w:rsidRPr="00714540" w:rsidTr="00F314D8">
        <w:tc>
          <w:tcPr>
            <w:tcW w:w="9639" w:type="dxa"/>
            <w:gridSpan w:val="3"/>
            <w:tcBorders>
              <w:top w:val="single" w:sz="4" w:space="0" w:color="auto"/>
              <w:left w:val="nil"/>
              <w:bottom w:val="nil"/>
              <w:right w:val="nil"/>
            </w:tcBorders>
          </w:tcPr>
          <w:p w:rsidR="00393191" w:rsidRPr="00A31EA2" w:rsidRDefault="00393191" w:rsidP="00425FA3">
            <w:r w:rsidRPr="003A2ED4">
              <w:rPr>
                <w:b/>
                <w:bCs/>
                <w:i/>
                <w:iCs/>
              </w:rPr>
              <w:t>Observations</w:t>
            </w:r>
          </w:p>
          <w:p w:rsidR="00393191" w:rsidRPr="00714540" w:rsidRDefault="00C203CC" w:rsidP="000B0BD1">
            <w:pPr>
              <w:spacing w:before="80"/>
              <w:rPr>
                <w:b/>
                <w:i/>
              </w:rPr>
            </w:pPr>
            <w:r>
              <w:t>Néant</w:t>
            </w:r>
          </w:p>
        </w:tc>
      </w:tr>
    </w:tbl>
    <w:p w:rsidR="006B1FD4" w:rsidRPr="00E013FE" w:rsidRDefault="00A846F5" w:rsidP="00425FA3">
      <w:pPr>
        <w:pStyle w:val="Proposal"/>
        <w:rPr>
          <w:lang w:val="fr-CH"/>
        </w:rPr>
      </w:pPr>
      <w:r w:rsidRPr="00E013FE">
        <w:rPr>
          <w:lang w:val="fr-CH"/>
        </w:rPr>
        <w:lastRenderedPageBreak/>
        <w:t>ADD</w:t>
      </w:r>
      <w:r w:rsidRPr="00E013FE">
        <w:rPr>
          <w:lang w:val="fr-CH"/>
        </w:rPr>
        <w:tab/>
        <w:t>EUR/9A25/5</w:t>
      </w:r>
    </w:p>
    <w:p w:rsidR="00B906F7" w:rsidRPr="008653E6" w:rsidRDefault="001261B0" w:rsidP="00B979D7">
      <w:pPr>
        <w:pStyle w:val="ResNo"/>
        <w:rPr>
          <w:lang w:val="fr-CH"/>
        </w:rPr>
      </w:pPr>
      <w:r w:rsidRPr="008653E6">
        <w:rPr>
          <w:lang w:val="fr-CH"/>
        </w:rPr>
        <w:t xml:space="preserve">PROJET DE NOUVELLE </w:t>
      </w:r>
      <w:r w:rsidR="00BB138D" w:rsidRPr="008653E6">
        <w:rPr>
          <w:lang w:val="fr-CH"/>
        </w:rPr>
        <w:t>RÉSOLUTION</w:t>
      </w:r>
      <w:r w:rsidR="00B906F7" w:rsidRPr="008653E6">
        <w:rPr>
          <w:lang w:val="fr-CH"/>
        </w:rPr>
        <w:t xml:space="preserve"> [EUR-D10</w:t>
      </w:r>
      <w:r w:rsidR="00A846F5" w:rsidRPr="008653E6">
        <w:rPr>
          <w:lang w:val="fr-CH"/>
        </w:rPr>
        <w:t>-3]</w:t>
      </w:r>
      <w:r w:rsidR="00B906F7" w:rsidRPr="008653E6">
        <w:rPr>
          <w:lang w:val="fr-CH"/>
        </w:rPr>
        <w:t xml:space="preserve"> (</w:t>
      </w:r>
      <w:r w:rsidR="00E013FE" w:rsidRPr="008653E6">
        <w:rPr>
          <w:lang w:val="fr-CH"/>
        </w:rPr>
        <w:t>CMR</w:t>
      </w:r>
      <w:r w:rsidR="00B906F7" w:rsidRPr="008653E6">
        <w:rPr>
          <w:lang w:val="fr-CH"/>
        </w:rPr>
        <w:t>-15)</w:t>
      </w:r>
    </w:p>
    <w:p w:rsidR="001467B2" w:rsidRPr="00730563" w:rsidRDefault="00B979D7" w:rsidP="00425FA3">
      <w:pPr>
        <w:pStyle w:val="Restitle"/>
        <w:rPr>
          <w:lang w:val="fr-CH"/>
        </w:rPr>
      </w:pPr>
      <w:r>
        <w:rPr>
          <w:lang w:val="fr-CH"/>
        </w:rPr>
        <w:t>E</w:t>
      </w:r>
      <w:r w:rsidR="00071B1B" w:rsidRPr="00730563">
        <w:rPr>
          <w:lang w:val="fr-CH"/>
        </w:rPr>
        <w:t>tudes en vue de l</w:t>
      </w:r>
      <w:r>
        <w:rPr>
          <w:lang w:val="fr-CH"/>
        </w:rPr>
        <w:t>'</w:t>
      </w:r>
      <w:r w:rsidR="00071B1B" w:rsidRPr="00730563">
        <w:rPr>
          <w:lang w:val="fr-CH"/>
        </w:rPr>
        <w:t>identification d</w:t>
      </w:r>
      <w:r>
        <w:rPr>
          <w:lang w:val="fr-CH"/>
        </w:rPr>
        <w:t>'</w:t>
      </w:r>
      <w:r w:rsidR="00071B1B" w:rsidRPr="00730563">
        <w:rPr>
          <w:lang w:val="fr-CH"/>
        </w:rPr>
        <w:t xml:space="preserve">une bande pour le service mobile terrestre </w:t>
      </w:r>
      <w:r>
        <w:rPr>
          <w:lang w:val="fr-CH"/>
        </w:rPr>
        <w:br/>
      </w:r>
      <w:r w:rsidR="00071B1B" w:rsidRPr="00730563">
        <w:rPr>
          <w:lang w:val="fr-CH"/>
        </w:rPr>
        <w:t>et le service fixe sanctionn</w:t>
      </w:r>
      <w:r w:rsidR="00E013FE">
        <w:rPr>
          <w:lang w:val="fr-CH"/>
        </w:rPr>
        <w:t>ant dans la gamme de fréquences</w:t>
      </w:r>
      <w:r w:rsidR="001467B2" w:rsidRPr="00730563">
        <w:rPr>
          <w:lang w:val="fr-CH"/>
        </w:rPr>
        <w:t xml:space="preserve"> 275-450 GHz</w:t>
      </w:r>
    </w:p>
    <w:p w:rsidR="001467B2" w:rsidRPr="00730563" w:rsidRDefault="001261B0" w:rsidP="00425FA3">
      <w:pPr>
        <w:pStyle w:val="Normalaftertitle"/>
        <w:rPr>
          <w:lang w:val="fr-CH"/>
        </w:rPr>
      </w:pPr>
      <w:r w:rsidRPr="00730563">
        <w:rPr>
          <w:lang w:val="fr-CH"/>
        </w:rPr>
        <w:t xml:space="preserve">La Conférence mondiale des radiocommunications </w:t>
      </w:r>
      <w:r w:rsidR="001467B2" w:rsidRPr="00730563">
        <w:rPr>
          <w:lang w:val="fr-CH"/>
        </w:rPr>
        <w:t>(</w:t>
      </w:r>
      <w:r w:rsidR="00E013FE">
        <w:rPr>
          <w:lang w:val="fr-CH"/>
        </w:rPr>
        <w:t>Genève</w:t>
      </w:r>
      <w:r w:rsidR="001467B2" w:rsidRPr="00730563">
        <w:rPr>
          <w:lang w:val="fr-CH"/>
        </w:rPr>
        <w:t>, 2015),</w:t>
      </w:r>
    </w:p>
    <w:p w:rsidR="001467B2" w:rsidRPr="00730563" w:rsidRDefault="00071B1B" w:rsidP="00425FA3">
      <w:pPr>
        <w:pStyle w:val="Call"/>
        <w:rPr>
          <w:lang w:val="fr-CH"/>
        </w:rPr>
      </w:pPr>
      <w:r w:rsidRPr="00730563">
        <w:rPr>
          <w:lang w:val="fr-CH"/>
        </w:rPr>
        <w:t xml:space="preserve">considérant </w:t>
      </w:r>
    </w:p>
    <w:p w:rsidR="001467B2" w:rsidRPr="00730563" w:rsidRDefault="001467B2" w:rsidP="00425FA3">
      <w:pPr>
        <w:rPr>
          <w:rFonts w:eastAsia="MS Mincho"/>
          <w:lang w:val="fr-CH"/>
        </w:rPr>
      </w:pPr>
      <w:r w:rsidRPr="00B979D7">
        <w:rPr>
          <w:rFonts w:eastAsia="MS Mincho"/>
          <w:i/>
          <w:iCs/>
          <w:lang w:val="fr-CH"/>
        </w:rPr>
        <w:t>a)</w:t>
      </w:r>
      <w:r w:rsidRPr="00730563">
        <w:rPr>
          <w:rFonts w:eastAsia="MS Mincho"/>
          <w:lang w:val="fr-CH"/>
        </w:rPr>
        <w:tab/>
      </w:r>
      <w:r w:rsidR="00166DAD">
        <w:rPr>
          <w:color w:val="000000"/>
        </w:rPr>
        <w:t xml:space="preserve">que, conformément au numéro </w:t>
      </w:r>
      <w:r w:rsidR="00166DAD" w:rsidRPr="00730563">
        <w:rPr>
          <w:rStyle w:val="Artdef"/>
          <w:rFonts w:eastAsia="MS Mincho"/>
          <w:lang w:val="fr-CH"/>
        </w:rPr>
        <w:t xml:space="preserve">5.565, </w:t>
      </w:r>
      <w:r w:rsidR="00166DAD">
        <w:rPr>
          <w:color w:val="000000"/>
        </w:rPr>
        <w:t>plusieurs bandes dans la gamme de fréquences 275-1 000 GHz sont identifiées pour être utilisées par les administrations pour les services passifs, par exemple le service de radioastronomie, le service d'exploration de la Terre par satellite (passive</w:t>
      </w:r>
      <w:r w:rsidR="00B1634C">
        <w:rPr>
          <w:color w:val="000000"/>
        </w:rPr>
        <w:t>) et</w:t>
      </w:r>
      <w:r w:rsidR="00166DAD">
        <w:rPr>
          <w:color w:val="000000"/>
        </w:rPr>
        <w:t xml:space="preserve"> le service de recherche spatiale (passive);</w:t>
      </w:r>
    </w:p>
    <w:p w:rsidR="00B906F7" w:rsidRPr="001467B2" w:rsidRDefault="001467B2" w:rsidP="00425FA3">
      <w:pPr>
        <w:rPr>
          <w:lang w:val="fr-CH"/>
        </w:rPr>
      </w:pPr>
      <w:r w:rsidRPr="00B979D7">
        <w:rPr>
          <w:rFonts w:eastAsia="MS Mincho"/>
          <w:i/>
          <w:iCs/>
          <w:lang w:val="fr-CH"/>
        </w:rPr>
        <w:t>b)</w:t>
      </w:r>
      <w:r w:rsidRPr="001467B2">
        <w:rPr>
          <w:rFonts w:eastAsia="MS Mincho"/>
          <w:lang w:val="fr-CH"/>
        </w:rPr>
        <w:tab/>
      </w:r>
      <w:r w:rsidR="00166DAD">
        <w:rPr>
          <w:rFonts w:eastAsia="MS Mincho"/>
          <w:lang w:val="fr-CH"/>
        </w:rPr>
        <w:t xml:space="preserve">que </w:t>
      </w:r>
      <w:r w:rsidR="00166DAD">
        <w:t>l</w:t>
      </w:r>
      <w:r w:rsidRPr="00E20284">
        <w:t xml:space="preserve">'utilisation de la gamme </w:t>
      </w:r>
      <w:r>
        <w:t xml:space="preserve">de </w:t>
      </w:r>
      <w:r w:rsidRPr="00E20284">
        <w:t xml:space="preserve">fréquences </w:t>
      </w:r>
      <w:r w:rsidR="00166DAD">
        <w:t xml:space="preserve">au-dessus de </w:t>
      </w:r>
      <w:r w:rsidRPr="00E20284">
        <w:t>275</w:t>
      </w:r>
      <w:r w:rsidR="00E013FE">
        <w:t xml:space="preserve"> </w:t>
      </w:r>
      <w:r w:rsidR="000B0BD1">
        <w:t xml:space="preserve">GHz </w:t>
      </w:r>
      <w:r w:rsidRPr="00E20284">
        <w:t>par les services passifs n'exclut pas l'utilisation de cette gamme de fréquences par les services actifs</w:t>
      </w:r>
      <w:r w:rsidR="00E013FE">
        <w:t>;</w:t>
      </w:r>
    </w:p>
    <w:p w:rsidR="00B906F7" w:rsidRPr="001467B2" w:rsidRDefault="001467B2" w:rsidP="00425FA3">
      <w:pPr>
        <w:rPr>
          <w:lang w:val="fr-CH"/>
        </w:rPr>
      </w:pPr>
      <w:r w:rsidRPr="00B979D7">
        <w:rPr>
          <w:rFonts w:eastAsia="MS Mincho"/>
          <w:i/>
          <w:iCs/>
          <w:lang w:val="fr-CH"/>
        </w:rPr>
        <w:t>c)</w:t>
      </w:r>
      <w:r>
        <w:rPr>
          <w:rFonts w:eastAsia="MS Mincho"/>
          <w:lang w:val="fr-CH"/>
        </w:rPr>
        <w:tab/>
      </w:r>
      <w:r w:rsidR="00E013FE">
        <w:rPr>
          <w:rFonts w:eastAsia="MS Mincho"/>
          <w:lang w:val="fr-CH"/>
        </w:rPr>
        <w:t xml:space="preserve">que </w:t>
      </w:r>
      <w:r w:rsidR="00E013FE">
        <w:t>l</w:t>
      </w:r>
      <w:r w:rsidRPr="00DC63CA">
        <w:t>es administrations</w:t>
      </w:r>
      <w:r w:rsidRPr="00E20284">
        <w:t xml:space="preserve"> souhaitant </w:t>
      </w:r>
      <w:r>
        <w:t xml:space="preserve">mettre à disposition </w:t>
      </w:r>
      <w:r w:rsidRPr="00E20284">
        <w:t>des fréquences dans la gamme</w:t>
      </w:r>
      <w:r>
        <w:t> </w:t>
      </w:r>
      <w:r w:rsidRPr="00E20284">
        <w:t>275</w:t>
      </w:r>
      <w:r>
        <w:t>-</w:t>
      </w:r>
      <w:r w:rsidRPr="00E20284">
        <w:t xml:space="preserve">1 000 GHz pour les </w:t>
      </w:r>
      <w:r w:rsidRPr="00BA5CEB">
        <w:t>applications</w:t>
      </w:r>
      <w:r w:rsidRPr="00E20284">
        <w:t xml:space="preserve"> des </w:t>
      </w:r>
      <w:r w:rsidRPr="00DC63CA">
        <w:rPr>
          <w:szCs w:val="24"/>
        </w:rPr>
        <w:t>service</w:t>
      </w:r>
      <w:r w:rsidRPr="00E20284">
        <w:t xml:space="preserve">s actifs </w:t>
      </w:r>
      <w:r w:rsidRPr="00DC63CA">
        <w:t xml:space="preserve">sont </w:t>
      </w:r>
      <w:r w:rsidRPr="00E20284">
        <w:t xml:space="preserve">instamment priées de </w:t>
      </w:r>
      <w:r w:rsidRPr="00DC63CA">
        <w:t xml:space="preserve">prendre toutes les mesures pratiquement réalisables pour protéger ces services passifs contre les brouillages préjudiciables jusqu'à la date d'établissement du Tableau d'attribution </w:t>
      </w:r>
      <w:r>
        <w:t>des bandes de fréquences</w:t>
      </w:r>
      <w:r w:rsidR="008135BB">
        <w:t>;</w:t>
      </w:r>
    </w:p>
    <w:p w:rsidR="00A851DB" w:rsidRPr="00730563" w:rsidRDefault="00A851DB" w:rsidP="00425FA3">
      <w:pPr>
        <w:rPr>
          <w:rFonts w:eastAsia="MS Mincho"/>
          <w:lang w:val="fr-CH"/>
        </w:rPr>
      </w:pPr>
      <w:r w:rsidRPr="00B979D7">
        <w:rPr>
          <w:rFonts w:eastAsia="MS Mincho"/>
          <w:i/>
          <w:iCs/>
          <w:lang w:val="fr-CH"/>
        </w:rPr>
        <w:t>d)</w:t>
      </w:r>
      <w:r w:rsidRPr="00730563">
        <w:rPr>
          <w:rFonts w:eastAsia="MS Mincho"/>
          <w:lang w:val="fr-CH"/>
        </w:rPr>
        <w:tab/>
      </w:r>
      <w:r w:rsidR="00166DAD" w:rsidRPr="00730563">
        <w:rPr>
          <w:rFonts w:eastAsia="MS Mincho"/>
          <w:lang w:val="fr-CH"/>
        </w:rPr>
        <w:t>que, grâce aux progrès techniques, il existe</w:t>
      </w:r>
      <w:r w:rsidR="003228B3">
        <w:rPr>
          <w:rFonts w:eastAsia="MS Mincho"/>
          <w:lang w:val="fr-CH"/>
        </w:rPr>
        <w:t xml:space="preserve"> </w:t>
      </w:r>
      <w:r w:rsidR="00166DAD" w:rsidRPr="00730563">
        <w:rPr>
          <w:rFonts w:eastAsia="MS Mincho"/>
          <w:lang w:val="fr-CH"/>
        </w:rPr>
        <w:t>des dispositifs actifs pouvant fonctionne</w:t>
      </w:r>
      <w:r w:rsidR="00E013FE">
        <w:rPr>
          <w:rFonts w:eastAsia="MS Mincho"/>
          <w:lang w:val="fr-CH"/>
        </w:rPr>
        <w:t>r aux fréquences supérieures à 275 GHz;</w:t>
      </w:r>
    </w:p>
    <w:p w:rsidR="00A851DB" w:rsidRPr="00730563" w:rsidRDefault="00A851DB" w:rsidP="00E013FE">
      <w:pPr>
        <w:rPr>
          <w:rFonts w:eastAsia="MS Mincho"/>
          <w:lang w:val="fr-CH"/>
        </w:rPr>
      </w:pPr>
      <w:r w:rsidRPr="00B979D7">
        <w:rPr>
          <w:rFonts w:eastAsia="MS Mincho"/>
          <w:i/>
          <w:iCs/>
          <w:lang w:val="fr-CH"/>
        </w:rPr>
        <w:t>e)</w:t>
      </w:r>
      <w:r w:rsidRPr="00730563">
        <w:rPr>
          <w:rFonts w:eastAsia="MS Mincho"/>
          <w:lang w:val="fr-CH"/>
        </w:rPr>
        <w:tab/>
      </w:r>
      <w:r w:rsidR="00166DAD">
        <w:rPr>
          <w:color w:val="000000"/>
        </w:rPr>
        <w:t>que la Commission d'études 3 de l'UIT-R a déjà</w:t>
      </w:r>
      <w:r w:rsidR="003228B3">
        <w:rPr>
          <w:color w:val="000000"/>
        </w:rPr>
        <w:t xml:space="preserve"> </w:t>
      </w:r>
      <w:r w:rsidR="00166DAD">
        <w:rPr>
          <w:color w:val="000000"/>
        </w:rPr>
        <w:t xml:space="preserve">étudié les caractéristiques de propagation des fréquences </w:t>
      </w:r>
      <w:r w:rsidR="00F50032">
        <w:rPr>
          <w:color w:val="000000"/>
        </w:rPr>
        <w:t xml:space="preserve">au-dessus </w:t>
      </w:r>
      <w:r w:rsidR="00E013FE">
        <w:rPr>
          <w:color w:val="000000"/>
        </w:rPr>
        <w:t xml:space="preserve">de </w:t>
      </w:r>
      <w:r w:rsidR="00166DAD">
        <w:rPr>
          <w:color w:val="000000"/>
        </w:rPr>
        <w:t>275 GHz</w:t>
      </w:r>
      <w:r w:rsidRPr="00730563">
        <w:rPr>
          <w:rFonts w:eastAsia="MS Mincho" w:hint="eastAsia"/>
          <w:lang w:val="fr-CH"/>
        </w:rPr>
        <w:t>;</w:t>
      </w:r>
    </w:p>
    <w:p w:rsidR="00A851DB" w:rsidRPr="00730563" w:rsidRDefault="00A851DB" w:rsidP="00425FA3">
      <w:pPr>
        <w:rPr>
          <w:rFonts w:eastAsia="MS Mincho"/>
          <w:lang w:val="fr-CH"/>
        </w:rPr>
      </w:pPr>
      <w:r w:rsidRPr="00B979D7">
        <w:rPr>
          <w:rFonts w:eastAsia="MS Mincho"/>
          <w:i/>
          <w:iCs/>
          <w:lang w:val="fr-CH"/>
        </w:rPr>
        <w:t>f)</w:t>
      </w:r>
      <w:r w:rsidRPr="00730563">
        <w:rPr>
          <w:rFonts w:eastAsia="MS Mincho"/>
          <w:lang w:val="fr-CH"/>
        </w:rPr>
        <w:tab/>
      </w:r>
      <w:r w:rsidR="00891583">
        <w:rPr>
          <w:color w:val="000000"/>
        </w:rPr>
        <w:t>que certaines organisations de recherche-développement ont démontré que des systèmes de communication de données à ultra-haut débit, pouvant atteindre 100 Gbit/s, pouvaient fonctionner dans la bande au-dessus de 275 GHz</w:t>
      </w:r>
      <w:r w:rsidRPr="00730563">
        <w:rPr>
          <w:rFonts w:eastAsia="MS Mincho" w:hint="eastAsia"/>
          <w:lang w:val="fr-CH"/>
        </w:rPr>
        <w:t>;</w:t>
      </w:r>
    </w:p>
    <w:p w:rsidR="00A851DB" w:rsidRPr="00730563" w:rsidRDefault="00A851DB" w:rsidP="00B979D7">
      <w:pPr>
        <w:rPr>
          <w:rFonts w:eastAsia="MS Mincho"/>
          <w:lang w:val="fr-CH"/>
        </w:rPr>
      </w:pPr>
      <w:r w:rsidRPr="00B979D7">
        <w:rPr>
          <w:rFonts w:eastAsia="MS Mincho"/>
          <w:i/>
          <w:iCs/>
          <w:lang w:val="fr-CH"/>
        </w:rPr>
        <w:t>g)</w:t>
      </w:r>
      <w:r w:rsidRPr="00730563">
        <w:rPr>
          <w:rFonts w:eastAsia="MS Mincho"/>
          <w:lang w:val="fr-CH"/>
        </w:rPr>
        <w:tab/>
      </w:r>
      <w:r w:rsidR="00891583">
        <w:rPr>
          <w:color w:val="000000"/>
        </w:rPr>
        <w:t xml:space="preserve">que le </w:t>
      </w:r>
      <w:r w:rsidR="00E013FE">
        <w:rPr>
          <w:rFonts w:eastAsia="MS Mincho"/>
          <w:lang w:val="fr-CH"/>
        </w:rPr>
        <w:t>Groupe de travail</w:t>
      </w:r>
      <w:r w:rsidR="00891583" w:rsidRPr="00730563">
        <w:rPr>
          <w:rFonts w:eastAsia="MS Mincho" w:hint="eastAsia"/>
          <w:lang w:val="fr-CH"/>
        </w:rPr>
        <w:t xml:space="preserve"> 1A</w:t>
      </w:r>
      <w:r w:rsidR="00891583" w:rsidRPr="00730563">
        <w:rPr>
          <w:rFonts w:eastAsia="MS Mincho"/>
          <w:lang w:val="fr-CH"/>
        </w:rPr>
        <w:t xml:space="preserve"> de </w:t>
      </w:r>
      <w:r w:rsidR="00891583">
        <w:rPr>
          <w:color w:val="000000"/>
        </w:rPr>
        <w:t>l'UIT-R a procédé à une étude préliminaire des caractéristiques techniques et opérationnelles des services actifs fonctionnant dans la gamme 275-1</w:t>
      </w:r>
      <w:r w:rsidR="00B979D7">
        <w:rPr>
          <w:color w:val="000000"/>
        </w:rPr>
        <w:t> </w:t>
      </w:r>
      <w:r w:rsidR="00891583">
        <w:rPr>
          <w:color w:val="000000"/>
        </w:rPr>
        <w:t>000 GHz</w:t>
      </w:r>
      <w:r w:rsidRPr="00730563">
        <w:rPr>
          <w:rFonts w:eastAsia="MS Mincho" w:hint="eastAsia"/>
          <w:lang w:val="fr-CH"/>
        </w:rPr>
        <w:t>;</w:t>
      </w:r>
    </w:p>
    <w:p w:rsidR="00A851DB" w:rsidRPr="00730563" w:rsidRDefault="00A851DB" w:rsidP="00E013FE">
      <w:pPr>
        <w:rPr>
          <w:rFonts w:eastAsia="MS Mincho"/>
          <w:lang w:val="fr-CH"/>
        </w:rPr>
      </w:pPr>
      <w:r w:rsidRPr="00B979D7">
        <w:rPr>
          <w:rFonts w:eastAsia="MS Mincho"/>
          <w:i/>
          <w:iCs/>
          <w:lang w:val="fr-CH"/>
        </w:rPr>
        <w:t>h)</w:t>
      </w:r>
      <w:r w:rsidRPr="00730563">
        <w:rPr>
          <w:rFonts w:eastAsia="MS Mincho"/>
          <w:lang w:val="fr-CH"/>
        </w:rPr>
        <w:tab/>
      </w:r>
      <w:r w:rsidR="00891583">
        <w:rPr>
          <w:color w:val="000000"/>
        </w:rPr>
        <w:t>que les caractéristiques techniques et opérationnelles du service mobile terrestre et du service fixe fonctionnant dans la</w:t>
      </w:r>
      <w:r w:rsidR="00891583" w:rsidRPr="00891583">
        <w:rPr>
          <w:color w:val="000000"/>
        </w:rPr>
        <w:t xml:space="preserve"> </w:t>
      </w:r>
      <w:r w:rsidR="00891583">
        <w:rPr>
          <w:color w:val="000000"/>
        </w:rPr>
        <w:t>bande au-dessus de 275 GHz n'ont pas été définies et qu'un complément d'étude est nécessaire</w:t>
      </w:r>
      <w:r w:rsidR="00E013FE">
        <w:rPr>
          <w:rFonts w:eastAsia="MS Mincho"/>
          <w:lang w:val="fr-CH"/>
        </w:rPr>
        <w:t>;</w:t>
      </w:r>
    </w:p>
    <w:p w:rsidR="00A851DB" w:rsidRPr="00730563" w:rsidRDefault="00A851DB" w:rsidP="00425FA3">
      <w:pPr>
        <w:rPr>
          <w:rFonts w:eastAsia="MS Mincho"/>
          <w:lang w:val="fr-CH"/>
        </w:rPr>
      </w:pPr>
      <w:r w:rsidRPr="00B979D7">
        <w:rPr>
          <w:rFonts w:eastAsia="MS Mincho"/>
          <w:i/>
          <w:iCs/>
          <w:lang w:val="fr-CH"/>
        </w:rPr>
        <w:t>i)</w:t>
      </w:r>
      <w:r w:rsidRPr="00730563">
        <w:rPr>
          <w:rFonts w:eastAsia="MS Mincho"/>
          <w:lang w:val="fr-CH"/>
        </w:rPr>
        <w:tab/>
      </w:r>
      <w:r w:rsidR="00891583">
        <w:rPr>
          <w:color w:val="000000"/>
        </w:rPr>
        <w:t>qu'il est nécessaire de disposer des modèles de propagation du service mobile terrestre et du service fixe fonctionnant dans la bande au-dessus de 275 GHz</w:t>
      </w:r>
      <w:r w:rsidRPr="00730563">
        <w:rPr>
          <w:rFonts w:eastAsia="MS Mincho" w:hint="eastAsia"/>
          <w:lang w:val="fr-CH"/>
        </w:rPr>
        <w:t>;</w:t>
      </w:r>
    </w:p>
    <w:p w:rsidR="00A851DB" w:rsidRPr="00730563" w:rsidRDefault="00A851DB" w:rsidP="00E013FE">
      <w:pPr>
        <w:rPr>
          <w:rFonts w:eastAsia="MS Mincho"/>
          <w:lang w:val="fr-CH"/>
        </w:rPr>
      </w:pPr>
      <w:r w:rsidRPr="00B979D7">
        <w:rPr>
          <w:rFonts w:eastAsia="MS Mincho"/>
          <w:i/>
          <w:iCs/>
          <w:lang w:val="fr-CH"/>
        </w:rPr>
        <w:t>j)</w:t>
      </w:r>
      <w:r w:rsidRPr="00730563">
        <w:rPr>
          <w:rFonts w:eastAsia="MS Mincho"/>
          <w:lang w:val="fr-CH"/>
        </w:rPr>
        <w:tab/>
      </w:r>
      <w:r w:rsidR="00891583">
        <w:rPr>
          <w:color w:val="000000"/>
        </w:rPr>
        <w:t>qu'aucune étude de partage et de compatibilité entre</w:t>
      </w:r>
      <w:r w:rsidR="00891583" w:rsidRPr="00891583">
        <w:rPr>
          <w:color w:val="000000"/>
        </w:rPr>
        <w:t xml:space="preserve"> </w:t>
      </w:r>
      <w:r w:rsidR="00891583">
        <w:rPr>
          <w:color w:val="000000"/>
        </w:rPr>
        <w:t>le service mobile terrestre</w:t>
      </w:r>
      <w:r w:rsidR="00E013FE">
        <w:rPr>
          <w:color w:val="000000"/>
        </w:rPr>
        <w:t>, le service fixe</w:t>
      </w:r>
      <w:r w:rsidR="00891583">
        <w:rPr>
          <w:color w:val="000000"/>
        </w:rPr>
        <w:t xml:space="preserve"> ainsi que le</w:t>
      </w:r>
      <w:r w:rsidR="00E013FE">
        <w:rPr>
          <w:color w:val="000000"/>
        </w:rPr>
        <w:t>s</w:t>
      </w:r>
      <w:r w:rsidR="00891583">
        <w:rPr>
          <w:color w:val="000000"/>
        </w:rPr>
        <w:t xml:space="preserve"> service</w:t>
      </w:r>
      <w:r w:rsidR="00E013FE">
        <w:rPr>
          <w:color w:val="000000"/>
        </w:rPr>
        <w:t>s</w:t>
      </w:r>
      <w:r w:rsidR="00891583">
        <w:rPr>
          <w:color w:val="000000"/>
        </w:rPr>
        <w:t xml:space="preserve"> </w:t>
      </w:r>
      <w:r w:rsidR="00E013FE">
        <w:rPr>
          <w:color w:val="000000"/>
        </w:rPr>
        <w:t>passifs</w:t>
      </w:r>
      <w:r w:rsidR="00891583">
        <w:rPr>
          <w:color w:val="000000"/>
        </w:rPr>
        <w:t xml:space="preserve"> fonctionnant dans la bande au-dessus de 275 GHz n'a été effectuée,</w:t>
      </w:r>
    </w:p>
    <w:p w:rsidR="00A851DB" w:rsidRPr="00730563" w:rsidRDefault="00A851DB" w:rsidP="00425FA3">
      <w:pPr>
        <w:pStyle w:val="Call"/>
        <w:rPr>
          <w:rFonts w:eastAsia="MS Mincho"/>
          <w:lang w:val="fr-CH"/>
        </w:rPr>
      </w:pPr>
      <w:r w:rsidRPr="00730563">
        <w:rPr>
          <w:rFonts w:eastAsia="MS Mincho"/>
          <w:lang w:val="fr-CH"/>
        </w:rPr>
        <w:t>not</w:t>
      </w:r>
      <w:r w:rsidR="00891583" w:rsidRPr="00730563">
        <w:rPr>
          <w:rFonts w:eastAsia="MS Mincho"/>
          <w:lang w:val="fr-CH"/>
        </w:rPr>
        <w:t>ant</w:t>
      </w:r>
    </w:p>
    <w:p w:rsidR="00A851DB" w:rsidRPr="00730563" w:rsidRDefault="00A851DB" w:rsidP="00425FA3">
      <w:pPr>
        <w:rPr>
          <w:rFonts w:eastAsia="MS Mincho"/>
          <w:lang w:val="fr-CH"/>
        </w:rPr>
      </w:pPr>
      <w:r w:rsidRPr="00B979D7">
        <w:rPr>
          <w:rFonts w:eastAsia="MS Mincho"/>
          <w:i/>
          <w:iCs/>
          <w:lang w:val="fr-CH"/>
        </w:rPr>
        <w:t>a)</w:t>
      </w:r>
      <w:r w:rsidRPr="00730563">
        <w:rPr>
          <w:rFonts w:eastAsia="MS Mincho"/>
          <w:lang w:val="fr-CH"/>
        </w:rPr>
        <w:tab/>
      </w:r>
      <w:r w:rsidR="00A0382B">
        <w:rPr>
          <w:color w:val="000000"/>
        </w:rPr>
        <w:t>que la Question UIT-R 228-2/3 «Données de propagation requises pour la planification des systèmes de radiocommunication fonctionnant au-dessus de 275 GHz» traite des études sur les modèles de propagation qui décrivent le mieux la relation entre les paramètres atmosphériques et les caractéristiques des ondes électromagnétiques sur les liaisons de Terre fonctionnant aux fréquences supérieures à 275 GHz</w:t>
      </w:r>
      <w:r w:rsidR="00E013FE">
        <w:rPr>
          <w:rFonts w:eastAsia="MS Mincho" w:hint="eastAsia"/>
          <w:lang w:val="fr-CH"/>
        </w:rPr>
        <w:t>;</w:t>
      </w:r>
    </w:p>
    <w:p w:rsidR="00A851DB" w:rsidRPr="00730563" w:rsidRDefault="00A851DB" w:rsidP="00425FA3">
      <w:pPr>
        <w:rPr>
          <w:rFonts w:eastAsia="MS Mincho"/>
          <w:lang w:val="fr-CH"/>
        </w:rPr>
      </w:pPr>
      <w:r w:rsidRPr="00B979D7">
        <w:rPr>
          <w:rFonts w:eastAsia="MS Mincho"/>
          <w:i/>
          <w:iCs/>
          <w:lang w:val="fr-CH"/>
        </w:rPr>
        <w:lastRenderedPageBreak/>
        <w:t>b)</w:t>
      </w:r>
      <w:r w:rsidRPr="00730563">
        <w:rPr>
          <w:rFonts w:eastAsia="MS Mincho"/>
          <w:lang w:val="fr-CH"/>
        </w:rPr>
        <w:tab/>
      </w:r>
      <w:r w:rsidR="00A0382B">
        <w:rPr>
          <w:color w:val="000000"/>
        </w:rPr>
        <w:t>que la Question UIT-R 235-1/7 «Caractéristiques techniques et opérationnelles des applications des services scientifiques fonctionna</w:t>
      </w:r>
      <w:r w:rsidR="00E013FE">
        <w:rPr>
          <w:color w:val="000000"/>
        </w:rPr>
        <w:t>nt au-dessus de 275 GHz» traite d</w:t>
      </w:r>
      <w:r w:rsidR="00A0382B">
        <w:rPr>
          <w:color w:val="000000"/>
        </w:rPr>
        <w:t>es études relatives aux caractéristiques techniques et opérationnelles des systèmes fonctionnant aux fréqu</w:t>
      </w:r>
      <w:r w:rsidR="00E013FE">
        <w:rPr>
          <w:color w:val="000000"/>
        </w:rPr>
        <w:t>ences supérieures à 275 GHz dans</w:t>
      </w:r>
      <w:r w:rsidR="00A0382B">
        <w:rPr>
          <w:color w:val="000000"/>
        </w:rPr>
        <w:t xml:space="preserve"> les services scientifiques;</w:t>
      </w:r>
    </w:p>
    <w:p w:rsidR="00A851DB" w:rsidRPr="00730563" w:rsidRDefault="00A851DB" w:rsidP="00B979D7">
      <w:pPr>
        <w:rPr>
          <w:rFonts w:eastAsia="MS Mincho"/>
          <w:lang w:val="fr-CH"/>
        </w:rPr>
      </w:pPr>
      <w:r w:rsidRPr="00B979D7">
        <w:rPr>
          <w:rFonts w:eastAsia="MS Mincho"/>
          <w:i/>
          <w:iCs/>
          <w:lang w:val="fr-CH"/>
        </w:rPr>
        <w:t>c)</w:t>
      </w:r>
      <w:r w:rsidRPr="00730563">
        <w:rPr>
          <w:rFonts w:eastAsia="MS Mincho"/>
          <w:lang w:val="fr-CH"/>
        </w:rPr>
        <w:tab/>
      </w:r>
      <w:r w:rsidR="00D60B8E">
        <w:rPr>
          <w:color w:val="000000"/>
        </w:rPr>
        <w:t>que la Question UIT-R 237/1 «Caractéristiques techniques et opérationnelles des services actifs fonctionnant dans la gamme 275-1 000 GHz» porte sur les études relatives aux caractéristiques techniques et opérationnelles des services actifs dans la gamme de fréquences 275-1</w:t>
      </w:r>
      <w:r w:rsidR="00B979D7">
        <w:rPr>
          <w:color w:val="000000"/>
        </w:rPr>
        <w:t> </w:t>
      </w:r>
      <w:r w:rsidR="00D60B8E">
        <w:rPr>
          <w:color w:val="000000"/>
        </w:rPr>
        <w:t>000 GHz;</w:t>
      </w:r>
    </w:p>
    <w:p w:rsidR="00A851DB" w:rsidRPr="00730563" w:rsidRDefault="00A851DB" w:rsidP="00425FA3">
      <w:pPr>
        <w:rPr>
          <w:rFonts w:eastAsia="MS Mincho"/>
          <w:lang w:val="fr-CH"/>
        </w:rPr>
      </w:pPr>
      <w:r w:rsidRPr="00B979D7">
        <w:rPr>
          <w:rFonts w:eastAsia="MS Mincho"/>
          <w:i/>
          <w:iCs/>
          <w:lang w:val="fr-CH"/>
        </w:rPr>
        <w:t>d)</w:t>
      </w:r>
      <w:r w:rsidRPr="00730563">
        <w:rPr>
          <w:rFonts w:eastAsia="MS Mincho"/>
          <w:lang w:val="fr-CH"/>
        </w:rPr>
        <w:tab/>
      </w:r>
      <w:r w:rsidR="00D60B8E" w:rsidRPr="00730563">
        <w:rPr>
          <w:rFonts w:eastAsia="MS Mincho"/>
          <w:lang w:val="fr-CH"/>
        </w:rPr>
        <w:t>que d</w:t>
      </w:r>
      <w:r w:rsidR="00B979D7">
        <w:rPr>
          <w:rFonts w:eastAsia="MS Mincho"/>
          <w:lang w:val="fr-CH"/>
        </w:rPr>
        <w:t>'</w:t>
      </w:r>
      <w:r w:rsidR="00D60B8E" w:rsidRPr="00730563">
        <w:rPr>
          <w:rFonts w:eastAsia="MS Mincho"/>
          <w:lang w:val="fr-CH"/>
        </w:rPr>
        <w:t>autres organisations internationales élaborent actuellement des normes relatives aux bandes de fréquences qui pourraient convenir pour les systèmes de co</w:t>
      </w:r>
      <w:r w:rsidR="00A42F73">
        <w:rPr>
          <w:rFonts w:eastAsia="MS Mincho"/>
          <w:lang w:val="fr-CH"/>
        </w:rPr>
        <w:t>mmunication de données à ultra-</w:t>
      </w:r>
      <w:r w:rsidR="00D60B8E" w:rsidRPr="00730563">
        <w:rPr>
          <w:rFonts w:eastAsia="MS Mincho"/>
          <w:lang w:val="fr-CH"/>
        </w:rPr>
        <w:t>haut débit (100 Gbit/s</w:t>
      </w:r>
      <w:r w:rsidR="00BF2826">
        <w:rPr>
          <w:rFonts w:eastAsia="MS Mincho"/>
          <w:lang w:val="fr-CH"/>
        </w:rPr>
        <w:t>)</w:t>
      </w:r>
      <w:r w:rsidR="000B0BD1">
        <w:rPr>
          <w:rFonts w:eastAsia="MS Mincho"/>
          <w:lang w:val="fr-CH"/>
        </w:rPr>
        <w:t xml:space="preserve"> </w:t>
      </w:r>
      <w:r w:rsidR="00D60B8E" w:rsidRPr="00730563">
        <w:rPr>
          <w:rFonts w:eastAsia="MS Mincho"/>
          <w:lang w:val="fr-CH"/>
        </w:rPr>
        <w:t xml:space="preserve">des </w:t>
      </w:r>
      <w:r w:rsidR="00D60B8E">
        <w:rPr>
          <w:color w:val="000000"/>
        </w:rPr>
        <w:t>réseaux personnels sans fil</w:t>
      </w:r>
      <w:r w:rsidR="00E013FE">
        <w:rPr>
          <w:rFonts w:eastAsia="MS Mincho"/>
          <w:lang w:val="fr-CH"/>
        </w:rPr>
        <w:t xml:space="preserve"> </w:t>
      </w:r>
      <w:r w:rsidRPr="00730563">
        <w:rPr>
          <w:rFonts w:eastAsia="MS Mincho" w:hint="eastAsia"/>
          <w:lang w:val="fr-CH"/>
        </w:rPr>
        <w:t>(</w:t>
      </w:r>
      <w:r w:rsidR="00D60B8E" w:rsidRPr="00730563">
        <w:rPr>
          <w:rFonts w:eastAsia="MS Mincho"/>
          <w:lang w:val="fr-CH"/>
        </w:rPr>
        <w:t>WP</w:t>
      </w:r>
      <w:r w:rsidRPr="00730563">
        <w:rPr>
          <w:rFonts w:eastAsia="MS Mincho" w:hint="eastAsia"/>
          <w:lang w:val="fr-CH"/>
        </w:rPr>
        <w:t>AN)</w:t>
      </w:r>
      <w:r w:rsidRPr="00730563">
        <w:rPr>
          <w:rFonts w:eastAsia="MS Mincho"/>
          <w:lang w:val="fr-CH"/>
        </w:rPr>
        <w:t>;</w:t>
      </w:r>
    </w:p>
    <w:p w:rsidR="00A851DB" w:rsidRPr="00730563" w:rsidRDefault="00A851DB" w:rsidP="00425FA3">
      <w:pPr>
        <w:rPr>
          <w:rFonts w:eastAsia="MS Mincho"/>
          <w:lang w:val="fr-CH"/>
        </w:rPr>
      </w:pPr>
      <w:r w:rsidRPr="00B979D7">
        <w:rPr>
          <w:rFonts w:eastAsia="MS Mincho"/>
          <w:i/>
          <w:iCs/>
          <w:lang w:val="fr-CH"/>
        </w:rPr>
        <w:t>e)</w:t>
      </w:r>
      <w:r w:rsidRPr="00730563">
        <w:rPr>
          <w:rFonts w:eastAsia="MS Mincho"/>
          <w:lang w:val="fr-CH"/>
        </w:rPr>
        <w:tab/>
      </w:r>
      <w:r w:rsidR="00D60B8E" w:rsidRPr="00730563">
        <w:rPr>
          <w:rFonts w:eastAsia="MS Mincho"/>
          <w:lang w:val="fr-CH"/>
        </w:rPr>
        <w:t>que plusieurs systèmes de co</w:t>
      </w:r>
      <w:r w:rsidR="00A42F73">
        <w:rPr>
          <w:rFonts w:eastAsia="MS Mincho"/>
          <w:lang w:val="fr-CH"/>
        </w:rPr>
        <w:t>mmunication de données à ultra-</w:t>
      </w:r>
      <w:r w:rsidR="00D60B8E" w:rsidRPr="00730563">
        <w:rPr>
          <w:rFonts w:eastAsia="MS Mincho"/>
          <w:lang w:val="fr-CH"/>
        </w:rPr>
        <w:t>haut débit sont identifiés par d</w:t>
      </w:r>
      <w:r w:rsidR="00B979D7">
        <w:rPr>
          <w:rFonts w:eastAsia="MS Mincho"/>
          <w:lang w:val="fr-CH"/>
        </w:rPr>
        <w:t>'</w:t>
      </w:r>
      <w:r w:rsidR="00D60B8E" w:rsidRPr="00730563">
        <w:rPr>
          <w:rFonts w:eastAsia="MS Mincho"/>
          <w:lang w:val="fr-CH"/>
        </w:rPr>
        <w:t>autres organismes de normalisation</w:t>
      </w:r>
      <w:r w:rsidRPr="00730563">
        <w:rPr>
          <w:rFonts w:eastAsia="MS Mincho"/>
          <w:lang w:val="fr-CH"/>
        </w:rPr>
        <w:t>,</w:t>
      </w:r>
    </w:p>
    <w:p w:rsidR="00A851DB" w:rsidRPr="00730563" w:rsidRDefault="008E63D0" w:rsidP="00425FA3">
      <w:pPr>
        <w:pStyle w:val="Call"/>
        <w:rPr>
          <w:rFonts w:eastAsia="MS Mincho"/>
          <w:lang w:val="fr-CH"/>
        </w:rPr>
      </w:pPr>
      <w:r w:rsidRPr="00730563">
        <w:rPr>
          <w:rFonts w:eastAsia="MS Mincho"/>
          <w:lang w:val="fr-CH"/>
        </w:rPr>
        <w:t>reconnaissant</w:t>
      </w:r>
    </w:p>
    <w:p w:rsidR="00A851DB" w:rsidRPr="00730563" w:rsidRDefault="00476E98" w:rsidP="00425FA3">
      <w:pPr>
        <w:rPr>
          <w:rFonts w:eastAsiaTheme="minorEastAsia"/>
          <w:lang w:val="fr-CH"/>
        </w:rPr>
      </w:pPr>
      <w:r w:rsidRPr="00730563">
        <w:rPr>
          <w:rFonts w:eastAsia="MS Mincho"/>
          <w:lang w:val="fr-CH"/>
        </w:rPr>
        <w:t>que d</w:t>
      </w:r>
      <w:r w:rsidR="00B979D7">
        <w:rPr>
          <w:rFonts w:eastAsia="MS Mincho"/>
          <w:lang w:val="fr-CH"/>
        </w:rPr>
        <w:t>'</w:t>
      </w:r>
      <w:r w:rsidRPr="00730563">
        <w:rPr>
          <w:rFonts w:eastAsia="MS Mincho"/>
          <w:lang w:val="fr-CH"/>
        </w:rPr>
        <w:t>autres services</w:t>
      </w:r>
      <w:r w:rsidR="00E013FE">
        <w:rPr>
          <w:rFonts w:eastAsia="MS Mincho"/>
          <w:lang w:val="fr-CH"/>
        </w:rPr>
        <w:t xml:space="preserve"> actifs</w:t>
      </w:r>
      <w:r w:rsidRPr="00730563">
        <w:rPr>
          <w:rFonts w:eastAsia="MS Mincho"/>
          <w:lang w:val="fr-CH"/>
        </w:rPr>
        <w:t>, notamment le service de radiodiffusion et le service d</w:t>
      </w:r>
      <w:r w:rsidR="00B979D7">
        <w:rPr>
          <w:rFonts w:eastAsia="MS Mincho"/>
          <w:lang w:val="fr-CH"/>
        </w:rPr>
        <w:t>'</w:t>
      </w:r>
      <w:r w:rsidRPr="00730563">
        <w:rPr>
          <w:rFonts w:eastAsia="MS Mincho"/>
          <w:lang w:val="fr-CH"/>
        </w:rPr>
        <w:t>amateur, mettent également au point des applications au-dessus de 275 MHz et f</w:t>
      </w:r>
      <w:r w:rsidR="00E013FE">
        <w:rPr>
          <w:rFonts w:eastAsia="MS Mincho"/>
          <w:lang w:val="fr-CH"/>
        </w:rPr>
        <w:t xml:space="preserve">ont des démonstrations sur ces </w:t>
      </w:r>
      <w:r w:rsidRPr="00730563">
        <w:rPr>
          <w:rFonts w:eastAsia="MS Mincho"/>
          <w:lang w:val="fr-CH"/>
        </w:rPr>
        <w:t>applicat</w:t>
      </w:r>
      <w:r w:rsidR="00E013FE">
        <w:rPr>
          <w:rFonts w:eastAsia="MS Mincho"/>
          <w:lang w:val="fr-CH"/>
        </w:rPr>
        <w:t>ions au-dessus de cette bande</w:t>
      </w:r>
      <w:r w:rsidR="00A851DB" w:rsidRPr="00730563">
        <w:rPr>
          <w:rFonts w:eastAsia="MS Mincho"/>
          <w:lang w:val="fr-CH"/>
        </w:rPr>
        <w:t>,</w:t>
      </w:r>
    </w:p>
    <w:p w:rsidR="00A851DB" w:rsidRPr="00730563" w:rsidRDefault="00476E98" w:rsidP="00425FA3">
      <w:pPr>
        <w:pStyle w:val="Call"/>
        <w:rPr>
          <w:lang w:val="fr-CH"/>
        </w:rPr>
      </w:pPr>
      <w:r w:rsidRPr="00730563">
        <w:rPr>
          <w:lang w:val="fr-CH"/>
        </w:rPr>
        <w:t>décide d</w:t>
      </w:r>
      <w:r w:rsidR="00B979D7">
        <w:rPr>
          <w:lang w:val="fr-CH"/>
        </w:rPr>
        <w:t>'</w:t>
      </w:r>
      <w:r w:rsidRPr="00730563">
        <w:rPr>
          <w:lang w:val="fr-CH"/>
        </w:rPr>
        <w:t>inviter l</w:t>
      </w:r>
      <w:r w:rsidR="00B979D7">
        <w:rPr>
          <w:lang w:val="fr-CH"/>
        </w:rPr>
        <w:t>'</w:t>
      </w:r>
      <w:r w:rsidRPr="00730563">
        <w:rPr>
          <w:lang w:val="fr-CH"/>
        </w:rPr>
        <w:t>UIT-R</w:t>
      </w:r>
    </w:p>
    <w:p w:rsidR="00A851DB" w:rsidRPr="00730563" w:rsidRDefault="00A851DB" w:rsidP="00425FA3">
      <w:pPr>
        <w:rPr>
          <w:rFonts w:eastAsiaTheme="minorEastAsia"/>
          <w:lang w:val="fr-CH"/>
        </w:rPr>
      </w:pPr>
      <w:r w:rsidRPr="00730563">
        <w:rPr>
          <w:rFonts w:eastAsiaTheme="minorEastAsia"/>
          <w:lang w:val="fr-CH"/>
        </w:rPr>
        <w:t>1</w:t>
      </w:r>
      <w:r w:rsidRPr="00730563">
        <w:rPr>
          <w:rFonts w:eastAsiaTheme="minorEastAsia"/>
          <w:lang w:val="fr-CH"/>
        </w:rPr>
        <w:tab/>
      </w:r>
      <w:r w:rsidR="00476E98">
        <w:rPr>
          <w:color w:val="000000"/>
        </w:rPr>
        <w:t>à définir les caractéristiques</w:t>
      </w:r>
      <w:r w:rsidR="003228B3">
        <w:rPr>
          <w:color w:val="000000"/>
        </w:rPr>
        <w:t xml:space="preserve"> </w:t>
      </w:r>
      <w:r w:rsidR="00476E98">
        <w:rPr>
          <w:color w:val="000000"/>
        </w:rPr>
        <w:t xml:space="preserve">des systèmes du service mobile terrestre et du service fixe fonctionnant aux fréquences supérieures à </w:t>
      </w:r>
      <w:r w:rsidRPr="00730563">
        <w:rPr>
          <w:rFonts w:eastAsiaTheme="minorEastAsia" w:hint="eastAsia"/>
          <w:lang w:val="fr-CH"/>
        </w:rPr>
        <w:t>275 GHz;</w:t>
      </w:r>
    </w:p>
    <w:p w:rsidR="00A851DB" w:rsidRPr="00730563" w:rsidRDefault="00A851DB" w:rsidP="00425FA3">
      <w:pPr>
        <w:rPr>
          <w:rFonts w:eastAsiaTheme="minorEastAsia"/>
          <w:lang w:val="fr-CH"/>
        </w:rPr>
      </w:pPr>
      <w:r w:rsidRPr="00730563">
        <w:rPr>
          <w:rFonts w:eastAsiaTheme="minorEastAsia"/>
          <w:lang w:val="fr-CH"/>
        </w:rPr>
        <w:t>2</w:t>
      </w:r>
      <w:r w:rsidRPr="00730563">
        <w:rPr>
          <w:rFonts w:eastAsiaTheme="minorEastAsia"/>
          <w:lang w:val="fr-CH"/>
        </w:rPr>
        <w:tab/>
      </w:r>
      <w:r w:rsidR="00476E98">
        <w:rPr>
          <w:color w:val="000000"/>
        </w:rPr>
        <w:t xml:space="preserve">à étudier les besoins de fréquences </w:t>
      </w:r>
      <w:r w:rsidR="00E013FE">
        <w:rPr>
          <w:color w:val="000000"/>
        </w:rPr>
        <w:t xml:space="preserve">des systèmes </w:t>
      </w:r>
      <w:r w:rsidR="00476E98">
        <w:rPr>
          <w:color w:val="000000"/>
        </w:rPr>
        <w:t>du service mobile terrestre et du service fixe, compte tenu des caractéristiques techniques et opérat</w:t>
      </w:r>
      <w:r w:rsidR="00E013FE">
        <w:rPr>
          <w:color w:val="000000"/>
        </w:rPr>
        <w:t xml:space="preserve">ionnelles des services actifs </w:t>
      </w:r>
      <w:r w:rsidR="00476E98">
        <w:rPr>
          <w:color w:val="000000"/>
        </w:rPr>
        <w:t>fonctionnant dans la gamme de fréquences</w:t>
      </w:r>
      <w:r w:rsidR="00E013FE">
        <w:rPr>
          <w:rFonts w:eastAsiaTheme="minorEastAsia"/>
          <w:lang w:val="fr-CH"/>
        </w:rPr>
        <w:t xml:space="preserve"> </w:t>
      </w:r>
      <w:r w:rsidRPr="00730563">
        <w:rPr>
          <w:rFonts w:eastAsiaTheme="minorEastAsia" w:hint="eastAsia"/>
          <w:lang w:val="fr-CH"/>
        </w:rPr>
        <w:t>275</w:t>
      </w:r>
      <w:r w:rsidRPr="00730563">
        <w:rPr>
          <w:rFonts w:eastAsiaTheme="minorEastAsia"/>
          <w:lang w:val="fr-CH"/>
        </w:rPr>
        <w:t>-450</w:t>
      </w:r>
      <w:r w:rsidRPr="00730563">
        <w:rPr>
          <w:rFonts w:eastAsiaTheme="minorEastAsia" w:hint="eastAsia"/>
          <w:lang w:val="fr-CH"/>
        </w:rPr>
        <w:t xml:space="preserve"> GHz;</w:t>
      </w:r>
    </w:p>
    <w:p w:rsidR="00A851DB" w:rsidRPr="00730563" w:rsidRDefault="00A851DB" w:rsidP="00425FA3">
      <w:pPr>
        <w:rPr>
          <w:rFonts w:eastAsiaTheme="minorEastAsia"/>
          <w:lang w:val="fr-CH"/>
        </w:rPr>
      </w:pPr>
      <w:r w:rsidRPr="00730563">
        <w:rPr>
          <w:rFonts w:eastAsiaTheme="minorEastAsia"/>
          <w:lang w:val="fr-CH"/>
        </w:rPr>
        <w:t>3</w:t>
      </w:r>
      <w:r w:rsidRPr="00730563">
        <w:rPr>
          <w:rFonts w:eastAsiaTheme="minorEastAsia"/>
          <w:lang w:val="fr-CH"/>
        </w:rPr>
        <w:tab/>
      </w:r>
      <w:r w:rsidR="00476E98">
        <w:rPr>
          <w:color w:val="000000"/>
        </w:rPr>
        <w:t>à procéder à des études de partage et de compatibilité en</w:t>
      </w:r>
      <w:r w:rsidR="00E013FE">
        <w:rPr>
          <w:color w:val="000000"/>
        </w:rPr>
        <w:t>tre le service mobile terrestre</w:t>
      </w:r>
      <w:r w:rsidR="00476E98">
        <w:rPr>
          <w:color w:val="000000"/>
        </w:rPr>
        <w:t>,</w:t>
      </w:r>
      <w:r w:rsidR="00476E98" w:rsidRPr="00476E98">
        <w:rPr>
          <w:color w:val="000000"/>
        </w:rPr>
        <w:t xml:space="preserve"> </w:t>
      </w:r>
      <w:r w:rsidR="00476E98">
        <w:rPr>
          <w:color w:val="000000"/>
        </w:rPr>
        <w:t>le service fixe et les services passifs</w:t>
      </w:r>
      <w:r w:rsidR="003228B3">
        <w:rPr>
          <w:color w:val="000000"/>
        </w:rPr>
        <w:t xml:space="preserve"> </w:t>
      </w:r>
      <w:r w:rsidR="00476E98">
        <w:rPr>
          <w:color w:val="000000"/>
        </w:rPr>
        <w:t xml:space="preserve">fonctionnant dans la gamme de fréquences </w:t>
      </w:r>
      <w:r w:rsidRPr="00730563">
        <w:rPr>
          <w:rFonts w:eastAsiaTheme="minorEastAsia" w:hint="eastAsia"/>
          <w:lang w:val="fr-CH"/>
        </w:rPr>
        <w:t>275</w:t>
      </w:r>
      <w:r w:rsidRPr="00730563">
        <w:rPr>
          <w:rFonts w:eastAsiaTheme="minorEastAsia"/>
          <w:lang w:val="fr-CH"/>
        </w:rPr>
        <w:t xml:space="preserve">-450 </w:t>
      </w:r>
      <w:r w:rsidRPr="00730563">
        <w:rPr>
          <w:rFonts w:eastAsiaTheme="minorEastAsia" w:hint="eastAsia"/>
          <w:lang w:val="fr-CH"/>
        </w:rPr>
        <w:t>GHz;</w:t>
      </w:r>
    </w:p>
    <w:p w:rsidR="00A851DB" w:rsidRPr="00730563" w:rsidRDefault="00A851DB" w:rsidP="00E013FE">
      <w:pPr>
        <w:rPr>
          <w:rFonts w:eastAsiaTheme="minorEastAsia"/>
          <w:lang w:val="fr-CH"/>
        </w:rPr>
      </w:pPr>
      <w:r w:rsidRPr="00730563">
        <w:rPr>
          <w:rFonts w:eastAsiaTheme="minorEastAsia"/>
          <w:lang w:val="fr-CH"/>
        </w:rPr>
        <w:t>4</w:t>
      </w:r>
      <w:r w:rsidRPr="00730563">
        <w:rPr>
          <w:rFonts w:eastAsiaTheme="minorEastAsia"/>
          <w:lang w:val="fr-CH"/>
        </w:rPr>
        <w:tab/>
      </w:r>
      <w:r w:rsidR="00476E98">
        <w:rPr>
          <w:color w:val="000000"/>
        </w:rPr>
        <w:t>à identifier des bandes de fréquences possibles en vue de leur utilisation par les systèmes du</w:t>
      </w:r>
      <w:r w:rsidR="003228B3">
        <w:rPr>
          <w:color w:val="000000"/>
        </w:rPr>
        <w:t xml:space="preserve"> </w:t>
      </w:r>
      <w:r w:rsidR="00476E98">
        <w:rPr>
          <w:color w:val="000000"/>
        </w:rPr>
        <w:t>service mobile terrestre et du service fixe, compte tenu des résultats</w:t>
      </w:r>
      <w:r w:rsidR="00E013FE">
        <w:rPr>
          <w:color w:val="000000"/>
        </w:rPr>
        <w:t xml:space="preserve"> des études visées aux points </w:t>
      </w:r>
      <w:r w:rsidR="00476E98">
        <w:rPr>
          <w:color w:val="000000"/>
        </w:rPr>
        <w:t xml:space="preserve">2 et 3 du </w:t>
      </w:r>
      <w:r w:rsidR="00476E98" w:rsidRPr="00FD175A">
        <w:rPr>
          <w:i/>
          <w:iCs/>
          <w:color w:val="000000"/>
        </w:rPr>
        <w:t>invite l'UIT-R</w:t>
      </w:r>
      <w:r w:rsidR="00476E98">
        <w:rPr>
          <w:color w:val="000000"/>
        </w:rPr>
        <w:t xml:space="preserve"> et de la protection des services passifs </w:t>
      </w:r>
      <w:r w:rsidR="00E013FE">
        <w:rPr>
          <w:color w:val="000000"/>
        </w:rPr>
        <w:t>visée</w:t>
      </w:r>
      <w:r w:rsidR="00476E98">
        <w:rPr>
          <w:color w:val="000000"/>
        </w:rPr>
        <w:t xml:space="preserve"> au numéro </w:t>
      </w:r>
      <w:r w:rsidR="00476E98" w:rsidRPr="0030395A">
        <w:rPr>
          <w:b/>
          <w:bCs/>
          <w:color w:val="000000"/>
        </w:rPr>
        <w:t>5.565</w:t>
      </w:r>
      <w:r w:rsidRPr="00730563">
        <w:rPr>
          <w:rFonts w:eastAsiaTheme="minorEastAsia"/>
          <w:lang w:val="fr-CH"/>
        </w:rPr>
        <w:t>,</w:t>
      </w:r>
    </w:p>
    <w:p w:rsidR="00A851DB" w:rsidRPr="00730563" w:rsidRDefault="00266CFB" w:rsidP="00425FA3">
      <w:pPr>
        <w:pStyle w:val="Call"/>
        <w:rPr>
          <w:lang w:val="fr-CH"/>
        </w:rPr>
      </w:pPr>
      <w:r>
        <w:rPr>
          <w:lang w:val="fr-CH"/>
        </w:rPr>
        <w:t>décide d</w:t>
      </w:r>
      <w:r w:rsidR="00B979D7">
        <w:rPr>
          <w:lang w:val="fr-CH"/>
        </w:rPr>
        <w:t>'</w:t>
      </w:r>
      <w:r>
        <w:rPr>
          <w:lang w:val="fr-CH"/>
        </w:rPr>
        <w:t>inviter</w:t>
      </w:r>
      <w:r w:rsidR="00476E98" w:rsidRPr="00730563">
        <w:rPr>
          <w:lang w:val="fr-CH"/>
        </w:rPr>
        <w:t xml:space="preserve"> la </w:t>
      </w:r>
      <w:r>
        <w:rPr>
          <w:lang w:val="fr-CH"/>
        </w:rPr>
        <w:t>CMR-19</w:t>
      </w:r>
    </w:p>
    <w:p w:rsidR="00A851DB" w:rsidRPr="00730563" w:rsidRDefault="007B0A74" w:rsidP="00425FA3">
      <w:pPr>
        <w:rPr>
          <w:lang w:val="fr-CH"/>
        </w:rPr>
      </w:pPr>
      <w:r w:rsidRPr="00730563">
        <w:rPr>
          <w:lang w:val="fr-CH"/>
        </w:rPr>
        <w:t>à envisager d</w:t>
      </w:r>
      <w:r w:rsidR="00B979D7">
        <w:rPr>
          <w:lang w:val="fr-CH"/>
        </w:rPr>
        <w:t>'</w:t>
      </w:r>
      <w:r w:rsidRPr="00730563">
        <w:rPr>
          <w:lang w:val="fr-CH"/>
        </w:rPr>
        <w:t>identifier une bande, dans le cadre d</w:t>
      </w:r>
      <w:r w:rsidR="00B979D7">
        <w:rPr>
          <w:lang w:val="fr-CH"/>
        </w:rPr>
        <w:t>'</w:t>
      </w:r>
      <w:r w:rsidRPr="00730563">
        <w:rPr>
          <w:lang w:val="fr-CH"/>
        </w:rPr>
        <w:t>un renvoi, pour le service mobile</w:t>
      </w:r>
      <w:r w:rsidR="00266CFB">
        <w:rPr>
          <w:lang w:val="fr-CH"/>
        </w:rPr>
        <w:t xml:space="preserve"> terrestre et le service fixe </w:t>
      </w:r>
      <w:r w:rsidRPr="00730563">
        <w:rPr>
          <w:lang w:val="fr-CH"/>
        </w:rPr>
        <w:t>fonctionna</w:t>
      </w:r>
      <w:r w:rsidR="00266CFB">
        <w:rPr>
          <w:lang w:val="fr-CH"/>
        </w:rPr>
        <w:t xml:space="preserve">nt dans la gamme de fréquences </w:t>
      </w:r>
      <w:r w:rsidR="00A851DB" w:rsidRPr="00730563">
        <w:rPr>
          <w:lang w:val="fr-CH"/>
        </w:rPr>
        <w:t xml:space="preserve">275-450 GHz, </w:t>
      </w:r>
      <w:r w:rsidRPr="00730563">
        <w:rPr>
          <w:lang w:val="fr-CH"/>
        </w:rPr>
        <w:t xml:space="preserve">tout en assurant la protection des services passifs, sous réserve du numéro </w:t>
      </w:r>
      <w:r w:rsidRPr="00730563">
        <w:rPr>
          <w:b/>
          <w:bCs/>
          <w:lang w:val="fr-CH"/>
        </w:rPr>
        <w:t>5.565</w:t>
      </w:r>
      <w:r w:rsidRPr="00730563">
        <w:rPr>
          <w:lang w:val="fr-CH"/>
        </w:rPr>
        <w:t>, compte tenu des résultats des études de l</w:t>
      </w:r>
      <w:r w:rsidR="00B979D7">
        <w:rPr>
          <w:lang w:val="fr-CH"/>
        </w:rPr>
        <w:t>'</w:t>
      </w:r>
      <w:r w:rsidRPr="00730563">
        <w:rPr>
          <w:lang w:val="fr-CH"/>
        </w:rPr>
        <w:t>UIT-R relatives au partage et à la compatibilité entre les services passifs et les services actifs ainsi que des besoin</w:t>
      </w:r>
      <w:r w:rsidR="00266CFB">
        <w:rPr>
          <w:lang w:val="fr-CH"/>
        </w:rPr>
        <w:t>s de fréquences de ces services</w:t>
      </w:r>
      <w:r w:rsidR="00A851DB" w:rsidRPr="00730563">
        <w:rPr>
          <w:lang w:val="fr-CH"/>
        </w:rPr>
        <w:t>,</w:t>
      </w:r>
    </w:p>
    <w:p w:rsidR="00A851DB" w:rsidRPr="00730563" w:rsidRDefault="007B0A74" w:rsidP="00425FA3">
      <w:pPr>
        <w:pStyle w:val="Call"/>
        <w:rPr>
          <w:rFonts w:eastAsiaTheme="minorEastAsia"/>
          <w:lang w:val="fr-CH"/>
        </w:rPr>
      </w:pPr>
      <w:r w:rsidRPr="00730563">
        <w:rPr>
          <w:rFonts w:eastAsiaTheme="minorEastAsia"/>
          <w:lang w:val="fr-CH"/>
        </w:rPr>
        <w:t xml:space="preserve">décide en outre </w:t>
      </w:r>
    </w:p>
    <w:p w:rsidR="001B6838" w:rsidRPr="00730563" w:rsidRDefault="007B0A74" w:rsidP="00425FA3">
      <w:pPr>
        <w:rPr>
          <w:rFonts w:eastAsiaTheme="minorEastAsia"/>
          <w:lang w:val="fr-CH"/>
        </w:rPr>
      </w:pPr>
      <w:r w:rsidRPr="00730563">
        <w:rPr>
          <w:rFonts w:eastAsiaTheme="minorEastAsia"/>
          <w:lang w:val="fr-CH"/>
        </w:rPr>
        <w:t>d</w:t>
      </w:r>
      <w:r w:rsidR="00B979D7">
        <w:rPr>
          <w:rFonts w:eastAsiaTheme="minorEastAsia"/>
          <w:lang w:val="fr-CH"/>
        </w:rPr>
        <w:t>'</w:t>
      </w:r>
      <w:r w:rsidRPr="00730563">
        <w:rPr>
          <w:rFonts w:eastAsiaTheme="minorEastAsia"/>
          <w:lang w:val="fr-CH"/>
        </w:rPr>
        <w:t>inviter une future conférence compétente à envisager d</w:t>
      </w:r>
      <w:r w:rsidR="00B979D7">
        <w:rPr>
          <w:rFonts w:eastAsiaTheme="minorEastAsia"/>
          <w:lang w:val="fr-CH"/>
        </w:rPr>
        <w:t>'</w:t>
      </w:r>
      <w:r w:rsidRPr="00730563">
        <w:rPr>
          <w:rFonts w:eastAsiaTheme="minorEastAsia"/>
          <w:lang w:val="fr-CH"/>
        </w:rPr>
        <w:t>établir le Tableau d</w:t>
      </w:r>
      <w:r w:rsidR="00B979D7">
        <w:rPr>
          <w:rFonts w:eastAsiaTheme="minorEastAsia"/>
          <w:lang w:val="fr-CH"/>
        </w:rPr>
        <w:t>'</w:t>
      </w:r>
      <w:r w:rsidRPr="00730563">
        <w:rPr>
          <w:rFonts w:eastAsiaTheme="minorEastAsia"/>
          <w:lang w:val="fr-CH"/>
        </w:rPr>
        <w:t>attribution des ban</w:t>
      </w:r>
      <w:r w:rsidR="00266CFB">
        <w:rPr>
          <w:rFonts w:eastAsiaTheme="minorEastAsia"/>
          <w:lang w:val="fr-CH"/>
        </w:rPr>
        <w:t xml:space="preserve">des de fréquences au-dessus de </w:t>
      </w:r>
      <w:r w:rsidR="00593B73">
        <w:rPr>
          <w:rFonts w:eastAsiaTheme="minorEastAsia"/>
          <w:lang w:val="fr-CH"/>
        </w:rPr>
        <w:t xml:space="preserve">275 GHz, </w:t>
      </w:r>
      <w:r w:rsidRPr="00730563">
        <w:rPr>
          <w:rFonts w:eastAsiaTheme="minorEastAsia"/>
          <w:lang w:val="fr-CH"/>
        </w:rPr>
        <w:t>compte tenu des résultats des études pertinentes, sans exclure l</w:t>
      </w:r>
      <w:r w:rsidR="00B979D7">
        <w:rPr>
          <w:rFonts w:eastAsiaTheme="minorEastAsia"/>
          <w:lang w:val="fr-CH"/>
        </w:rPr>
        <w:t>'</w:t>
      </w:r>
      <w:r w:rsidRPr="00730563">
        <w:rPr>
          <w:rFonts w:eastAsiaTheme="minorEastAsia"/>
          <w:lang w:val="fr-CH"/>
        </w:rPr>
        <w:t>utilisation par d</w:t>
      </w:r>
      <w:r w:rsidR="00B979D7">
        <w:rPr>
          <w:rFonts w:eastAsiaTheme="minorEastAsia"/>
          <w:lang w:val="fr-CH"/>
        </w:rPr>
        <w:t>'</w:t>
      </w:r>
      <w:r w:rsidRPr="00730563">
        <w:rPr>
          <w:rFonts w:eastAsiaTheme="minorEastAsia"/>
          <w:lang w:val="fr-CH"/>
        </w:rPr>
        <w:t>autres services</w:t>
      </w:r>
      <w:r w:rsidR="00593B73">
        <w:rPr>
          <w:rFonts w:eastAsiaTheme="minorEastAsia"/>
          <w:lang w:val="fr-CH"/>
        </w:rPr>
        <w:t>.</w:t>
      </w:r>
    </w:p>
    <w:p w:rsidR="001B6838" w:rsidRPr="00730563" w:rsidRDefault="001B6838" w:rsidP="00EE5360">
      <w:pPr>
        <w:pStyle w:val="Reasons"/>
        <w:rPr>
          <w:rFonts w:eastAsiaTheme="minorEastAsia"/>
          <w:lang w:val="fr-CH"/>
        </w:rPr>
      </w:pPr>
    </w:p>
    <w:p w:rsidR="001B6838" w:rsidRPr="00730563" w:rsidRDefault="001B6838" w:rsidP="00425FA3">
      <w:pPr>
        <w:tabs>
          <w:tab w:val="clear" w:pos="1134"/>
          <w:tab w:val="clear" w:pos="1871"/>
          <w:tab w:val="clear" w:pos="2268"/>
        </w:tabs>
        <w:overflowPunct/>
        <w:autoSpaceDE/>
        <w:autoSpaceDN/>
        <w:adjustRightInd/>
        <w:spacing w:before="0"/>
        <w:textAlignment w:val="auto"/>
        <w:rPr>
          <w:rFonts w:eastAsiaTheme="minorEastAsia"/>
          <w:lang w:val="fr-CH"/>
        </w:rPr>
      </w:pPr>
      <w:r w:rsidRPr="00730563">
        <w:rPr>
          <w:rFonts w:eastAsiaTheme="minorEastAsia"/>
          <w:lang w:val="fr-CH"/>
        </w:rPr>
        <w:br w:type="page"/>
      </w:r>
    </w:p>
    <w:p w:rsidR="00A851DB" w:rsidRPr="00730563" w:rsidRDefault="00DE2C23" w:rsidP="00425FA3">
      <w:pPr>
        <w:pStyle w:val="Appendixtitle"/>
        <w:rPr>
          <w:rFonts w:eastAsiaTheme="minorEastAsia"/>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de l</w:t>
      </w:r>
      <w:r w:rsidR="00B979D7">
        <w:rPr>
          <w:lang w:val="fr-CH"/>
        </w:rPr>
        <w:t>'</w:t>
      </w:r>
      <w:r w:rsidRPr="00730563">
        <w:rPr>
          <w:lang w:val="fr-CH"/>
        </w:rPr>
        <w:t xml:space="preserve">ordre du jour de la </w:t>
      </w:r>
      <w:r w:rsidR="00593B73">
        <w:rPr>
          <w:lang w:val="fr-CH"/>
        </w:rPr>
        <w:t>CMR</w:t>
      </w:r>
      <w:r w:rsidR="001B6838"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0"/>
        <w:gridCol w:w="5101"/>
      </w:tblGrid>
      <w:tr w:rsidR="00FD175A" w:rsidTr="00FD175A">
        <w:tc>
          <w:tcPr>
            <w:tcW w:w="1418" w:type="dxa"/>
            <w:tcBorders>
              <w:top w:val="nil"/>
              <w:left w:val="nil"/>
              <w:bottom w:val="nil"/>
              <w:right w:val="nil"/>
            </w:tcBorders>
          </w:tcPr>
          <w:p w:rsidR="00FD175A" w:rsidRPr="00FD175A" w:rsidRDefault="00FD175A" w:rsidP="004E10E0">
            <w:pPr>
              <w:tabs>
                <w:tab w:val="clear" w:pos="1871"/>
                <w:tab w:val="clear" w:pos="2268"/>
                <w:tab w:val="left" w:pos="6123"/>
              </w:tabs>
              <w:rPr>
                <w:b/>
                <w:bCs/>
                <w:i/>
                <w:iCs/>
                <w:lang w:val="fr-CH"/>
              </w:rPr>
            </w:pPr>
            <w:r w:rsidRPr="00FD175A">
              <w:rPr>
                <w:b/>
                <w:bCs/>
                <w:i/>
                <w:iCs/>
                <w:lang w:val="fr-CH"/>
              </w:rPr>
              <w:t>Objet:</w:t>
            </w:r>
          </w:p>
        </w:tc>
        <w:tc>
          <w:tcPr>
            <w:tcW w:w="8221" w:type="dxa"/>
            <w:gridSpan w:val="2"/>
            <w:tcBorders>
              <w:top w:val="nil"/>
              <w:left w:val="nil"/>
              <w:bottom w:val="nil"/>
              <w:right w:val="nil"/>
            </w:tcBorders>
          </w:tcPr>
          <w:p w:rsidR="00FD175A" w:rsidRDefault="00FD175A" w:rsidP="004E10E0">
            <w:pPr>
              <w:tabs>
                <w:tab w:val="clear" w:pos="1871"/>
                <w:tab w:val="clear" w:pos="2268"/>
                <w:tab w:val="left" w:pos="6123"/>
              </w:tabs>
              <w:rPr>
                <w:b/>
                <w:bCs/>
                <w:i/>
                <w:iCs/>
                <w:lang w:val="fr-CH"/>
              </w:rPr>
            </w:pPr>
            <w:r>
              <w:rPr>
                <w:rStyle w:val="BRNormal"/>
                <w:lang w:val="fr-CH"/>
              </w:rPr>
              <w:t>E</w:t>
            </w:r>
            <w:r w:rsidRPr="00730563">
              <w:rPr>
                <w:rStyle w:val="BRNormal"/>
                <w:lang w:val="fr-CH"/>
              </w:rPr>
              <w:t>tudes en vue de l</w:t>
            </w:r>
            <w:r>
              <w:rPr>
                <w:rStyle w:val="BRNormal"/>
                <w:lang w:val="fr-CH"/>
              </w:rPr>
              <w:t>'</w:t>
            </w:r>
            <w:r w:rsidRPr="00730563">
              <w:rPr>
                <w:rStyle w:val="BRNormal"/>
                <w:lang w:val="fr-CH"/>
              </w:rPr>
              <w:t>identification d</w:t>
            </w:r>
            <w:r>
              <w:rPr>
                <w:rStyle w:val="BRNormal"/>
                <w:lang w:val="fr-CH"/>
              </w:rPr>
              <w:t>'</w:t>
            </w:r>
            <w:r w:rsidRPr="00730563">
              <w:rPr>
                <w:rStyle w:val="BRNormal"/>
                <w:lang w:val="fr-CH"/>
              </w:rPr>
              <w:t>une bande pour le service mobile terrestre et le service fixe sanctionnant dans la gamme de fréquences</w:t>
            </w:r>
            <w:r>
              <w:rPr>
                <w:rStyle w:val="BRNormal"/>
                <w:lang w:val="fr-CH"/>
              </w:rPr>
              <w:t xml:space="preserve"> </w:t>
            </w:r>
            <w:r w:rsidRPr="00730563">
              <w:rPr>
                <w:rStyle w:val="BRNormal"/>
                <w:lang w:val="fr-CH"/>
              </w:rPr>
              <w:t>275-450 GHz</w:t>
            </w:r>
          </w:p>
        </w:tc>
      </w:tr>
      <w:tr w:rsidR="00FD175A" w:rsidTr="00FD175A">
        <w:tc>
          <w:tcPr>
            <w:tcW w:w="1418" w:type="dxa"/>
            <w:tcBorders>
              <w:top w:val="nil"/>
              <w:left w:val="nil"/>
              <w:bottom w:val="single" w:sz="4" w:space="0" w:color="auto"/>
              <w:right w:val="nil"/>
            </w:tcBorders>
          </w:tcPr>
          <w:p w:rsidR="00FD175A" w:rsidRPr="00FD175A" w:rsidRDefault="00FD175A" w:rsidP="004E10E0">
            <w:pPr>
              <w:tabs>
                <w:tab w:val="clear" w:pos="1871"/>
                <w:tab w:val="clear" w:pos="2268"/>
                <w:tab w:val="left" w:pos="6123"/>
              </w:tabs>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FD175A" w:rsidRDefault="00FD175A" w:rsidP="004E10E0">
            <w:pPr>
              <w:tabs>
                <w:tab w:val="clear" w:pos="1871"/>
                <w:tab w:val="clear" w:pos="2268"/>
                <w:tab w:val="left" w:pos="6123"/>
              </w:tabs>
              <w:rPr>
                <w:b/>
                <w:bCs/>
                <w:i/>
                <w:iCs/>
                <w:lang w:val="fr-CH"/>
              </w:rPr>
            </w:pPr>
            <w:r w:rsidRPr="00393191">
              <w:rPr>
                <w:lang w:val="en-US"/>
              </w:rPr>
              <w:t>CEPT</w:t>
            </w:r>
          </w:p>
        </w:tc>
      </w:tr>
      <w:tr w:rsidR="001B6838" w:rsidRPr="001B6838" w:rsidTr="00FD175A">
        <w:tc>
          <w:tcPr>
            <w:tcW w:w="9639" w:type="dxa"/>
            <w:gridSpan w:val="3"/>
            <w:tcBorders>
              <w:top w:val="single" w:sz="4" w:space="0" w:color="auto"/>
              <w:left w:val="nil"/>
              <w:bottom w:val="single" w:sz="4" w:space="0" w:color="auto"/>
              <w:right w:val="nil"/>
            </w:tcBorders>
          </w:tcPr>
          <w:p w:rsidR="001B6838" w:rsidRPr="00730563" w:rsidRDefault="001B6838" w:rsidP="00DD26BD">
            <w:pPr>
              <w:rPr>
                <w:lang w:val="fr-CH"/>
              </w:rPr>
            </w:pPr>
            <w:r w:rsidRPr="00730563">
              <w:rPr>
                <w:b/>
                <w:bCs/>
                <w:i/>
                <w:iCs/>
                <w:lang w:val="fr-CH"/>
              </w:rPr>
              <w:t>Proposition:</w:t>
            </w:r>
          </w:p>
          <w:p w:rsidR="001B6838" w:rsidRPr="00730563" w:rsidRDefault="00DE2C23" w:rsidP="00425FA3">
            <w:pPr>
              <w:rPr>
                <w:lang w:val="fr-CH"/>
              </w:rPr>
            </w:pPr>
            <w:r w:rsidRPr="00730563">
              <w:rPr>
                <w:lang w:val="fr-CH"/>
              </w:rPr>
              <w:t>envisager d</w:t>
            </w:r>
            <w:r w:rsidR="00B979D7">
              <w:rPr>
                <w:lang w:val="fr-CH"/>
              </w:rPr>
              <w:t>'</w:t>
            </w:r>
            <w:r w:rsidRPr="00730563">
              <w:rPr>
                <w:lang w:val="fr-CH"/>
              </w:rPr>
              <w:t>identifier une bande, dans le cadre d</w:t>
            </w:r>
            <w:r w:rsidR="00B979D7">
              <w:rPr>
                <w:lang w:val="fr-CH"/>
              </w:rPr>
              <w:t>'</w:t>
            </w:r>
            <w:r w:rsidRPr="00730563">
              <w:rPr>
                <w:lang w:val="fr-CH"/>
              </w:rPr>
              <w:t>un renvoi, pour le service mobile</w:t>
            </w:r>
            <w:r w:rsidR="00593B73">
              <w:rPr>
                <w:lang w:val="fr-CH"/>
              </w:rPr>
              <w:t xml:space="preserve"> terrestre et le service fixe </w:t>
            </w:r>
            <w:r w:rsidRPr="00730563">
              <w:rPr>
                <w:lang w:val="fr-CH"/>
              </w:rPr>
              <w:t>fonctionnant dans la gamme de fréquences</w:t>
            </w:r>
            <w:r w:rsidR="003228B3">
              <w:rPr>
                <w:lang w:val="fr-CH"/>
              </w:rPr>
              <w:t xml:space="preserve"> </w:t>
            </w:r>
            <w:r w:rsidRPr="00730563">
              <w:rPr>
                <w:lang w:val="fr-CH"/>
              </w:rPr>
              <w:t xml:space="preserve">275-450 GHz, tout en assurant la protection des services passifs, sous réserve du numéro </w:t>
            </w:r>
            <w:r w:rsidRPr="00730563">
              <w:rPr>
                <w:b/>
                <w:bCs/>
                <w:lang w:val="fr-CH"/>
              </w:rPr>
              <w:t>5.565</w:t>
            </w:r>
            <w:r w:rsidRPr="00730563">
              <w:rPr>
                <w:lang w:val="fr-CH"/>
              </w:rPr>
              <w:t>,</w:t>
            </w:r>
            <w:r>
              <w:rPr>
                <w:rStyle w:val="BRNormal"/>
              </w:rPr>
              <w:t xml:space="preserve"> conformément à la Résolution</w:t>
            </w:r>
            <w:r w:rsidR="00593B73">
              <w:t xml:space="preserve"> </w:t>
            </w:r>
            <w:r w:rsidR="001B6838" w:rsidRPr="00730563">
              <w:rPr>
                <w:rStyle w:val="Artdef"/>
                <w:lang w:val="fr-CH"/>
              </w:rPr>
              <w:t>[EUR-D10-3] (</w:t>
            </w:r>
            <w:r w:rsidR="003228B3">
              <w:rPr>
                <w:rStyle w:val="Artdef"/>
                <w:lang w:val="fr-CH"/>
              </w:rPr>
              <w:t>CMR-15</w:t>
            </w:r>
            <w:r w:rsidR="001B6838" w:rsidRPr="00730563">
              <w:rPr>
                <w:rStyle w:val="Artdef"/>
                <w:lang w:val="fr-CH"/>
              </w:rPr>
              <w:t>)</w:t>
            </w:r>
            <w:r w:rsidR="00EE5360">
              <w:rPr>
                <w:rStyle w:val="BRNormal"/>
                <w:lang w:val="fr-CH"/>
              </w:rPr>
              <w:t>.</w:t>
            </w:r>
          </w:p>
        </w:tc>
      </w:tr>
      <w:tr w:rsidR="001B6838" w:rsidRPr="001B6838" w:rsidTr="00FD175A">
        <w:tc>
          <w:tcPr>
            <w:tcW w:w="9639" w:type="dxa"/>
            <w:gridSpan w:val="3"/>
            <w:tcBorders>
              <w:top w:val="single" w:sz="4" w:space="0" w:color="auto"/>
              <w:left w:val="nil"/>
              <w:bottom w:val="single" w:sz="4" w:space="0" w:color="auto"/>
              <w:right w:val="nil"/>
            </w:tcBorders>
          </w:tcPr>
          <w:p w:rsidR="001B6838" w:rsidRPr="00730563" w:rsidRDefault="001B6838" w:rsidP="00DD26BD">
            <w:pPr>
              <w:rPr>
                <w:b/>
                <w:bCs/>
                <w:i/>
                <w:iCs/>
                <w:lang w:val="fr-CH"/>
              </w:rPr>
            </w:pPr>
            <w:r w:rsidRPr="00730563">
              <w:rPr>
                <w:b/>
                <w:bCs/>
                <w:i/>
                <w:iCs/>
                <w:lang w:val="fr-CH"/>
              </w:rPr>
              <w:t>Contexte/motif:</w:t>
            </w:r>
          </w:p>
          <w:p w:rsidR="001B6838" w:rsidRPr="00730563" w:rsidRDefault="00DE2C23" w:rsidP="00425FA3">
            <w:pPr>
              <w:rPr>
                <w:rStyle w:val="BRNormal"/>
                <w:lang w:val="fr-CH"/>
              </w:rPr>
            </w:pPr>
            <w:r w:rsidRPr="00730563">
              <w:rPr>
                <w:rStyle w:val="BRNormal"/>
                <w:lang w:val="fr-CH"/>
              </w:rPr>
              <w:t>La gamme de fréquences supérieure</w:t>
            </w:r>
            <w:r w:rsidR="003228B3">
              <w:rPr>
                <w:rStyle w:val="BRNormal"/>
                <w:lang w:val="fr-CH"/>
              </w:rPr>
              <w:t xml:space="preserve"> </w:t>
            </w:r>
            <w:r w:rsidRPr="00730563">
              <w:rPr>
                <w:rStyle w:val="BRNormal"/>
                <w:lang w:val="fr-CH"/>
              </w:rPr>
              <w:t xml:space="preserve">à </w:t>
            </w:r>
            <w:r w:rsidR="001B6838" w:rsidRPr="00730563">
              <w:rPr>
                <w:rStyle w:val="BRNormal"/>
                <w:lang w:val="fr-CH"/>
              </w:rPr>
              <w:t xml:space="preserve">275 GHz </w:t>
            </w:r>
            <w:r w:rsidRPr="00730563">
              <w:rPr>
                <w:rStyle w:val="BRNormal"/>
                <w:lang w:val="fr-CH"/>
              </w:rPr>
              <w:t xml:space="preserve">peut être utilisée à des fins </w:t>
            </w:r>
            <w:r w:rsidR="00A85042" w:rsidRPr="00730563">
              <w:rPr>
                <w:rStyle w:val="BRNormal"/>
                <w:lang w:val="fr-CH"/>
              </w:rPr>
              <w:t>d</w:t>
            </w:r>
            <w:r w:rsidR="00B979D7">
              <w:rPr>
                <w:rStyle w:val="BRNormal"/>
                <w:lang w:val="fr-CH"/>
              </w:rPr>
              <w:t>'</w:t>
            </w:r>
            <w:r w:rsidR="00A85042" w:rsidRPr="00730563">
              <w:rPr>
                <w:rStyle w:val="BRNormal"/>
                <w:lang w:val="fr-CH"/>
              </w:rPr>
              <w:t>expériment</w:t>
            </w:r>
            <w:r w:rsidR="00593B73">
              <w:rPr>
                <w:rStyle w:val="BRNormal"/>
                <w:lang w:val="fr-CH"/>
              </w:rPr>
              <w:t>ation, et pour la mise au point</w:t>
            </w:r>
            <w:r w:rsidR="00A85042" w:rsidRPr="00730563">
              <w:rPr>
                <w:rStyle w:val="BRNormal"/>
                <w:lang w:val="fr-CH"/>
              </w:rPr>
              <w:t xml:space="preserve"> de différents services actifs et passifs,</w:t>
            </w:r>
            <w:r w:rsidR="003228B3">
              <w:rPr>
                <w:rStyle w:val="BRNormal"/>
                <w:lang w:val="fr-CH"/>
              </w:rPr>
              <w:t xml:space="preserve"> </w:t>
            </w:r>
            <w:r w:rsidR="00A85042" w:rsidRPr="00730563">
              <w:rPr>
                <w:rStyle w:val="BRNormal"/>
                <w:lang w:val="fr-CH"/>
              </w:rPr>
              <w:t xml:space="preserve">conformément au </w:t>
            </w:r>
            <w:r w:rsidR="00A85042" w:rsidRPr="00FD175A">
              <w:rPr>
                <w:rStyle w:val="BRNormal"/>
                <w:lang w:val="fr-CH"/>
              </w:rPr>
              <w:t>numéro</w:t>
            </w:r>
            <w:r w:rsidR="001B6838" w:rsidRPr="00FD175A">
              <w:rPr>
                <w:rStyle w:val="BRNormal"/>
                <w:lang w:val="fr-CH"/>
              </w:rPr>
              <w:t xml:space="preserve"> </w:t>
            </w:r>
            <w:r w:rsidR="001B6838" w:rsidRPr="00FD175A">
              <w:rPr>
                <w:rStyle w:val="Artdef"/>
                <w:b w:val="0"/>
                <w:bCs/>
                <w:lang w:val="fr-CH"/>
              </w:rPr>
              <w:t>5.565</w:t>
            </w:r>
            <w:r w:rsidR="001B6838" w:rsidRPr="00FD175A">
              <w:rPr>
                <w:rStyle w:val="BRNormal"/>
                <w:lang w:val="fr-CH"/>
              </w:rPr>
              <w:t>.</w:t>
            </w:r>
            <w:r w:rsidR="00593B73" w:rsidRPr="00FD175A">
              <w:rPr>
                <w:rStyle w:val="BRNormal"/>
                <w:lang w:val="fr-CH"/>
              </w:rPr>
              <w:t xml:space="preserve"> </w:t>
            </w:r>
            <w:r w:rsidR="00A85042" w:rsidRPr="00FD175A">
              <w:rPr>
                <w:rFonts w:eastAsia="MS Mincho"/>
                <w:lang w:eastAsia="ja-JP"/>
              </w:rPr>
              <w:t>Cependant, le numéro 5.565 a été réexaminé conformément à la Résolution 950 (Rév.CMR-07</w:t>
            </w:r>
            <w:r w:rsidR="00B1634C" w:rsidRPr="00FD175A">
              <w:rPr>
                <w:rFonts w:eastAsia="MS Mincho"/>
                <w:lang w:eastAsia="ja-JP"/>
              </w:rPr>
              <w:t>)</w:t>
            </w:r>
            <w:r w:rsidR="00B1634C" w:rsidRPr="00593B73">
              <w:rPr>
                <w:rFonts w:eastAsia="MS Mincho"/>
                <w:bCs/>
                <w:lang w:eastAsia="ja-JP"/>
              </w:rPr>
              <w:t xml:space="preserve"> lors</w:t>
            </w:r>
            <w:r w:rsidR="00593B73" w:rsidRPr="00593B73">
              <w:rPr>
                <w:rFonts w:eastAsia="MS Mincho"/>
                <w:bCs/>
                <w:lang w:eastAsia="ja-JP"/>
              </w:rPr>
              <w:t xml:space="preserve"> de la CMR-12</w:t>
            </w:r>
            <w:r w:rsidR="00A85042" w:rsidRPr="00445A8F">
              <w:rPr>
                <w:rFonts w:eastAsia="MS Mincho"/>
                <w:lang w:eastAsia="ja-JP"/>
              </w:rPr>
              <w:t xml:space="preserve">, et des bandes de fréquences ont été expressément identifiées pour </w:t>
            </w:r>
            <w:r w:rsidR="00A85042" w:rsidRPr="00445A8F">
              <w:rPr>
                <w:color w:val="000000"/>
              </w:rPr>
              <w:t>les mesures effectuées par les services passifs, par exemple le</w:t>
            </w:r>
            <w:r w:rsidR="00A85042" w:rsidRPr="00445A8F">
              <w:rPr>
                <w:rFonts w:eastAsia="MS Mincho"/>
                <w:lang w:eastAsia="ja-JP"/>
              </w:rPr>
              <w:t xml:space="preserve"> </w:t>
            </w:r>
            <w:r w:rsidR="00A85042" w:rsidRPr="00445A8F">
              <w:t>service</w:t>
            </w:r>
            <w:r w:rsidR="00A85042" w:rsidRPr="00445A8F">
              <w:rPr>
                <w:rPrChange w:id="6" w:author="alidra" w:date="2010-07-27T10:13:00Z">
                  <w:rPr>
                    <w:b/>
                    <w:color w:val="000000"/>
                    <w:sz w:val="20"/>
                    <w:lang w:val="fr-CH"/>
                  </w:rPr>
                </w:rPrChange>
              </w:rPr>
              <w:t xml:space="preserve"> de radioastronomie</w:t>
            </w:r>
            <w:r w:rsidR="00A85042" w:rsidRPr="00445A8F">
              <w:t xml:space="preserve">, le </w:t>
            </w:r>
            <w:r w:rsidR="00A85042" w:rsidRPr="00445A8F">
              <w:rPr>
                <w:rPrChange w:id="7" w:author="alidra" w:date="2010-07-27T10:14:00Z">
                  <w:rPr>
                    <w:b/>
                    <w:color w:val="000000"/>
                    <w:sz w:val="20"/>
                    <w:lang w:val="fr-CH"/>
                  </w:rPr>
                </w:rPrChange>
              </w:rPr>
              <w:t>service d'exploration de la Terre par satellite (passive</w:t>
            </w:r>
            <w:r w:rsidR="00B1634C">
              <w:t>)</w:t>
            </w:r>
            <w:r w:rsidR="00B1634C" w:rsidRPr="00445A8F">
              <w:t xml:space="preserve"> et</w:t>
            </w:r>
            <w:r w:rsidR="00A85042" w:rsidRPr="00445A8F">
              <w:rPr>
                <w:rPrChange w:id="8" w:author="alidra" w:date="2010-07-27T10:14:00Z">
                  <w:rPr>
                    <w:b/>
                    <w:color w:val="000000"/>
                    <w:sz w:val="20"/>
                    <w:lang w:val="fr-CH"/>
                  </w:rPr>
                </w:rPrChange>
              </w:rPr>
              <w:t xml:space="preserve"> </w:t>
            </w:r>
            <w:r w:rsidR="00A85042" w:rsidRPr="00445A8F">
              <w:t xml:space="preserve">le </w:t>
            </w:r>
            <w:r w:rsidR="00A85042" w:rsidRPr="00445A8F">
              <w:rPr>
                <w:rPrChange w:id="9" w:author="alidra" w:date="2010-07-27T10:14:00Z">
                  <w:rPr>
                    <w:b/>
                    <w:color w:val="000000"/>
                    <w:sz w:val="20"/>
                    <w:lang w:val="fr-CH"/>
                  </w:rPr>
                </w:rPrChange>
              </w:rPr>
              <w:t>service de recherche spatiale (passive)</w:t>
            </w:r>
            <w:r w:rsidR="00A85042" w:rsidRPr="00445A8F">
              <w:rPr>
                <w:rFonts w:eastAsia="MS Mincho"/>
                <w:lang w:eastAsia="ja-JP"/>
              </w:rPr>
              <w:t xml:space="preserve">. Dans les fréquences expressément identifiées dans la gamme 275-1 000 GHz, l'utilisation par </w:t>
            </w:r>
            <w:r w:rsidR="00A85042" w:rsidRPr="00445A8F">
              <w:t>les services passifs n'exclut pas l'utilisation de cette gamme de fréquences par les services actifs.</w:t>
            </w:r>
          </w:p>
          <w:p w:rsidR="001B6838" w:rsidRPr="00730563" w:rsidRDefault="00A85042" w:rsidP="00425FA3">
            <w:pPr>
              <w:rPr>
                <w:rStyle w:val="BRNormal"/>
                <w:lang w:val="fr-CH"/>
              </w:rPr>
            </w:pPr>
            <w:r w:rsidRPr="00730563">
              <w:rPr>
                <w:rStyle w:val="BRNormal"/>
                <w:lang w:val="fr-CH"/>
              </w:rPr>
              <w:t>Les dispositifs actifs pouvant fonctionner au-dessus de 275 GHz ont été longuement étudiés par un grand nombre d'organisations de recherche-développement et ont donné lieu à de nombreux travaux. En outre, l'UIT-R a étudié les caractéristiques de propagation des fréquences au-dessus de 275 GHz et les applications des systèmes de communication de données à courte portée et à ultra-haut débit (100 Gbit/s</w:t>
            </w:r>
            <w:r w:rsidR="00BF2826">
              <w:rPr>
                <w:rStyle w:val="BRNormal"/>
                <w:lang w:val="fr-CH"/>
              </w:rPr>
              <w:t>)</w:t>
            </w:r>
            <w:r w:rsidR="00FD175A">
              <w:rPr>
                <w:rStyle w:val="BRNormal"/>
                <w:lang w:val="fr-CH"/>
              </w:rPr>
              <w:t xml:space="preserve"> </w:t>
            </w:r>
            <w:r w:rsidRPr="00730563">
              <w:rPr>
                <w:rStyle w:val="BRNormal"/>
                <w:lang w:val="fr-CH"/>
              </w:rPr>
              <w:t>ont été examinées par des organismes de normalisation. Des</w:t>
            </w:r>
            <w:r w:rsidR="00593B73">
              <w:rPr>
                <w:rStyle w:val="BRNormal"/>
                <w:lang w:val="fr-CH"/>
              </w:rPr>
              <w:t xml:space="preserve"> normes fondées </w:t>
            </w:r>
            <w:r w:rsidRPr="00730563">
              <w:rPr>
                <w:rStyle w:val="BRNormal"/>
                <w:lang w:val="fr-CH"/>
              </w:rPr>
              <w:t>sur l</w:t>
            </w:r>
            <w:r w:rsidR="00B979D7">
              <w:rPr>
                <w:rStyle w:val="BRNormal"/>
                <w:lang w:val="fr-CH"/>
              </w:rPr>
              <w:t>'</w:t>
            </w:r>
            <w:r w:rsidRPr="00730563">
              <w:rPr>
                <w:rStyle w:val="BRNormal"/>
                <w:lang w:val="fr-CH"/>
              </w:rPr>
              <w:t>utilisation des fréquences au-dessus de 275 GHz existeront dans quelques années.</w:t>
            </w:r>
            <w:r w:rsidR="003228B3">
              <w:rPr>
                <w:rStyle w:val="BRNormal"/>
                <w:lang w:val="fr-CH"/>
              </w:rPr>
              <w:t xml:space="preserve"> </w:t>
            </w:r>
            <w:r w:rsidRPr="00445A8F">
              <w:rPr>
                <w:rFonts w:eastAsia="MS Mincho"/>
                <w:lang w:eastAsia="ja-JP"/>
              </w:rPr>
              <w:t>Il est prévu d'exploiter plusieurs</w:t>
            </w:r>
            <w:r w:rsidRPr="00730563">
              <w:rPr>
                <w:rStyle w:val="NormalaftertitleChar"/>
                <w:lang w:val="fr-CH"/>
              </w:rPr>
              <w:t xml:space="preserve"> </w:t>
            </w:r>
            <w:r w:rsidR="00593B73">
              <w:rPr>
                <w:rStyle w:val="NormalaftertitleChar"/>
                <w:lang w:val="fr-CH"/>
              </w:rPr>
              <w:t xml:space="preserve">applications de transmission à ultra-haut débit telles que les </w:t>
            </w:r>
            <w:r w:rsidRPr="00730563">
              <w:rPr>
                <w:rStyle w:val="BRNormal"/>
                <w:lang w:val="fr-CH"/>
              </w:rPr>
              <w:t>liaisons hertziennes pour les centres de données, les communications en champ proche pour le téléchargement aux barrières de péage et les liaisons de raccordement vers l'avant/vers l'arrière p</w:t>
            </w:r>
            <w:r w:rsidR="00593B73">
              <w:rPr>
                <w:rStyle w:val="BRNormal"/>
                <w:lang w:val="fr-CH"/>
              </w:rPr>
              <w:t>our les systèmes mobiles dans les</w:t>
            </w:r>
            <w:r w:rsidRPr="00730563">
              <w:rPr>
                <w:rStyle w:val="BRNormal"/>
                <w:lang w:val="fr-CH"/>
              </w:rPr>
              <w:t xml:space="preserve"> bande</w:t>
            </w:r>
            <w:r w:rsidR="00593B73">
              <w:rPr>
                <w:rStyle w:val="BRNormal"/>
                <w:lang w:val="fr-CH"/>
              </w:rPr>
              <w:t>s</w:t>
            </w:r>
            <w:r w:rsidRPr="00730563">
              <w:rPr>
                <w:rStyle w:val="BRNormal"/>
                <w:lang w:val="fr-CH"/>
              </w:rPr>
              <w:t xml:space="preserve"> au-dessus de 275 GHz. En conséquence, il est nécessaire d</w:t>
            </w:r>
            <w:r w:rsidR="00B979D7">
              <w:rPr>
                <w:rStyle w:val="BRNormal"/>
                <w:lang w:val="fr-CH"/>
              </w:rPr>
              <w:t>'</w:t>
            </w:r>
            <w:r w:rsidRPr="00730563">
              <w:rPr>
                <w:rStyle w:val="BRNormal"/>
                <w:lang w:val="fr-CH"/>
              </w:rPr>
              <w:t>assurer</w:t>
            </w:r>
            <w:r w:rsidR="005D7B83" w:rsidRPr="00730563">
              <w:rPr>
                <w:rStyle w:val="BRNormal"/>
                <w:lang w:val="fr-CH"/>
              </w:rPr>
              <w:t xml:space="preserve"> la continuité du </w:t>
            </w:r>
            <w:r w:rsidRPr="00730563">
              <w:rPr>
                <w:rStyle w:val="BRNormal"/>
                <w:lang w:val="fr-CH"/>
              </w:rPr>
              <w:t>développement et</w:t>
            </w:r>
            <w:r w:rsidR="005D7B83" w:rsidRPr="00730563">
              <w:rPr>
                <w:rStyle w:val="BRNormal"/>
                <w:lang w:val="fr-CH"/>
              </w:rPr>
              <w:t xml:space="preserve"> de </w:t>
            </w:r>
            <w:r w:rsidRPr="00730563">
              <w:rPr>
                <w:rStyle w:val="BRNormal"/>
                <w:lang w:val="fr-CH"/>
              </w:rPr>
              <w:t>la</w:t>
            </w:r>
            <w:r w:rsidR="003228B3">
              <w:rPr>
                <w:rStyle w:val="BRNormal"/>
                <w:lang w:val="fr-CH"/>
              </w:rPr>
              <w:t xml:space="preserve"> </w:t>
            </w:r>
            <w:r w:rsidR="005D7B83" w:rsidRPr="00730563">
              <w:rPr>
                <w:rStyle w:val="BRNormal"/>
                <w:lang w:val="fr-CH"/>
              </w:rPr>
              <w:t xml:space="preserve">mise </w:t>
            </w:r>
            <w:r w:rsidRPr="00730563">
              <w:rPr>
                <w:rStyle w:val="BRNormal"/>
                <w:lang w:val="fr-CH"/>
              </w:rPr>
              <w:t xml:space="preserve">en œuvre des services actifs, tout en garantissant, parallèlement, une protection suffisante des services actifs dans les bandes identifiées au numéro </w:t>
            </w:r>
            <w:r w:rsidR="005D7B83" w:rsidRPr="00FD175A">
              <w:rPr>
                <w:rStyle w:val="Artdef"/>
                <w:b w:val="0"/>
                <w:lang w:val="fr-CH"/>
              </w:rPr>
              <w:t>5.565</w:t>
            </w:r>
            <w:r w:rsidR="005D7B83" w:rsidRPr="00730563">
              <w:rPr>
                <w:rStyle w:val="BRNormal"/>
                <w:lang w:val="fr-CH"/>
              </w:rPr>
              <w:t xml:space="preserve"> </w:t>
            </w:r>
            <w:r w:rsidRPr="00730563">
              <w:rPr>
                <w:rStyle w:val="BRNormal"/>
                <w:lang w:val="fr-CH"/>
              </w:rPr>
              <w:t xml:space="preserve">contre les brouillages préjudiciables. En conséquence, </w:t>
            </w:r>
            <w:r w:rsidR="005D7B83" w:rsidRPr="00730563">
              <w:rPr>
                <w:rStyle w:val="BRNormal"/>
                <w:lang w:val="fr-CH"/>
              </w:rPr>
              <w:t>il est proposé d</w:t>
            </w:r>
            <w:r w:rsidR="00B979D7">
              <w:rPr>
                <w:rStyle w:val="BRNormal"/>
                <w:lang w:val="fr-CH"/>
              </w:rPr>
              <w:t>'</w:t>
            </w:r>
            <w:r w:rsidR="005D7B83" w:rsidRPr="00730563">
              <w:rPr>
                <w:rStyle w:val="BRNormal"/>
                <w:lang w:val="fr-CH"/>
              </w:rPr>
              <w:t>inscrire ce po</w:t>
            </w:r>
            <w:r w:rsidR="00593B73">
              <w:rPr>
                <w:rStyle w:val="BRNormal"/>
                <w:lang w:val="fr-CH"/>
              </w:rPr>
              <w:t>int à l</w:t>
            </w:r>
            <w:r w:rsidR="00B979D7">
              <w:rPr>
                <w:rStyle w:val="BRNormal"/>
                <w:lang w:val="fr-CH"/>
              </w:rPr>
              <w:t>'</w:t>
            </w:r>
            <w:r w:rsidR="00593B73">
              <w:rPr>
                <w:rStyle w:val="BRNormal"/>
                <w:lang w:val="fr-CH"/>
              </w:rPr>
              <w:t>ordre du jour de la CMR-</w:t>
            </w:r>
            <w:r w:rsidR="005D7B83" w:rsidRPr="00730563">
              <w:rPr>
                <w:rStyle w:val="BRNormal"/>
                <w:lang w:val="fr-CH"/>
              </w:rPr>
              <w:t>19, afin d</w:t>
            </w:r>
            <w:r w:rsidR="00B979D7">
              <w:rPr>
                <w:rStyle w:val="BRNormal"/>
                <w:lang w:val="fr-CH"/>
              </w:rPr>
              <w:t>'</w:t>
            </w:r>
            <w:r w:rsidR="005D7B83" w:rsidRPr="00730563">
              <w:rPr>
                <w:rStyle w:val="BRNormal"/>
                <w:lang w:val="fr-CH"/>
              </w:rPr>
              <w:t>examiner les dispositions réglementaires appropriées à prendre pour faciliter la mise en œuvre du service mobile terrestre et du service fixe fonctionnant dans des bandes de fréquences qui devront être d</w:t>
            </w:r>
            <w:r w:rsidR="00593B73">
              <w:rPr>
                <w:rStyle w:val="BRNormal"/>
                <w:lang w:val="fr-CH"/>
              </w:rPr>
              <w:t>éterminées au-dessus de 275 GHz.</w:t>
            </w:r>
          </w:p>
          <w:p w:rsidR="0043259B" w:rsidRDefault="0043259B" w:rsidP="00425FA3">
            <w:pPr>
              <w:rPr>
                <w:lang w:eastAsia="ja-JP"/>
              </w:rPr>
            </w:pPr>
            <w:r w:rsidRPr="00445A8F">
              <w:rPr>
                <w:rFonts w:eastAsia="MS Mincho"/>
                <w:lang w:eastAsia="ja-JP"/>
              </w:rPr>
              <w:t xml:space="preserve">Le GT 1A de l'UIT-R a formulé </w:t>
            </w:r>
            <w:r w:rsidR="00593B73">
              <w:rPr>
                <w:rFonts w:eastAsia="MS Mincho"/>
                <w:lang w:eastAsia="ja-JP"/>
              </w:rPr>
              <w:t xml:space="preserve">et adopté </w:t>
            </w:r>
            <w:r w:rsidRPr="00445A8F">
              <w:rPr>
                <w:rFonts w:eastAsia="MS Mincho"/>
                <w:lang w:eastAsia="ja-JP"/>
              </w:rPr>
              <w:t>la Question UIT-R 237/1, «</w:t>
            </w:r>
            <w:r w:rsidRPr="00445A8F">
              <w:t>Caractéristiques techniques et opérationnelles des services actifs fonctionnant dans la gamme 275-1 000 GHz</w:t>
            </w:r>
            <w:r w:rsidRPr="00445A8F">
              <w:rPr>
                <w:rFonts w:eastAsia="MS Mincho"/>
                <w:lang w:eastAsia="ja-JP"/>
              </w:rPr>
              <w:t>», afin d'étudier les caractéristiques techniques et opérationnelles des services actifs dans la gamme de fréquences</w:t>
            </w:r>
            <w:r w:rsidRPr="00445A8F">
              <w:rPr>
                <w:lang w:eastAsia="ja-JP"/>
              </w:rPr>
              <w:t xml:space="preserve"> 275-1 000 GHz</w:t>
            </w:r>
            <w:r w:rsidRPr="00445A8F">
              <w:rPr>
                <w:rFonts w:eastAsia="SimSun"/>
                <w:lang w:eastAsia="ja-JP"/>
              </w:rPr>
              <w:t xml:space="preserve">. Conformément à cette Question, le </w:t>
            </w:r>
            <w:r w:rsidRPr="00445A8F">
              <w:rPr>
                <w:rFonts w:eastAsia="MS Mincho"/>
                <w:lang w:eastAsia="ja-JP"/>
              </w:rPr>
              <w:t>GT 1A de l'UIT-R</w:t>
            </w:r>
            <w:r w:rsidRPr="00445A8F">
              <w:rPr>
                <w:rFonts w:eastAsia="SimSun"/>
                <w:lang w:eastAsia="ja-JP"/>
              </w:rPr>
              <w:t xml:space="preserve"> a </w:t>
            </w:r>
            <w:r>
              <w:rPr>
                <w:rFonts w:eastAsia="SimSun"/>
                <w:lang w:eastAsia="ja-JP"/>
              </w:rPr>
              <w:t>élaboré un</w:t>
            </w:r>
            <w:r w:rsidRPr="00445A8F">
              <w:rPr>
                <w:rFonts w:eastAsia="SimSun"/>
                <w:lang w:eastAsia="ja-JP"/>
              </w:rPr>
              <w:t xml:space="preserve"> nouveau Rapport UIT-R SM.2352-0,</w:t>
            </w:r>
            <w:r>
              <w:rPr>
                <w:rFonts w:eastAsia="SimSun"/>
                <w:lang w:eastAsia="ja-JP"/>
              </w:rPr>
              <w:t xml:space="preserve"> intitulé</w:t>
            </w:r>
            <w:r w:rsidR="003228B3">
              <w:rPr>
                <w:rFonts w:eastAsia="SimSun"/>
                <w:lang w:eastAsia="ja-JP"/>
              </w:rPr>
              <w:t xml:space="preserve"> </w:t>
            </w:r>
            <w:r w:rsidRPr="00445A8F">
              <w:rPr>
                <w:rFonts w:eastAsia="SimSun"/>
                <w:lang w:eastAsia="ja-JP"/>
              </w:rPr>
              <w:t>«</w:t>
            </w:r>
            <w:r w:rsidRPr="00445A8F">
              <w:rPr>
                <w:rFonts w:asciiTheme="majorBidi" w:hAnsiTheme="majorBidi" w:cstheme="majorBidi"/>
                <w:lang w:eastAsia="ja-JP"/>
              </w:rPr>
              <w:t>Lignes d'évolution technologique des services actifs exploités dans la gamme de fréquences 275-3 000 GHz</w:t>
            </w:r>
            <w:r w:rsidRPr="00445A8F">
              <w:rPr>
                <w:rFonts w:eastAsia="SimSun"/>
                <w:lang w:eastAsia="ja-JP"/>
              </w:rPr>
              <w:t>», afin de fournir des renseignements techniques dans la perspective des études de partage et de compatibilité entre services actifs et services passifs</w:t>
            </w:r>
            <w:r w:rsidR="00FD175A">
              <w:rPr>
                <w:rFonts w:eastAsia="SimSun"/>
                <w:lang w:eastAsia="ja-JP"/>
              </w:rPr>
              <w:t>,</w:t>
            </w:r>
            <w:r w:rsidRPr="00445A8F">
              <w:rPr>
                <w:rFonts w:eastAsia="SimSun"/>
                <w:lang w:eastAsia="ja-JP"/>
              </w:rPr>
              <w:t xml:space="preserve"> d'une part, ainsi qu'entre services actifs</w:t>
            </w:r>
            <w:r w:rsidR="00FD175A">
              <w:rPr>
                <w:rFonts w:eastAsia="SimSun"/>
                <w:lang w:eastAsia="ja-JP"/>
              </w:rPr>
              <w:t>,</w:t>
            </w:r>
            <w:r w:rsidRPr="00445A8F">
              <w:rPr>
                <w:rFonts w:eastAsia="SimSun"/>
                <w:lang w:eastAsia="ja-JP"/>
              </w:rPr>
              <w:t xml:space="preserve"> d'autre part.</w:t>
            </w:r>
          </w:p>
          <w:p w:rsidR="001B6838" w:rsidRPr="00730563" w:rsidRDefault="0043259B" w:rsidP="00593B73">
            <w:pPr>
              <w:rPr>
                <w:lang w:val="fr-CH"/>
              </w:rPr>
            </w:pPr>
            <w:r w:rsidRPr="00730563">
              <w:rPr>
                <w:rStyle w:val="BRNormal"/>
                <w:lang w:val="fr-CH"/>
              </w:rPr>
              <w:t>Afin d</w:t>
            </w:r>
            <w:r w:rsidR="00B979D7">
              <w:rPr>
                <w:rStyle w:val="BRNormal"/>
                <w:lang w:val="fr-CH"/>
              </w:rPr>
              <w:t>'</w:t>
            </w:r>
            <w:r w:rsidRPr="00730563">
              <w:rPr>
                <w:rStyle w:val="BRNormal"/>
                <w:lang w:val="fr-CH"/>
              </w:rPr>
              <w:t>éviter que des bro</w:t>
            </w:r>
            <w:r w:rsidR="00593B73">
              <w:rPr>
                <w:rStyle w:val="BRNormal"/>
                <w:lang w:val="fr-CH"/>
              </w:rPr>
              <w:t xml:space="preserve">uillages ne soient causés aux </w:t>
            </w:r>
            <w:r w:rsidRPr="00730563">
              <w:rPr>
                <w:rStyle w:val="BRNormal"/>
                <w:lang w:val="fr-CH"/>
              </w:rPr>
              <w:t>services passifs identifiés par les nouve</w:t>
            </w:r>
            <w:r w:rsidR="00593B73">
              <w:rPr>
                <w:rStyle w:val="BRNormal"/>
                <w:lang w:val="fr-CH"/>
              </w:rPr>
              <w:t>aux services mobile terrestre et fixe exploités</w:t>
            </w:r>
            <w:r w:rsidRPr="00730563">
              <w:rPr>
                <w:rStyle w:val="BRNormal"/>
                <w:lang w:val="fr-CH"/>
              </w:rPr>
              <w:t xml:space="preserve"> au-dessus de 275 GHz, les Groupes de </w:t>
            </w:r>
            <w:r w:rsidR="00593B73">
              <w:rPr>
                <w:rStyle w:val="BRNormal"/>
                <w:lang w:val="fr-CH"/>
              </w:rPr>
              <w:t xml:space="preserve">travail </w:t>
            </w:r>
            <w:r w:rsidRPr="00730563">
              <w:rPr>
                <w:rStyle w:val="BRNormal"/>
                <w:lang w:val="fr-CH"/>
              </w:rPr>
              <w:t>concernés de l</w:t>
            </w:r>
            <w:r w:rsidR="00B979D7">
              <w:rPr>
                <w:rStyle w:val="BRNormal"/>
                <w:lang w:val="fr-CH"/>
              </w:rPr>
              <w:t>'</w:t>
            </w:r>
            <w:r w:rsidRPr="00730563">
              <w:rPr>
                <w:rStyle w:val="BRNormal"/>
                <w:lang w:val="fr-CH"/>
              </w:rPr>
              <w:t xml:space="preserve">UIT-R devraient étudier les caractéristiques techniques et opérationnelles nécessaires pour les </w:t>
            </w:r>
            <w:r w:rsidRPr="00730563">
              <w:rPr>
                <w:rStyle w:val="BRNormal"/>
                <w:lang w:val="fr-CH"/>
              </w:rPr>
              <w:lastRenderedPageBreak/>
              <w:t>services actifs, et procéder aux études de partag</w:t>
            </w:r>
            <w:r w:rsidR="009F76D6">
              <w:rPr>
                <w:rStyle w:val="BRNormal"/>
                <w:lang w:val="fr-CH"/>
              </w:rPr>
              <w:t xml:space="preserve">e et de compatibilité requises </w:t>
            </w:r>
            <w:r w:rsidRPr="00730563">
              <w:rPr>
                <w:rStyle w:val="BRNormal"/>
                <w:lang w:val="fr-CH"/>
              </w:rPr>
              <w:t>entre services passifs et services actifs</w:t>
            </w:r>
            <w:r w:rsidR="00593B73">
              <w:rPr>
                <w:rStyle w:val="BRNormal"/>
                <w:lang w:val="fr-CH"/>
              </w:rPr>
              <w:t>.</w:t>
            </w:r>
          </w:p>
        </w:tc>
      </w:tr>
      <w:tr w:rsidR="001B6838" w:rsidRPr="00714540"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lang w:val="fr-CH"/>
              </w:rPr>
              <w:lastRenderedPageBreak/>
              <w:t>Services de radiocommunication concernés</w:t>
            </w:r>
            <w:r w:rsidRPr="00A31EA2">
              <w:t>:</w:t>
            </w:r>
          </w:p>
          <w:p w:rsidR="001B6838" w:rsidRPr="00714540" w:rsidRDefault="009F76D6" w:rsidP="00425FA3">
            <w:pPr>
              <w:rPr>
                <w:b/>
                <w:i/>
              </w:rPr>
            </w:pPr>
            <w:r>
              <w:rPr>
                <w:rStyle w:val="BRNormal"/>
              </w:rPr>
              <w:t>S</w:t>
            </w:r>
            <w:r w:rsidR="00E30E6A">
              <w:rPr>
                <w:rStyle w:val="BRNormal"/>
              </w:rPr>
              <w:t>ervice mobile, service fixe, service de radioastronomie, service d</w:t>
            </w:r>
            <w:r w:rsidR="00B979D7">
              <w:rPr>
                <w:rStyle w:val="BRNormal"/>
              </w:rPr>
              <w:t>'</w:t>
            </w:r>
            <w:r w:rsidR="00E30E6A">
              <w:rPr>
                <w:rStyle w:val="BRNormal"/>
              </w:rPr>
              <w:t xml:space="preserve">exploration de la Terre par satellite </w:t>
            </w:r>
            <w:r>
              <w:rPr>
                <w:rStyle w:val="BRNormal"/>
              </w:rPr>
              <w:t>(passive),</w:t>
            </w:r>
            <w:r w:rsidR="00E30E6A">
              <w:rPr>
                <w:rStyle w:val="BRNormal"/>
              </w:rPr>
              <w:t xml:space="preserve"> service de recherche spatiale </w:t>
            </w:r>
            <w:r w:rsidR="00E30E6A" w:rsidRPr="00CA4B16">
              <w:rPr>
                <w:rStyle w:val="BRNormal"/>
              </w:rPr>
              <w:t>(passive)</w:t>
            </w:r>
          </w:p>
        </w:tc>
      </w:tr>
      <w:tr w:rsidR="001B6838" w:rsidRPr="001B6838" w:rsidTr="00FD175A">
        <w:tc>
          <w:tcPr>
            <w:tcW w:w="9639" w:type="dxa"/>
            <w:gridSpan w:val="3"/>
            <w:tcBorders>
              <w:top w:val="single" w:sz="4" w:space="0" w:color="auto"/>
              <w:left w:val="nil"/>
              <w:bottom w:val="single" w:sz="4" w:space="0" w:color="auto"/>
              <w:right w:val="nil"/>
            </w:tcBorders>
          </w:tcPr>
          <w:p w:rsidR="001B6838" w:rsidRPr="00730563" w:rsidRDefault="001B6838" w:rsidP="00425FA3">
            <w:pPr>
              <w:rPr>
                <w:lang w:val="fr-CH"/>
              </w:rPr>
            </w:pPr>
            <w:r w:rsidRPr="00730563">
              <w:rPr>
                <w:b/>
                <w:bCs/>
                <w:i/>
                <w:iCs/>
                <w:lang w:val="fr-CH"/>
              </w:rPr>
              <w:t>Indication des difficultés éventuelles:</w:t>
            </w:r>
          </w:p>
          <w:p w:rsidR="001B6838" w:rsidRPr="00730563" w:rsidRDefault="00E30E6A" w:rsidP="00425FA3">
            <w:pPr>
              <w:rPr>
                <w:b/>
                <w:i/>
                <w:lang w:val="fr-CH"/>
              </w:rPr>
            </w:pPr>
            <w:r>
              <w:rPr>
                <w:color w:val="000000"/>
              </w:rPr>
              <w:t>Identification des prescriptions techniques relatives aux services de Terre et études de partage et de compatibilité avec le</w:t>
            </w:r>
            <w:r w:rsidR="003228B3">
              <w:rPr>
                <w:color w:val="000000"/>
              </w:rPr>
              <w:t xml:space="preserve"> </w:t>
            </w:r>
            <w:r>
              <w:rPr>
                <w:rStyle w:val="BRNormal"/>
              </w:rPr>
              <w:t>service de radioastronomie, le service d</w:t>
            </w:r>
            <w:r w:rsidR="00B979D7">
              <w:rPr>
                <w:rStyle w:val="BRNormal"/>
              </w:rPr>
              <w:t>'</w:t>
            </w:r>
            <w:r>
              <w:rPr>
                <w:rStyle w:val="BRNormal"/>
              </w:rPr>
              <w:t xml:space="preserve">exploration de la Terre par satellite </w:t>
            </w:r>
            <w:r w:rsidRPr="00CA4B16">
              <w:rPr>
                <w:rStyle w:val="BRNormal"/>
              </w:rPr>
              <w:t>(passive)</w:t>
            </w:r>
            <w:r w:rsidR="00BF2826">
              <w:rPr>
                <w:rStyle w:val="BRNormal"/>
              </w:rPr>
              <w:t>,</w:t>
            </w:r>
            <w:r>
              <w:rPr>
                <w:rStyle w:val="BRNormal"/>
              </w:rPr>
              <w:t xml:space="preserve"> le service de recherche spatiale </w:t>
            </w:r>
            <w:r w:rsidRPr="00CA4B16">
              <w:rPr>
                <w:rStyle w:val="BRNormal"/>
              </w:rPr>
              <w:t>(passive)</w:t>
            </w:r>
          </w:p>
        </w:tc>
      </w:tr>
      <w:tr w:rsidR="001B6838" w:rsidRPr="009E4745"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3A2ED4">
              <w:rPr>
                <w:b/>
                <w:bCs/>
                <w:i/>
                <w:iCs/>
                <w:lang w:val="fr-CH"/>
              </w:rPr>
              <w:t>Etudes précédentes ou en cours sur la question</w:t>
            </w:r>
            <w:r w:rsidRPr="003A2ED4">
              <w:rPr>
                <w:b/>
                <w:bCs/>
                <w:i/>
                <w:iCs/>
              </w:rPr>
              <w:t>:</w:t>
            </w:r>
          </w:p>
          <w:p w:rsidR="001B6838" w:rsidRPr="009E4745" w:rsidRDefault="001B6838" w:rsidP="00425FA3">
            <w:pPr>
              <w:rPr>
                <w:b/>
                <w:i/>
                <w:lang w:val="fr-CH"/>
              </w:rPr>
            </w:pPr>
            <w:r w:rsidRPr="00CA4B16">
              <w:rPr>
                <w:rStyle w:val="BRNormal"/>
              </w:rPr>
              <w:t xml:space="preserve">Question </w:t>
            </w:r>
            <w:r w:rsidR="002E2C8C">
              <w:rPr>
                <w:rStyle w:val="BRNormal"/>
              </w:rPr>
              <w:t>UIT</w:t>
            </w:r>
            <w:r w:rsidR="00BF2826">
              <w:rPr>
                <w:rStyle w:val="BRNormal"/>
              </w:rPr>
              <w:t>-</w:t>
            </w:r>
            <w:r w:rsidRPr="00CA4B16">
              <w:rPr>
                <w:rStyle w:val="BRNormal"/>
              </w:rPr>
              <w:t>R 237/1</w:t>
            </w:r>
          </w:p>
        </w:tc>
      </w:tr>
      <w:tr w:rsidR="001B6838" w:rsidRPr="001B6838" w:rsidTr="00FD175A">
        <w:tc>
          <w:tcPr>
            <w:tcW w:w="4538" w:type="dxa"/>
            <w:gridSpan w:val="2"/>
            <w:tcBorders>
              <w:top w:val="single" w:sz="4" w:space="0" w:color="auto"/>
              <w:left w:val="nil"/>
              <w:bottom w:val="single" w:sz="4" w:space="0" w:color="auto"/>
              <w:right w:val="single" w:sz="4" w:space="0" w:color="auto"/>
            </w:tcBorders>
          </w:tcPr>
          <w:p w:rsidR="001B6838" w:rsidRPr="00FD175A" w:rsidRDefault="001B6838" w:rsidP="00DD26BD">
            <w:pPr>
              <w:rPr>
                <w:b/>
                <w:bCs/>
                <w:i/>
                <w:iCs/>
              </w:rPr>
            </w:pPr>
            <w:r w:rsidRPr="00FD175A">
              <w:rPr>
                <w:b/>
                <w:bCs/>
                <w:i/>
                <w:iCs/>
                <w:lang w:val="fr-CH"/>
              </w:rPr>
              <w:t>Etudes devant être réalisées par</w:t>
            </w:r>
            <w:r w:rsidRPr="00FD175A">
              <w:rPr>
                <w:b/>
                <w:bCs/>
                <w:i/>
                <w:iCs/>
              </w:rPr>
              <w:t>:</w:t>
            </w:r>
          </w:p>
          <w:p w:rsidR="001B6838" w:rsidRPr="009E4745" w:rsidRDefault="00872994" w:rsidP="00425FA3">
            <w:pPr>
              <w:rPr>
                <w:b/>
                <w:i/>
                <w:color w:val="000000"/>
                <w:lang w:val="fr-CH"/>
              </w:rPr>
            </w:pPr>
            <w:r>
              <w:rPr>
                <w:rStyle w:val="BRNormal"/>
              </w:rPr>
              <w:t xml:space="preserve">GT </w:t>
            </w:r>
            <w:r w:rsidR="001B6838" w:rsidRPr="00CA4B16">
              <w:rPr>
                <w:rStyle w:val="BRNormal"/>
              </w:rPr>
              <w:t>5A/</w:t>
            </w:r>
            <w:r>
              <w:rPr>
                <w:rStyle w:val="BRNormal"/>
              </w:rPr>
              <w:t xml:space="preserve">GT </w:t>
            </w:r>
            <w:r w:rsidR="001B6838">
              <w:rPr>
                <w:rStyle w:val="BRNormal"/>
              </w:rPr>
              <w:t>5</w:t>
            </w:r>
            <w:r w:rsidR="001B6838" w:rsidRPr="00CA4B16">
              <w:rPr>
                <w:rStyle w:val="BRNormal"/>
              </w:rPr>
              <w:t>C</w:t>
            </w:r>
          </w:p>
        </w:tc>
        <w:tc>
          <w:tcPr>
            <w:tcW w:w="5101" w:type="dxa"/>
            <w:tcBorders>
              <w:top w:val="single" w:sz="4" w:space="0" w:color="auto"/>
              <w:left w:val="single" w:sz="4" w:space="0" w:color="auto"/>
              <w:bottom w:val="single" w:sz="4" w:space="0" w:color="auto"/>
              <w:right w:val="nil"/>
            </w:tcBorders>
          </w:tcPr>
          <w:p w:rsidR="001B6838" w:rsidRPr="00FD175A" w:rsidRDefault="001B6838" w:rsidP="00DD26BD">
            <w:pPr>
              <w:rPr>
                <w:b/>
                <w:bCs/>
                <w:i/>
                <w:iCs/>
                <w:lang w:val="fr-CH"/>
              </w:rPr>
            </w:pPr>
            <w:r w:rsidRPr="00FD175A">
              <w:rPr>
                <w:b/>
                <w:bCs/>
                <w:i/>
                <w:iCs/>
              </w:rPr>
              <w:t>avec la participation de</w:t>
            </w:r>
            <w:r w:rsidRPr="00FD175A">
              <w:rPr>
                <w:b/>
                <w:bCs/>
                <w:i/>
                <w:iCs/>
                <w:lang w:val="fr-CH"/>
              </w:rPr>
              <w:t>:</w:t>
            </w:r>
          </w:p>
          <w:p w:rsidR="001B6838" w:rsidRPr="00730563" w:rsidRDefault="001B6838" w:rsidP="00425FA3">
            <w:pPr>
              <w:rPr>
                <w:b/>
                <w:i/>
                <w:color w:val="000000"/>
                <w:lang w:val="fr-CH"/>
              </w:rPr>
            </w:pPr>
            <w:r w:rsidRPr="00730563">
              <w:rPr>
                <w:rStyle w:val="BRNormal"/>
                <w:lang w:val="fr-CH"/>
              </w:rPr>
              <w:t>Administrations,</w:t>
            </w:r>
            <w:r w:rsidR="003228B3">
              <w:rPr>
                <w:rStyle w:val="BRNormal"/>
                <w:lang w:val="fr-CH"/>
              </w:rPr>
              <w:t xml:space="preserve"> </w:t>
            </w:r>
            <w:r w:rsidR="00E30E6A">
              <w:rPr>
                <w:color w:val="000000"/>
              </w:rPr>
              <w:t>établissements universitaires</w:t>
            </w:r>
            <w:r w:rsidR="00DD26BD">
              <w:rPr>
                <w:color w:val="000000"/>
              </w:rPr>
              <w:t xml:space="preserve">, </w:t>
            </w:r>
            <w:r w:rsidR="00E30E6A" w:rsidRPr="00730563">
              <w:rPr>
                <w:rStyle w:val="BRNormal"/>
                <w:lang w:val="fr-CH"/>
              </w:rPr>
              <w:t>organisations ex</w:t>
            </w:r>
            <w:r w:rsidR="00DD26BD">
              <w:rPr>
                <w:rStyle w:val="BRNormal"/>
                <w:lang w:val="fr-CH"/>
              </w:rPr>
              <w:t xml:space="preserve">ploitant des services de Terre </w:t>
            </w:r>
            <w:r w:rsidR="00E30E6A" w:rsidRPr="00730563">
              <w:rPr>
                <w:rStyle w:val="BRNormal"/>
                <w:lang w:val="fr-CH"/>
              </w:rPr>
              <w:t>et des services passifs</w:t>
            </w:r>
          </w:p>
        </w:tc>
      </w:tr>
      <w:tr w:rsidR="001B6838" w:rsidRPr="009E4745"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lang w:val="fr-CH"/>
              </w:rPr>
              <w:t>Commissions d'études de l'UIT-R concernées</w:t>
            </w:r>
            <w:r w:rsidRPr="00A31EA2">
              <w:rPr>
                <w:b/>
                <w:bCs/>
                <w:i/>
                <w:iCs/>
              </w:rPr>
              <w:t>:</w:t>
            </w:r>
          </w:p>
          <w:p w:rsidR="001B6838" w:rsidRPr="009E4745" w:rsidRDefault="00C937A8" w:rsidP="00425FA3">
            <w:pPr>
              <w:rPr>
                <w:b/>
                <w:i/>
                <w:lang w:val="fr-CH"/>
              </w:rPr>
            </w:pPr>
            <w:r>
              <w:rPr>
                <w:rStyle w:val="BRNormal"/>
              </w:rPr>
              <w:t>CE</w:t>
            </w:r>
            <w:r w:rsidR="001B6838" w:rsidRPr="00CA4B16">
              <w:rPr>
                <w:rStyle w:val="BRNormal"/>
              </w:rPr>
              <w:t xml:space="preserve"> 1, </w:t>
            </w:r>
            <w:r>
              <w:rPr>
                <w:rStyle w:val="BRNormal"/>
              </w:rPr>
              <w:t>CE</w:t>
            </w:r>
            <w:r w:rsidR="001B6838" w:rsidRPr="00CA4B16">
              <w:rPr>
                <w:rStyle w:val="BRNormal"/>
              </w:rPr>
              <w:t xml:space="preserve"> 7</w:t>
            </w:r>
          </w:p>
        </w:tc>
      </w:tr>
      <w:tr w:rsidR="001B6838" w:rsidRPr="001B6838" w:rsidTr="00FD175A">
        <w:tc>
          <w:tcPr>
            <w:tcW w:w="9639" w:type="dxa"/>
            <w:gridSpan w:val="3"/>
            <w:tcBorders>
              <w:top w:val="single" w:sz="4" w:space="0" w:color="auto"/>
              <w:left w:val="nil"/>
              <w:bottom w:val="single" w:sz="4" w:space="0" w:color="auto"/>
              <w:right w:val="nil"/>
            </w:tcBorders>
          </w:tcPr>
          <w:p w:rsidR="001B6838" w:rsidRPr="00DD26BD" w:rsidRDefault="001B6838" w:rsidP="00DD26BD">
            <w:pPr>
              <w:rPr>
                <w:b/>
                <w:bCs/>
                <w:i/>
                <w:iCs/>
              </w:rPr>
            </w:pPr>
            <w:r w:rsidRPr="00DD26BD">
              <w:rPr>
                <w:b/>
                <w:bCs/>
                <w:i/>
                <w:iCs/>
              </w:rPr>
              <w:t>Répercussions au niveau des ressources de l'UIT, y compris incidences financières</w:t>
            </w:r>
            <w:r w:rsidRPr="00DD26BD">
              <w:rPr>
                <w:b/>
                <w:bCs/>
                <w:i/>
                <w:iCs/>
              </w:rPr>
              <w:br/>
              <w:t>(voir le numéro 126 de la Convention):</w:t>
            </w:r>
          </w:p>
          <w:p w:rsidR="001B6838" w:rsidRPr="00730563" w:rsidRDefault="00E30E6A"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p>
        </w:tc>
      </w:tr>
      <w:tr w:rsidR="001B6838" w:rsidRPr="009E4745" w:rsidTr="00FD175A">
        <w:tc>
          <w:tcPr>
            <w:tcW w:w="4538" w:type="dxa"/>
            <w:gridSpan w:val="2"/>
            <w:tcBorders>
              <w:top w:val="single" w:sz="4" w:space="0" w:color="auto"/>
              <w:left w:val="nil"/>
              <w:bottom w:val="single" w:sz="4" w:space="0" w:color="auto"/>
              <w:right w:val="nil"/>
            </w:tcBorders>
          </w:tcPr>
          <w:p w:rsidR="001B6838" w:rsidRPr="009E4745" w:rsidRDefault="001B6838" w:rsidP="00DD26BD">
            <w:pPr>
              <w:rPr>
                <w:b/>
                <w:iCs/>
                <w:lang w:val="fr-CH"/>
              </w:rPr>
            </w:pPr>
            <w:r w:rsidRPr="00695ABE">
              <w:rPr>
                <w:b/>
                <w:bCs/>
                <w:i/>
                <w:iCs/>
              </w:rPr>
              <w:t>Proposition régionale commune:</w:t>
            </w:r>
            <w:r w:rsidRPr="008C0EDF">
              <w:rPr>
                <w:b/>
                <w:bCs/>
              </w:rPr>
              <w:t xml:space="preserve"> </w:t>
            </w:r>
            <w:r w:rsidRPr="009217A6">
              <w:t>Oui</w:t>
            </w:r>
          </w:p>
        </w:tc>
        <w:tc>
          <w:tcPr>
            <w:tcW w:w="5101" w:type="dxa"/>
            <w:tcBorders>
              <w:top w:val="single" w:sz="4" w:space="0" w:color="auto"/>
              <w:left w:val="nil"/>
              <w:bottom w:val="single" w:sz="4" w:space="0" w:color="auto"/>
              <w:right w:val="nil"/>
            </w:tcBorders>
          </w:tcPr>
          <w:p w:rsidR="001B6838" w:rsidRPr="00A31EA2" w:rsidRDefault="001B6838" w:rsidP="00DD26BD">
            <w:r w:rsidRPr="00695ABE">
              <w:rPr>
                <w:b/>
                <w:bCs/>
                <w:i/>
                <w:iCs/>
              </w:rPr>
              <w:t>Proposition soumise par plusieurs pays:</w:t>
            </w:r>
            <w:r w:rsidRPr="008C0EDF">
              <w:rPr>
                <w:b/>
                <w:bCs/>
              </w:rPr>
              <w:t xml:space="preserve"> </w:t>
            </w:r>
            <w:r>
              <w:t>Oui</w:t>
            </w:r>
          </w:p>
          <w:p w:rsidR="001B6838" w:rsidRPr="00593B73" w:rsidRDefault="001B6838" w:rsidP="00DD26BD">
            <w:r w:rsidRPr="003A2ED4">
              <w:rPr>
                <w:b/>
                <w:bCs/>
                <w:i/>
                <w:iCs/>
                <w:lang w:val="fr-CH"/>
              </w:rPr>
              <w:t>Nombre de pays:</w:t>
            </w:r>
          </w:p>
        </w:tc>
      </w:tr>
      <w:tr w:rsidR="001B6838" w:rsidRPr="00714540" w:rsidTr="00FD175A">
        <w:tc>
          <w:tcPr>
            <w:tcW w:w="9639" w:type="dxa"/>
            <w:gridSpan w:val="3"/>
            <w:tcBorders>
              <w:top w:val="single" w:sz="4" w:space="0" w:color="auto"/>
              <w:left w:val="nil"/>
              <w:bottom w:val="nil"/>
              <w:right w:val="nil"/>
            </w:tcBorders>
          </w:tcPr>
          <w:p w:rsidR="001B6838" w:rsidRPr="00A31EA2" w:rsidRDefault="001B6838" w:rsidP="00DD26BD">
            <w:r w:rsidRPr="003A2ED4">
              <w:rPr>
                <w:b/>
                <w:bCs/>
                <w:i/>
                <w:iCs/>
              </w:rPr>
              <w:t>Observations</w:t>
            </w:r>
          </w:p>
          <w:p w:rsidR="001B6838" w:rsidRPr="00714540" w:rsidRDefault="00EE5360" w:rsidP="00425FA3">
            <w:pPr>
              <w:rPr>
                <w:b/>
                <w:i/>
              </w:rPr>
            </w:pPr>
            <w:r>
              <w:t>N</w:t>
            </w:r>
            <w:r w:rsidR="00E30E6A">
              <w:t>éant</w:t>
            </w:r>
          </w:p>
        </w:tc>
      </w:tr>
    </w:tbl>
    <w:p w:rsidR="006B1FD4" w:rsidRDefault="006B1FD4" w:rsidP="00425FA3">
      <w:pPr>
        <w:pStyle w:val="Reasons"/>
        <w:rPr>
          <w:lang w:val="en-US"/>
        </w:rPr>
      </w:pPr>
    </w:p>
    <w:p w:rsidR="001B6838" w:rsidRPr="00B65685" w:rsidRDefault="001B6838"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Pr="00B65685" w:rsidRDefault="00A846F5" w:rsidP="00425FA3">
      <w:pPr>
        <w:pStyle w:val="Proposal"/>
        <w:rPr>
          <w:lang w:val="en-US"/>
        </w:rPr>
      </w:pPr>
      <w:r w:rsidRPr="00B65685">
        <w:rPr>
          <w:lang w:val="en-US"/>
        </w:rPr>
        <w:lastRenderedPageBreak/>
        <w:t>ADD</w:t>
      </w:r>
      <w:r w:rsidRPr="00B65685">
        <w:rPr>
          <w:lang w:val="en-US"/>
        </w:rPr>
        <w:tab/>
        <w:t>EUR/9A25/6</w:t>
      </w:r>
    </w:p>
    <w:p w:rsidR="006B1FD4" w:rsidRPr="00EE5360" w:rsidRDefault="001261B0" w:rsidP="00EE5360">
      <w:pPr>
        <w:pStyle w:val="ResNo"/>
        <w:spacing w:before="360"/>
        <w:rPr>
          <w:lang w:val="fr-CH"/>
        </w:rPr>
      </w:pPr>
      <w:r w:rsidRPr="00EE5360">
        <w:rPr>
          <w:lang w:val="fr-CH"/>
        </w:rPr>
        <w:t xml:space="preserve">PROJET DE NOUVELLE </w:t>
      </w:r>
      <w:r w:rsidR="00BB138D" w:rsidRPr="00EE5360">
        <w:rPr>
          <w:lang w:val="fr-CH"/>
        </w:rPr>
        <w:t>RÉSOLUTION</w:t>
      </w:r>
      <w:r w:rsidR="001B6838" w:rsidRPr="00EE5360">
        <w:rPr>
          <w:lang w:val="fr-CH"/>
        </w:rPr>
        <w:t xml:space="preserve"> [EUR-E10</w:t>
      </w:r>
      <w:r w:rsidR="00A846F5" w:rsidRPr="00EE5360">
        <w:rPr>
          <w:lang w:val="fr-CH"/>
        </w:rPr>
        <w:t>-4]</w:t>
      </w:r>
      <w:r w:rsidR="001B6838" w:rsidRPr="00EE5360">
        <w:rPr>
          <w:lang w:val="fr-CH"/>
        </w:rPr>
        <w:t xml:space="preserve"> (</w:t>
      </w:r>
      <w:r w:rsidR="00DD26BD" w:rsidRPr="00EE5360">
        <w:rPr>
          <w:lang w:val="fr-CH"/>
        </w:rPr>
        <w:t>CMR</w:t>
      </w:r>
      <w:r w:rsidR="001B6838" w:rsidRPr="00EE5360">
        <w:rPr>
          <w:lang w:val="fr-CH"/>
        </w:rPr>
        <w:t>-15)</w:t>
      </w:r>
    </w:p>
    <w:p w:rsidR="001B6838" w:rsidRPr="00730563" w:rsidRDefault="00DD26BD" w:rsidP="00425FA3">
      <w:pPr>
        <w:pStyle w:val="Restitle"/>
        <w:rPr>
          <w:lang w:val="fr-CH"/>
        </w:rPr>
      </w:pPr>
      <w:r>
        <w:rPr>
          <w:lang w:val="fr-CH"/>
        </w:rPr>
        <w:t>Attribution au service d</w:t>
      </w:r>
      <w:r w:rsidR="00B979D7">
        <w:rPr>
          <w:lang w:val="fr-CH"/>
        </w:rPr>
        <w:t>'</w:t>
      </w:r>
      <w:r>
        <w:rPr>
          <w:lang w:val="fr-CH"/>
        </w:rPr>
        <w:t>amateu</w:t>
      </w:r>
      <w:r w:rsidR="00B1634C">
        <w:rPr>
          <w:lang w:val="fr-CH"/>
        </w:rPr>
        <w:t>r</w:t>
      </w:r>
      <w:r w:rsidR="00FB22BC" w:rsidRPr="00730563">
        <w:rPr>
          <w:lang w:val="fr-CH"/>
        </w:rPr>
        <w:t xml:space="preserve"> dans la bande de fréquences </w:t>
      </w:r>
      <w:r w:rsidR="001B6838" w:rsidRPr="00730563">
        <w:rPr>
          <w:lang w:val="fr-CH"/>
        </w:rPr>
        <w:t>1 800-2 000 kHz</w:t>
      </w:r>
    </w:p>
    <w:p w:rsidR="001B6838" w:rsidRPr="00730563" w:rsidRDefault="001261B0" w:rsidP="00B979D7">
      <w:pPr>
        <w:pStyle w:val="Normalaftertitle"/>
        <w:rPr>
          <w:lang w:val="fr-CH"/>
        </w:rPr>
      </w:pPr>
      <w:r w:rsidRPr="00730563">
        <w:rPr>
          <w:lang w:val="fr-CH"/>
        </w:rPr>
        <w:t xml:space="preserve">La Conférence mondiale des radiocommunications </w:t>
      </w:r>
      <w:r w:rsidR="001B6838" w:rsidRPr="00730563">
        <w:rPr>
          <w:lang w:val="fr-CH"/>
        </w:rPr>
        <w:t>(</w:t>
      </w:r>
      <w:r w:rsidR="00DD26BD">
        <w:rPr>
          <w:lang w:val="fr-CH"/>
        </w:rPr>
        <w:t>Genève</w:t>
      </w:r>
      <w:r w:rsidR="001B6838" w:rsidRPr="00730563">
        <w:rPr>
          <w:lang w:val="fr-CH"/>
        </w:rPr>
        <w:t>, 2015),</w:t>
      </w:r>
    </w:p>
    <w:p w:rsidR="001B6838" w:rsidRPr="00730563" w:rsidRDefault="00EE5360" w:rsidP="00425FA3">
      <w:pPr>
        <w:pStyle w:val="Call"/>
        <w:rPr>
          <w:lang w:val="fr-CH"/>
        </w:rPr>
      </w:pPr>
      <w:r>
        <w:rPr>
          <w:lang w:val="fr-CH"/>
        </w:rPr>
        <w:t>considérant</w:t>
      </w:r>
    </w:p>
    <w:p w:rsidR="001B6838" w:rsidRPr="00730563" w:rsidRDefault="001B6838" w:rsidP="00EE5360">
      <w:pPr>
        <w:rPr>
          <w:lang w:val="fr-CH"/>
        </w:rPr>
      </w:pPr>
      <w:r w:rsidRPr="00B979D7">
        <w:rPr>
          <w:i/>
          <w:iCs/>
          <w:lang w:val="fr-CH"/>
        </w:rPr>
        <w:t>a)</w:t>
      </w:r>
      <w:r w:rsidRPr="00730563">
        <w:rPr>
          <w:lang w:val="fr-CH"/>
        </w:rPr>
        <w:tab/>
      </w:r>
      <w:r w:rsidR="00FB22BC" w:rsidRPr="00730563">
        <w:rPr>
          <w:lang w:val="fr-CH"/>
        </w:rPr>
        <w:t>qu</w:t>
      </w:r>
      <w:r w:rsidR="00B979D7">
        <w:rPr>
          <w:lang w:val="fr-CH"/>
        </w:rPr>
        <w:t>'</w:t>
      </w:r>
      <w:r w:rsidR="00FB22BC" w:rsidRPr="00730563">
        <w:rPr>
          <w:lang w:val="fr-CH"/>
        </w:rPr>
        <w:t>une harmonisation à l</w:t>
      </w:r>
      <w:r w:rsidR="00B979D7">
        <w:rPr>
          <w:lang w:val="fr-CH"/>
        </w:rPr>
        <w:t>'</w:t>
      </w:r>
      <w:r w:rsidR="00FB22BC" w:rsidRPr="00730563">
        <w:rPr>
          <w:lang w:val="fr-CH"/>
        </w:rPr>
        <w:t>échelle mondiale des bandes de fré</w:t>
      </w:r>
      <w:r w:rsidR="003228B3">
        <w:rPr>
          <w:lang w:val="fr-CH"/>
        </w:rPr>
        <w:t xml:space="preserve">quences attribuées au </w:t>
      </w:r>
      <w:r w:rsidR="00DD26BD">
        <w:rPr>
          <w:lang w:val="fr-CH"/>
        </w:rPr>
        <w:t xml:space="preserve">service </w:t>
      </w:r>
      <w:r w:rsidR="00FB22BC" w:rsidRPr="00730563">
        <w:rPr>
          <w:lang w:val="fr-CH"/>
        </w:rPr>
        <w:t>d</w:t>
      </w:r>
      <w:r w:rsidR="00B979D7">
        <w:rPr>
          <w:lang w:val="fr-CH"/>
        </w:rPr>
        <w:t>'</w:t>
      </w:r>
      <w:r w:rsidR="00FB22BC" w:rsidRPr="00730563">
        <w:rPr>
          <w:lang w:val="fr-CH"/>
        </w:rPr>
        <w:t>amateur</w:t>
      </w:r>
      <w:r w:rsidR="003228B3">
        <w:rPr>
          <w:lang w:val="fr-CH"/>
        </w:rPr>
        <w:t xml:space="preserve"> </w:t>
      </w:r>
      <w:r w:rsidR="00FB22BC" w:rsidRPr="00730563">
        <w:rPr>
          <w:lang w:val="fr-CH"/>
        </w:rPr>
        <w:t>est souhaitable du point de vue de l</w:t>
      </w:r>
      <w:r w:rsidR="00B979D7">
        <w:rPr>
          <w:lang w:val="fr-CH"/>
        </w:rPr>
        <w:t>'</w:t>
      </w:r>
      <w:r w:rsidR="00FB22BC" w:rsidRPr="00730563">
        <w:rPr>
          <w:lang w:val="fr-CH"/>
        </w:rPr>
        <w:t xml:space="preserve">efficacité </w:t>
      </w:r>
      <w:r w:rsidR="00F50032">
        <w:rPr>
          <w:lang w:val="fr-CH"/>
        </w:rPr>
        <w:t>d'</w:t>
      </w:r>
      <w:r w:rsidR="00FB22BC" w:rsidRPr="00730563">
        <w:rPr>
          <w:lang w:val="fr-CH"/>
        </w:rPr>
        <w:t>utilisation du spectre</w:t>
      </w:r>
      <w:r w:rsidR="003228B3">
        <w:rPr>
          <w:lang w:val="fr-CH"/>
        </w:rPr>
        <w:t>;</w:t>
      </w:r>
    </w:p>
    <w:p w:rsidR="001B6838" w:rsidRPr="00730563" w:rsidRDefault="001B6838" w:rsidP="00425FA3">
      <w:pPr>
        <w:rPr>
          <w:lang w:val="fr-CH"/>
        </w:rPr>
      </w:pPr>
      <w:r w:rsidRPr="00B979D7">
        <w:rPr>
          <w:i/>
          <w:iCs/>
          <w:lang w:val="fr-CH"/>
        </w:rPr>
        <w:t>b)</w:t>
      </w:r>
      <w:r w:rsidRPr="00730563">
        <w:rPr>
          <w:lang w:val="fr-CH"/>
        </w:rPr>
        <w:tab/>
      </w:r>
      <w:r w:rsidR="00FB22BC" w:rsidRPr="00730563">
        <w:rPr>
          <w:lang w:val="fr-CH"/>
        </w:rPr>
        <w:t>que l</w:t>
      </w:r>
      <w:r w:rsidR="00B979D7">
        <w:rPr>
          <w:lang w:val="fr-CH"/>
        </w:rPr>
        <w:t>'</w:t>
      </w:r>
      <w:r w:rsidR="00FB22BC" w:rsidRPr="00730563">
        <w:rPr>
          <w:lang w:val="fr-CH"/>
        </w:rPr>
        <w:t>utilisation de la bande</w:t>
      </w:r>
      <w:r w:rsidR="003228B3">
        <w:rPr>
          <w:lang w:val="fr-CH"/>
        </w:rPr>
        <w:t xml:space="preserve"> </w:t>
      </w:r>
      <w:r w:rsidR="00FB22BC" w:rsidRPr="00730563">
        <w:rPr>
          <w:lang w:val="fr-CH"/>
        </w:rPr>
        <w:t>1 800-1 810 kHz par le service de radiolocalisation et de la bande 1 850-2 000 kHz par le service fixe et le</w:t>
      </w:r>
      <w:r w:rsidR="003228B3">
        <w:rPr>
          <w:lang w:val="fr-CH"/>
        </w:rPr>
        <w:t xml:space="preserve"> </w:t>
      </w:r>
      <w:r w:rsidR="00FB22BC" w:rsidRPr="00730563">
        <w:rPr>
          <w:lang w:val="fr-CH"/>
        </w:rPr>
        <w:t>service mob</w:t>
      </w:r>
      <w:r w:rsidR="00F50032">
        <w:rPr>
          <w:lang w:val="fr-CH"/>
        </w:rPr>
        <w:t>ile, sauf mobile aéronautique, a</w:t>
      </w:r>
      <w:r w:rsidR="00FB22BC" w:rsidRPr="00730563">
        <w:rPr>
          <w:lang w:val="fr-CH"/>
        </w:rPr>
        <w:t xml:space="preserve"> diminué</w:t>
      </w:r>
      <w:r w:rsidR="003228B3">
        <w:rPr>
          <w:lang w:val="fr-CH"/>
        </w:rPr>
        <w:t>;</w:t>
      </w:r>
    </w:p>
    <w:p w:rsidR="001B6838" w:rsidRPr="00730563" w:rsidRDefault="00F50032" w:rsidP="00425FA3">
      <w:pPr>
        <w:rPr>
          <w:lang w:val="fr-CH"/>
        </w:rPr>
      </w:pPr>
      <w:r w:rsidRPr="00B979D7">
        <w:rPr>
          <w:i/>
          <w:iCs/>
          <w:lang w:val="fr-CH"/>
        </w:rPr>
        <w:t>c)</w:t>
      </w:r>
      <w:r w:rsidR="001B6838" w:rsidRPr="00730563">
        <w:rPr>
          <w:lang w:val="fr-CH"/>
        </w:rPr>
        <w:tab/>
      </w:r>
      <w:r w:rsidR="00FB22BC" w:rsidRPr="00730563">
        <w:rPr>
          <w:lang w:val="fr-CH"/>
        </w:rPr>
        <w:t>qu</w:t>
      </w:r>
      <w:r w:rsidR="00B979D7">
        <w:rPr>
          <w:lang w:val="fr-CH"/>
        </w:rPr>
        <w:t>'</w:t>
      </w:r>
      <w:r w:rsidR="00FB22BC" w:rsidRPr="00730563">
        <w:rPr>
          <w:lang w:val="fr-CH"/>
        </w:rPr>
        <w:t xml:space="preserve">un nombre croissant de radioamateurs ont accès </w:t>
      </w:r>
      <w:r w:rsidR="00B14621" w:rsidRPr="00730563">
        <w:rPr>
          <w:lang w:val="fr-CH"/>
        </w:rPr>
        <w:t>aux bandes attribuées au service d</w:t>
      </w:r>
      <w:r w:rsidR="00B979D7">
        <w:rPr>
          <w:lang w:val="fr-CH"/>
        </w:rPr>
        <w:t>'</w:t>
      </w:r>
      <w:r w:rsidR="00B14621" w:rsidRPr="00730563">
        <w:rPr>
          <w:lang w:val="fr-CH"/>
        </w:rPr>
        <w:t>amateur en ondes décamétriques</w:t>
      </w:r>
      <w:r w:rsidR="003228B3">
        <w:rPr>
          <w:lang w:val="fr-CH"/>
        </w:rPr>
        <w:t>,</w:t>
      </w:r>
    </w:p>
    <w:p w:rsidR="001B6838" w:rsidRPr="00730563" w:rsidRDefault="001B6838" w:rsidP="00425FA3">
      <w:pPr>
        <w:pStyle w:val="Call"/>
        <w:rPr>
          <w:lang w:val="fr-CH"/>
        </w:rPr>
      </w:pPr>
      <w:r w:rsidRPr="00730563">
        <w:rPr>
          <w:lang w:val="fr-CH"/>
        </w:rPr>
        <w:t>not</w:t>
      </w:r>
      <w:r w:rsidR="00B14621" w:rsidRPr="00730563">
        <w:rPr>
          <w:lang w:val="fr-CH"/>
        </w:rPr>
        <w:t>ant</w:t>
      </w:r>
    </w:p>
    <w:p w:rsidR="001B6838" w:rsidRPr="00730563" w:rsidRDefault="00F50032" w:rsidP="00425FA3">
      <w:pPr>
        <w:rPr>
          <w:lang w:val="fr-CH"/>
        </w:rPr>
      </w:pPr>
      <w:r w:rsidRPr="00B979D7">
        <w:rPr>
          <w:i/>
          <w:iCs/>
          <w:lang w:val="fr-CH"/>
        </w:rPr>
        <w:t>a)</w:t>
      </w:r>
      <w:r w:rsidR="001B6838" w:rsidRPr="00730563">
        <w:rPr>
          <w:lang w:val="fr-CH"/>
        </w:rPr>
        <w:tab/>
      </w:r>
      <w:r w:rsidR="00B14621" w:rsidRPr="00730563">
        <w:rPr>
          <w:lang w:val="fr-CH"/>
        </w:rPr>
        <w:t>que la bande de fréquences 1 800-2 000 kHz est</w:t>
      </w:r>
      <w:r w:rsidR="003228B3">
        <w:rPr>
          <w:lang w:val="fr-CH"/>
        </w:rPr>
        <w:t xml:space="preserve"> </w:t>
      </w:r>
      <w:r w:rsidR="00B14621" w:rsidRPr="00730563">
        <w:rPr>
          <w:lang w:val="fr-CH"/>
        </w:rPr>
        <w:t>attribuée</w:t>
      </w:r>
      <w:r w:rsidR="003228B3">
        <w:rPr>
          <w:lang w:val="fr-CH"/>
        </w:rPr>
        <w:t xml:space="preserve"> </w:t>
      </w:r>
      <w:r w:rsidR="00B14621" w:rsidRPr="00730563">
        <w:rPr>
          <w:lang w:val="fr-CH"/>
        </w:rPr>
        <w:t>au service d</w:t>
      </w:r>
      <w:r w:rsidR="00B979D7">
        <w:rPr>
          <w:lang w:val="fr-CH"/>
        </w:rPr>
        <w:t>'</w:t>
      </w:r>
      <w:r w:rsidR="00B14621" w:rsidRPr="00730563">
        <w:rPr>
          <w:lang w:val="fr-CH"/>
        </w:rPr>
        <w:t>amateur dans les</w:t>
      </w:r>
      <w:r w:rsidR="003228B3">
        <w:rPr>
          <w:lang w:val="fr-CH"/>
        </w:rPr>
        <w:t xml:space="preserve"> Région</w:t>
      </w:r>
      <w:r w:rsidR="00B14621" w:rsidRPr="00730563">
        <w:rPr>
          <w:lang w:val="fr-CH"/>
        </w:rPr>
        <w:t>s</w:t>
      </w:r>
      <w:r w:rsidR="001B6838" w:rsidRPr="00730563">
        <w:rPr>
          <w:lang w:val="fr-CH"/>
        </w:rPr>
        <w:t xml:space="preserve"> 2</w:t>
      </w:r>
      <w:r w:rsidR="003228B3">
        <w:rPr>
          <w:lang w:val="fr-CH"/>
        </w:rPr>
        <w:t xml:space="preserve"> </w:t>
      </w:r>
      <w:r w:rsidR="00B14621" w:rsidRPr="00730563">
        <w:rPr>
          <w:lang w:val="fr-CH"/>
        </w:rPr>
        <w:t>et</w:t>
      </w:r>
      <w:r w:rsidR="003228B3">
        <w:rPr>
          <w:lang w:val="fr-CH"/>
        </w:rPr>
        <w:t xml:space="preserve"> </w:t>
      </w:r>
      <w:r>
        <w:rPr>
          <w:lang w:val="fr-CH"/>
        </w:rPr>
        <w:t>3;</w:t>
      </w:r>
    </w:p>
    <w:p w:rsidR="001B6838" w:rsidRPr="00730563" w:rsidRDefault="001B6838" w:rsidP="00425FA3">
      <w:pPr>
        <w:rPr>
          <w:lang w:val="fr-CH"/>
        </w:rPr>
      </w:pPr>
      <w:r w:rsidRPr="00B979D7">
        <w:rPr>
          <w:i/>
          <w:iCs/>
          <w:lang w:val="fr-CH"/>
        </w:rPr>
        <w:t>b)</w:t>
      </w:r>
      <w:r w:rsidRPr="00730563">
        <w:rPr>
          <w:lang w:val="fr-CH"/>
        </w:rPr>
        <w:tab/>
      </w:r>
      <w:r w:rsidR="00F425AC" w:rsidRPr="00730563">
        <w:rPr>
          <w:lang w:val="fr-CH"/>
        </w:rPr>
        <w:t>que la bande de fréquences 1 850-2 000 est utilisée</w:t>
      </w:r>
      <w:r w:rsidR="003228B3">
        <w:rPr>
          <w:lang w:val="fr-CH"/>
        </w:rPr>
        <w:t xml:space="preserve"> </w:t>
      </w:r>
      <w:r w:rsidR="00F425AC" w:rsidRPr="00730563">
        <w:rPr>
          <w:lang w:val="fr-CH"/>
        </w:rPr>
        <w:t xml:space="preserve">en partage par le service fixe, le service mobile, sauf mobile aéronautique, le service de radiolocalisation et le service de radionavigation en </w:t>
      </w:r>
      <w:r w:rsidR="00780FA7" w:rsidRPr="00730563">
        <w:rPr>
          <w:lang w:val="fr-CH"/>
        </w:rPr>
        <w:t>Région</w:t>
      </w:r>
      <w:r w:rsidR="003228B3">
        <w:rPr>
          <w:lang w:val="fr-CH"/>
        </w:rPr>
        <w:t xml:space="preserve"> </w:t>
      </w:r>
      <w:r w:rsidRPr="00730563">
        <w:rPr>
          <w:lang w:val="fr-CH"/>
        </w:rPr>
        <w:t xml:space="preserve">2; </w:t>
      </w:r>
    </w:p>
    <w:p w:rsidR="001B6838" w:rsidRPr="00730563" w:rsidRDefault="00F50032" w:rsidP="00425FA3">
      <w:pPr>
        <w:rPr>
          <w:lang w:val="fr-CH"/>
        </w:rPr>
      </w:pPr>
      <w:r w:rsidRPr="00B979D7">
        <w:rPr>
          <w:i/>
          <w:iCs/>
          <w:lang w:val="fr-CH"/>
        </w:rPr>
        <w:t>c)</w:t>
      </w:r>
      <w:r w:rsidR="001B6838" w:rsidRPr="00730563">
        <w:rPr>
          <w:lang w:val="fr-CH"/>
        </w:rPr>
        <w:tab/>
      </w:r>
      <w:r w:rsidR="00F425AC" w:rsidRPr="00730563">
        <w:rPr>
          <w:lang w:val="fr-CH"/>
        </w:rPr>
        <w:t>que la bande de fréquences 1 800-2 000 est utilisée</w:t>
      </w:r>
      <w:r w:rsidR="003228B3">
        <w:rPr>
          <w:lang w:val="fr-CH"/>
        </w:rPr>
        <w:t xml:space="preserve"> </w:t>
      </w:r>
      <w:r w:rsidR="00F425AC" w:rsidRPr="00730563">
        <w:rPr>
          <w:lang w:val="fr-CH"/>
        </w:rPr>
        <w:t xml:space="preserve">en partage par le service fixe, le service mobile, sauf mobile aéronautique, le service de radiolocalisation et le service de radionavigation en </w:t>
      </w:r>
      <w:r w:rsidR="00780FA7" w:rsidRPr="00730563">
        <w:rPr>
          <w:lang w:val="fr-CH"/>
        </w:rPr>
        <w:t>Région</w:t>
      </w:r>
      <w:r w:rsidR="003228B3">
        <w:rPr>
          <w:lang w:val="fr-CH"/>
        </w:rPr>
        <w:t xml:space="preserve"> </w:t>
      </w:r>
      <w:r w:rsidR="001B6838" w:rsidRPr="00730563">
        <w:rPr>
          <w:lang w:val="fr-CH"/>
        </w:rPr>
        <w:t>3,</w:t>
      </w:r>
    </w:p>
    <w:p w:rsidR="001B6838" w:rsidRPr="00730563" w:rsidRDefault="00F5216D" w:rsidP="00425FA3">
      <w:pPr>
        <w:pStyle w:val="Call"/>
        <w:rPr>
          <w:lang w:val="fr-CH"/>
        </w:rPr>
      </w:pPr>
      <w:r w:rsidRPr="00730563">
        <w:rPr>
          <w:lang w:val="fr-CH"/>
        </w:rPr>
        <w:t>décide d</w:t>
      </w:r>
      <w:r w:rsidR="00B979D7">
        <w:rPr>
          <w:lang w:val="fr-CH"/>
        </w:rPr>
        <w:t>'</w:t>
      </w:r>
      <w:r w:rsidRPr="00730563">
        <w:rPr>
          <w:lang w:val="fr-CH"/>
        </w:rPr>
        <w:t>inviter l</w:t>
      </w:r>
      <w:r w:rsidR="00B979D7">
        <w:rPr>
          <w:lang w:val="fr-CH"/>
        </w:rPr>
        <w:t>'</w:t>
      </w:r>
      <w:r w:rsidRPr="00730563">
        <w:rPr>
          <w:lang w:val="fr-CH"/>
        </w:rPr>
        <w:t>UIT-R</w:t>
      </w:r>
      <w:r w:rsidR="003228B3">
        <w:rPr>
          <w:lang w:val="fr-CH"/>
        </w:rPr>
        <w:t xml:space="preserve"> </w:t>
      </w:r>
    </w:p>
    <w:p w:rsidR="001B6838" w:rsidRPr="00730563" w:rsidRDefault="001B6838" w:rsidP="00B979D7">
      <w:pPr>
        <w:rPr>
          <w:lang w:val="fr-CH"/>
        </w:rPr>
      </w:pPr>
      <w:r w:rsidRPr="00730563">
        <w:rPr>
          <w:lang w:val="fr-CH"/>
        </w:rPr>
        <w:t>1</w:t>
      </w:r>
      <w:r w:rsidRPr="00730563">
        <w:rPr>
          <w:lang w:val="fr-CH"/>
        </w:rPr>
        <w:tab/>
      </w:r>
      <w:r w:rsidR="00F5216D" w:rsidRPr="00730563">
        <w:rPr>
          <w:lang w:val="fr-CH"/>
        </w:rPr>
        <w:t>à étudier les besoins de fréquences du service amateur dans la bande de fréquences</w:t>
      </w:r>
      <w:r w:rsidR="003228B3">
        <w:rPr>
          <w:lang w:val="fr-CH"/>
        </w:rPr>
        <w:t xml:space="preserve"> </w:t>
      </w:r>
      <w:r w:rsidR="00083CC5" w:rsidRPr="00730563">
        <w:rPr>
          <w:lang w:val="fr-CH"/>
        </w:rPr>
        <w:t>1</w:t>
      </w:r>
      <w:r w:rsidR="00B979D7">
        <w:rPr>
          <w:lang w:val="fr-CH"/>
        </w:rPr>
        <w:t> </w:t>
      </w:r>
      <w:r w:rsidR="00083CC5" w:rsidRPr="00730563">
        <w:rPr>
          <w:lang w:val="fr-CH"/>
        </w:rPr>
        <w:t>800-</w:t>
      </w:r>
      <w:r w:rsidRPr="00730563">
        <w:rPr>
          <w:lang w:val="fr-CH"/>
        </w:rPr>
        <w:t>2 000 kHz;</w:t>
      </w:r>
    </w:p>
    <w:p w:rsidR="001B6838" w:rsidRPr="00730563" w:rsidRDefault="001B6838" w:rsidP="00425FA3">
      <w:pPr>
        <w:rPr>
          <w:lang w:val="fr-CH"/>
        </w:rPr>
      </w:pPr>
      <w:r w:rsidRPr="00730563">
        <w:rPr>
          <w:lang w:val="fr-CH"/>
        </w:rPr>
        <w:t>2</w:t>
      </w:r>
      <w:r w:rsidRPr="00730563">
        <w:rPr>
          <w:lang w:val="fr-CH"/>
        </w:rPr>
        <w:tab/>
      </w:r>
      <w:r w:rsidR="00F5216D" w:rsidRPr="00730563">
        <w:rPr>
          <w:lang w:val="fr-CH"/>
        </w:rPr>
        <w:t>à étudier les besoins de fréquences du service de radiolocalisation en Région 1 dans la bande de fréquences</w:t>
      </w:r>
      <w:r w:rsidR="003228B3">
        <w:rPr>
          <w:lang w:val="fr-CH"/>
        </w:rPr>
        <w:t xml:space="preserve"> </w:t>
      </w:r>
      <w:r w:rsidRPr="00730563">
        <w:rPr>
          <w:lang w:val="fr-CH"/>
        </w:rPr>
        <w:t>1 800-1 810 kHz;</w:t>
      </w:r>
    </w:p>
    <w:p w:rsidR="001B6838" w:rsidRPr="00730563" w:rsidRDefault="00F50032" w:rsidP="00F50032">
      <w:pPr>
        <w:rPr>
          <w:lang w:val="fr-CH"/>
        </w:rPr>
      </w:pPr>
      <w:r>
        <w:rPr>
          <w:lang w:val="fr-CH"/>
        </w:rPr>
        <w:t>3</w:t>
      </w:r>
      <w:r w:rsidR="001B6838" w:rsidRPr="00730563">
        <w:rPr>
          <w:lang w:val="fr-CH"/>
        </w:rPr>
        <w:tab/>
      </w:r>
      <w:r w:rsidR="00F5216D" w:rsidRPr="00730563">
        <w:rPr>
          <w:lang w:val="fr-CH"/>
        </w:rPr>
        <w:t>à étudier le partage entre le service d</w:t>
      </w:r>
      <w:r w:rsidR="00B979D7">
        <w:rPr>
          <w:lang w:val="fr-CH"/>
        </w:rPr>
        <w:t>'</w:t>
      </w:r>
      <w:r w:rsidR="00F5216D" w:rsidRPr="00730563">
        <w:rPr>
          <w:lang w:val="fr-CH"/>
        </w:rPr>
        <w:t>amateur</w:t>
      </w:r>
      <w:r w:rsidR="00083CC5" w:rsidRPr="00730563">
        <w:rPr>
          <w:lang w:val="fr-CH"/>
        </w:rPr>
        <w:t xml:space="preserve"> </w:t>
      </w:r>
      <w:r w:rsidR="00D169E9" w:rsidRPr="00730563">
        <w:rPr>
          <w:lang w:val="fr-CH"/>
        </w:rPr>
        <w:t>et la possibilité, pour le</w:t>
      </w:r>
      <w:r w:rsidR="003228B3">
        <w:rPr>
          <w:lang w:val="fr-CH"/>
        </w:rPr>
        <w:t xml:space="preserve"> </w:t>
      </w:r>
      <w:r w:rsidR="00D169E9" w:rsidRPr="00730563">
        <w:rPr>
          <w:lang w:val="fr-CH"/>
        </w:rPr>
        <w:t>service de radiolocalisation, de continuer d</w:t>
      </w:r>
      <w:r w:rsidR="00B979D7">
        <w:rPr>
          <w:lang w:val="fr-CH"/>
        </w:rPr>
        <w:t>'</w:t>
      </w:r>
      <w:r w:rsidR="00D169E9" w:rsidRPr="00730563">
        <w:rPr>
          <w:lang w:val="fr-CH"/>
        </w:rPr>
        <w:t>utiliser la bande de fréquences</w:t>
      </w:r>
      <w:r w:rsidR="003228B3">
        <w:rPr>
          <w:lang w:val="fr-CH"/>
        </w:rPr>
        <w:t xml:space="preserve"> </w:t>
      </w:r>
      <w:r w:rsidR="001B6838" w:rsidRPr="00730563">
        <w:rPr>
          <w:lang w:val="fr-CH"/>
        </w:rPr>
        <w:t>1 800-1 810 kHz</w:t>
      </w:r>
      <w:r w:rsidR="003228B3">
        <w:rPr>
          <w:lang w:val="fr-CH"/>
        </w:rPr>
        <w:t>,</w:t>
      </w:r>
      <w:r w:rsidR="00D169E9" w:rsidRPr="00730563">
        <w:rPr>
          <w:lang w:val="fr-CH"/>
        </w:rPr>
        <w:t xml:space="preserve"> compte tenu des résultats des études visées au point 2 du </w:t>
      </w:r>
      <w:r w:rsidR="00B1634C" w:rsidRPr="00FD175A">
        <w:rPr>
          <w:i/>
          <w:iCs/>
          <w:lang w:val="fr-CH"/>
        </w:rPr>
        <w:t>décide</w:t>
      </w:r>
      <w:r w:rsidR="00D169E9" w:rsidRPr="00730563">
        <w:rPr>
          <w:lang w:val="fr-CH"/>
        </w:rPr>
        <w:t xml:space="preserve"> ci-dessus</w:t>
      </w:r>
      <w:r w:rsidR="003228B3">
        <w:rPr>
          <w:lang w:val="fr-CH"/>
        </w:rPr>
        <w:t>;</w:t>
      </w:r>
    </w:p>
    <w:p w:rsidR="001B6838" w:rsidRPr="00730563" w:rsidRDefault="001B6838" w:rsidP="00425FA3">
      <w:pPr>
        <w:rPr>
          <w:lang w:val="fr-CH"/>
        </w:rPr>
      </w:pPr>
      <w:r w:rsidRPr="00730563">
        <w:rPr>
          <w:lang w:val="fr-CH"/>
        </w:rPr>
        <w:t>4</w:t>
      </w:r>
      <w:r w:rsidRPr="00730563">
        <w:rPr>
          <w:lang w:val="fr-CH"/>
        </w:rPr>
        <w:tab/>
      </w:r>
      <w:r w:rsidR="00D169E9" w:rsidRPr="00730563">
        <w:rPr>
          <w:lang w:val="fr-CH"/>
        </w:rPr>
        <w:t>à étudier les besoins de fréquences</w:t>
      </w:r>
      <w:r w:rsidR="00083CC5" w:rsidRPr="00730563">
        <w:rPr>
          <w:lang w:val="fr-CH"/>
        </w:rPr>
        <w:t xml:space="preserve"> des services fixe</w:t>
      </w:r>
      <w:r w:rsidR="003228B3">
        <w:rPr>
          <w:lang w:val="fr-CH"/>
        </w:rPr>
        <w:t>,</w:t>
      </w:r>
      <w:r w:rsidR="00083CC5" w:rsidRPr="00730563">
        <w:rPr>
          <w:lang w:val="fr-CH"/>
        </w:rPr>
        <w:t xml:space="preserve"> mobile, sauf mobile aéronautique, de radiolocalisation et de radionavigation, dans la bande de fréquences </w:t>
      </w:r>
      <w:r w:rsidRPr="00730563">
        <w:rPr>
          <w:lang w:val="fr-CH"/>
        </w:rPr>
        <w:t>1 850-2 000 kHz;</w:t>
      </w:r>
    </w:p>
    <w:p w:rsidR="001B6838" w:rsidRPr="00730563" w:rsidRDefault="00F50032" w:rsidP="00425FA3">
      <w:pPr>
        <w:rPr>
          <w:lang w:val="fr-CH"/>
        </w:rPr>
      </w:pPr>
      <w:r>
        <w:rPr>
          <w:lang w:val="fr-CH"/>
        </w:rPr>
        <w:t>5</w:t>
      </w:r>
      <w:r w:rsidR="001B6838" w:rsidRPr="00730563">
        <w:rPr>
          <w:lang w:val="fr-CH"/>
        </w:rPr>
        <w:tab/>
      </w:r>
      <w:r w:rsidR="00083CC5" w:rsidRPr="00730563">
        <w:rPr>
          <w:lang w:val="fr-CH"/>
        </w:rPr>
        <w:t>à étudier le partage entre le service d</w:t>
      </w:r>
      <w:r w:rsidR="00B979D7">
        <w:rPr>
          <w:lang w:val="fr-CH"/>
        </w:rPr>
        <w:t>'</w:t>
      </w:r>
      <w:r w:rsidR="00083CC5" w:rsidRPr="00730563">
        <w:rPr>
          <w:lang w:val="fr-CH"/>
        </w:rPr>
        <w:t>amateur et la possibilité, pour les</w:t>
      </w:r>
      <w:r w:rsidR="003228B3">
        <w:rPr>
          <w:lang w:val="fr-CH"/>
        </w:rPr>
        <w:t xml:space="preserve"> </w:t>
      </w:r>
      <w:r w:rsidR="00083CC5" w:rsidRPr="00730563">
        <w:rPr>
          <w:lang w:val="fr-CH"/>
        </w:rPr>
        <w:t>services fixe</w:t>
      </w:r>
      <w:r w:rsidR="003228B3">
        <w:rPr>
          <w:lang w:val="fr-CH"/>
        </w:rPr>
        <w:t>,</w:t>
      </w:r>
      <w:r w:rsidR="00083CC5" w:rsidRPr="00730563">
        <w:rPr>
          <w:lang w:val="fr-CH"/>
        </w:rPr>
        <w:t xml:space="preserve"> mobile, sauf mobile aéronautique, de radiolocalisation et de radionavigation, de continuer d</w:t>
      </w:r>
      <w:r w:rsidR="00B979D7">
        <w:rPr>
          <w:lang w:val="fr-CH"/>
        </w:rPr>
        <w:t>'</w:t>
      </w:r>
      <w:r w:rsidR="00083CC5" w:rsidRPr="00730563">
        <w:rPr>
          <w:lang w:val="fr-CH"/>
        </w:rPr>
        <w:t>utiliser la bande de fréquences</w:t>
      </w:r>
      <w:r w:rsidR="003228B3">
        <w:rPr>
          <w:lang w:val="fr-CH"/>
        </w:rPr>
        <w:t xml:space="preserve"> </w:t>
      </w:r>
      <w:r w:rsidR="001B6838" w:rsidRPr="00730563">
        <w:rPr>
          <w:lang w:val="fr-CH"/>
        </w:rPr>
        <w:t>1 850-2 000 kHz</w:t>
      </w:r>
      <w:r w:rsidR="003228B3">
        <w:rPr>
          <w:lang w:val="fr-CH"/>
        </w:rPr>
        <w:t>,</w:t>
      </w:r>
      <w:r w:rsidR="00083CC5" w:rsidRPr="00730563">
        <w:rPr>
          <w:lang w:val="fr-CH"/>
        </w:rPr>
        <w:t xml:space="preserve"> compte tenu des résultats des études visées au point 4 du </w:t>
      </w:r>
      <w:r w:rsidR="00083CC5" w:rsidRPr="00B979D7">
        <w:rPr>
          <w:i/>
          <w:iCs/>
          <w:lang w:val="fr-CH"/>
        </w:rPr>
        <w:t>décide</w:t>
      </w:r>
      <w:r w:rsidR="00083CC5" w:rsidRPr="00730563">
        <w:rPr>
          <w:lang w:val="fr-CH"/>
        </w:rPr>
        <w:t xml:space="preserve"> ci-dessus</w:t>
      </w:r>
      <w:r w:rsidR="003228B3">
        <w:rPr>
          <w:lang w:val="fr-CH"/>
        </w:rPr>
        <w:t>,</w:t>
      </w:r>
    </w:p>
    <w:p w:rsidR="001B6838" w:rsidRPr="00730563" w:rsidRDefault="00083CC5" w:rsidP="00425FA3">
      <w:pPr>
        <w:pStyle w:val="Call"/>
        <w:rPr>
          <w:lang w:val="fr-CH"/>
        </w:rPr>
      </w:pPr>
      <w:r w:rsidRPr="00730563">
        <w:rPr>
          <w:lang w:val="fr-CH"/>
        </w:rPr>
        <w:t>décide d</w:t>
      </w:r>
      <w:r w:rsidR="00B979D7">
        <w:rPr>
          <w:lang w:val="fr-CH"/>
        </w:rPr>
        <w:t>'</w:t>
      </w:r>
      <w:r w:rsidRPr="00730563">
        <w:rPr>
          <w:lang w:val="fr-CH"/>
        </w:rPr>
        <w:t xml:space="preserve">inviter la </w:t>
      </w:r>
      <w:r w:rsidR="00F50032">
        <w:rPr>
          <w:lang w:val="fr-CH"/>
        </w:rPr>
        <w:t>CMR</w:t>
      </w:r>
      <w:r w:rsidR="001B6838" w:rsidRPr="00730563">
        <w:rPr>
          <w:lang w:val="fr-CH"/>
        </w:rPr>
        <w:t>-19</w:t>
      </w:r>
    </w:p>
    <w:p w:rsidR="001B6838" w:rsidRDefault="00083CC5" w:rsidP="0030395A">
      <w:pPr>
        <w:rPr>
          <w:lang w:val="fr-CH"/>
        </w:rPr>
      </w:pPr>
      <w:r w:rsidRPr="00730563">
        <w:rPr>
          <w:lang w:val="fr-CH"/>
        </w:rPr>
        <w:t>à examiner les résultats des études susmentionnées et à prendre les mesures voulues,</w:t>
      </w:r>
      <w:r w:rsidR="003228B3">
        <w:rPr>
          <w:lang w:val="fr-CH"/>
        </w:rPr>
        <w:t xml:space="preserve"> </w:t>
      </w:r>
      <w:r w:rsidRPr="00730563">
        <w:rPr>
          <w:lang w:val="fr-CH"/>
        </w:rPr>
        <w:t>qui pourrai</w:t>
      </w:r>
      <w:r w:rsidR="009E0CE8" w:rsidRPr="00730563">
        <w:rPr>
          <w:lang w:val="fr-CH"/>
        </w:rPr>
        <w:t>en</w:t>
      </w:r>
      <w:r w:rsidRPr="00730563">
        <w:rPr>
          <w:lang w:val="fr-CH"/>
        </w:rPr>
        <w:t>t consister à</w:t>
      </w:r>
      <w:r w:rsidR="00C64C37">
        <w:rPr>
          <w:lang w:val="fr-CH"/>
        </w:rPr>
        <w:t xml:space="preserve"> faire une attribution</w:t>
      </w:r>
      <w:r w:rsidRPr="00730563">
        <w:rPr>
          <w:lang w:val="fr-CH"/>
        </w:rPr>
        <w:t xml:space="preserve"> à titre primaire </w:t>
      </w:r>
      <w:r w:rsidR="00C64C37">
        <w:rPr>
          <w:lang w:val="fr-CH"/>
        </w:rPr>
        <w:t xml:space="preserve">au service d'amateur dans </w:t>
      </w:r>
      <w:r w:rsidRPr="00730563">
        <w:rPr>
          <w:lang w:val="fr-CH"/>
        </w:rPr>
        <w:t xml:space="preserve">la bande </w:t>
      </w:r>
      <w:r w:rsidR="001B6838" w:rsidRPr="00730563">
        <w:rPr>
          <w:lang w:val="fr-CH"/>
        </w:rPr>
        <w:t xml:space="preserve">1 800-2 000 kHz </w:t>
      </w:r>
      <w:r w:rsidRPr="00730563">
        <w:rPr>
          <w:lang w:val="fr-CH"/>
        </w:rPr>
        <w:t xml:space="preserve">en </w:t>
      </w:r>
      <w:r w:rsidR="00780FA7" w:rsidRPr="00730563">
        <w:rPr>
          <w:lang w:val="fr-CH"/>
        </w:rPr>
        <w:t>Région</w:t>
      </w:r>
      <w:r w:rsidR="003228B3">
        <w:rPr>
          <w:lang w:val="fr-CH"/>
        </w:rPr>
        <w:t xml:space="preserve"> </w:t>
      </w:r>
      <w:r w:rsidRPr="00730563">
        <w:rPr>
          <w:lang w:val="fr-CH"/>
        </w:rPr>
        <w:t>1</w:t>
      </w:r>
      <w:r w:rsidR="003228B3">
        <w:rPr>
          <w:lang w:val="fr-CH"/>
        </w:rPr>
        <w:t>,</w:t>
      </w:r>
      <w:r w:rsidR="001B6838" w:rsidRPr="00730563">
        <w:rPr>
          <w:lang w:val="fr-CH"/>
        </w:rPr>
        <w:t xml:space="preserve"> </w:t>
      </w:r>
      <w:r w:rsidR="009E0CE8" w:rsidRPr="00730563">
        <w:rPr>
          <w:lang w:val="fr-CH"/>
        </w:rPr>
        <w:t>et à modifier éventuellement les numéros 5.96, 5.98</w:t>
      </w:r>
      <w:r w:rsidR="003228B3">
        <w:rPr>
          <w:lang w:val="fr-CH"/>
        </w:rPr>
        <w:t xml:space="preserve"> </w:t>
      </w:r>
      <w:r w:rsidR="009E0CE8" w:rsidRPr="00730563">
        <w:rPr>
          <w:lang w:val="fr-CH"/>
        </w:rPr>
        <w:t xml:space="preserve">et 5.99, selon le </w:t>
      </w:r>
      <w:r w:rsidR="00C64C37" w:rsidRPr="00730563">
        <w:rPr>
          <w:lang w:val="fr-CH"/>
        </w:rPr>
        <w:t>cas</w:t>
      </w:r>
      <w:r w:rsidR="00C64C37">
        <w:rPr>
          <w:lang w:val="fr-CH"/>
        </w:rPr>
        <w:t>.</w:t>
      </w:r>
    </w:p>
    <w:p w:rsidR="00EE5360" w:rsidRPr="00EE5360" w:rsidRDefault="00EE5360" w:rsidP="00EE5360">
      <w:pPr>
        <w:pStyle w:val="Reasons"/>
        <w:spacing w:before="0"/>
        <w:rPr>
          <w:sz w:val="8"/>
          <w:szCs w:val="8"/>
          <w:lang w:val="fr-CH"/>
        </w:rPr>
      </w:pPr>
    </w:p>
    <w:p w:rsidR="00C64C37" w:rsidRPr="00730563" w:rsidRDefault="00C64C37" w:rsidP="00C64C37">
      <w:pPr>
        <w:pStyle w:val="Appendixtitle"/>
        <w:rPr>
          <w:rFonts w:eastAsiaTheme="minorEastAsia"/>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de l</w:t>
      </w:r>
      <w:r w:rsidR="00B979D7">
        <w:rPr>
          <w:lang w:val="fr-CH"/>
        </w:rPr>
        <w:t>'</w:t>
      </w:r>
      <w:r w:rsidRPr="00730563">
        <w:rPr>
          <w:lang w:val="fr-CH"/>
        </w:rPr>
        <w:t xml:space="preserve">ordre du jour de la </w:t>
      </w:r>
      <w:r>
        <w:rPr>
          <w:lang w:val="fr-CH"/>
        </w:rPr>
        <w:t>CMR</w:t>
      </w:r>
      <w:r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FD175A" w:rsidTr="004E10E0">
        <w:tc>
          <w:tcPr>
            <w:tcW w:w="1418" w:type="dxa"/>
            <w:tcBorders>
              <w:top w:val="nil"/>
              <w:left w:val="nil"/>
              <w:bottom w:val="nil"/>
              <w:right w:val="nil"/>
            </w:tcBorders>
          </w:tcPr>
          <w:p w:rsidR="00FD175A" w:rsidRPr="00FD175A" w:rsidRDefault="00FD175A" w:rsidP="004E10E0">
            <w:pPr>
              <w:tabs>
                <w:tab w:val="clear" w:pos="1871"/>
                <w:tab w:val="clear" w:pos="2268"/>
                <w:tab w:val="left" w:pos="6123"/>
              </w:tabs>
              <w:rPr>
                <w:b/>
                <w:bCs/>
                <w:i/>
                <w:iCs/>
                <w:lang w:val="fr-CH"/>
              </w:rPr>
            </w:pPr>
            <w:r w:rsidRPr="00FD175A">
              <w:rPr>
                <w:b/>
                <w:bCs/>
                <w:i/>
                <w:iCs/>
                <w:lang w:val="fr-CH"/>
              </w:rPr>
              <w:t>Objet:</w:t>
            </w:r>
          </w:p>
        </w:tc>
        <w:tc>
          <w:tcPr>
            <w:tcW w:w="8221" w:type="dxa"/>
            <w:gridSpan w:val="2"/>
            <w:tcBorders>
              <w:top w:val="nil"/>
              <w:left w:val="nil"/>
              <w:bottom w:val="nil"/>
              <w:right w:val="nil"/>
            </w:tcBorders>
          </w:tcPr>
          <w:p w:rsidR="00FD175A" w:rsidRDefault="00FD175A" w:rsidP="004E10E0">
            <w:pPr>
              <w:tabs>
                <w:tab w:val="clear" w:pos="1871"/>
                <w:tab w:val="clear" w:pos="2268"/>
                <w:tab w:val="left" w:pos="6123"/>
              </w:tabs>
              <w:rPr>
                <w:b/>
                <w:bCs/>
                <w:i/>
                <w:iCs/>
                <w:lang w:val="fr-CH"/>
              </w:rPr>
            </w:pPr>
            <w:r w:rsidRPr="00730563">
              <w:rPr>
                <w:lang w:val="fr-CH"/>
              </w:rPr>
              <w:t>Attribution au service d</w:t>
            </w:r>
            <w:r>
              <w:rPr>
                <w:lang w:val="fr-CH"/>
              </w:rPr>
              <w:t>'</w:t>
            </w:r>
            <w:r w:rsidRPr="00730563">
              <w:rPr>
                <w:lang w:val="fr-CH"/>
              </w:rPr>
              <w:t>amateur dans la bande de fréquences 1 800-2 000 kHz</w:t>
            </w:r>
          </w:p>
        </w:tc>
      </w:tr>
      <w:tr w:rsidR="00FD175A" w:rsidTr="004E10E0">
        <w:tc>
          <w:tcPr>
            <w:tcW w:w="1418" w:type="dxa"/>
            <w:tcBorders>
              <w:top w:val="nil"/>
              <w:left w:val="nil"/>
              <w:bottom w:val="single" w:sz="4" w:space="0" w:color="auto"/>
              <w:right w:val="nil"/>
            </w:tcBorders>
          </w:tcPr>
          <w:p w:rsidR="00FD175A" w:rsidRPr="00FD175A" w:rsidRDefault="00FD175A" w:rsidP="004E10E0">
            <w:pPr>
              <w:tabs>
                <w:tab w:val="clear" w:pos="1871"/>
                <w:tab w:val="clear" w:pos="2268"/>
                <w:tab w:val="left" w:pos="6123"/>
              </w:tabs>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FD175A" w:rsidRDefault="00FD175A" w:rsidP="004E10E0">
            <w:pPr>
              <w:tabs>
                <w:tab w:val="clear" w:pos="1871"/>
                <w:tab w:val="clear" w:pos="2268"/>
                <w:tab w:val="left" w:pos="6123"/>
              </w:tabs>
              <w:rPr>
                <w:b/>
                <w:bCs/>
                <w:i/>
                <w:iCs/>
                <w:lang w:val="fr-CH"/>
              </w:rPr>
            </w:pPr>
            <w:r w:rsidRPr="00393191">
              <w:rPr>
                <w:lang w:val="en-US"/>
              </w:rPr>
              <w:t>CEPT</w:t>
            </w:r>
          </w:p>
        </w:tc>
      </w:tr>
      <w:tr w:rsidR="001B6838" w:rsidRPr="00E83D60" w:rsidTr="00FD175A">
        <w:tc>
          <w:tcPr>
            <w:tcW w:w="9639" w:type="dxa"/>
            <w:gridSpan w:val="3"/>
            <w:tcBorders>
              <w:top w:val="single" w:sz="4" w:space="0" w:color="auto"/>
              <w:left w:val="nil"/>
              <w:bottom w:val="single" w:sz="4" w:space="0" w:color="auto"/>
              <w:right w:val="nil"/>
            </w:tcBorders>
          </w:tcPr>
          <w:p w:rsidR="001B6838" w:rsidRPr="00730563" w:rsidRDefault="001B6838" w:rsidP="00425FA3">
            <w:pPr>
              <w:rPr>
                <w:lang w:val="fr-CH"/>
              </w:rPr>
            </w:pPr>
            <w:r w:rsidRPr="00730563">
              <w:rPr>
                <w:b/>
                <w:bCs/>
                <w:i/>
                <w:iCs/>
                <w:lang w:val="fr-CH"/>
              </w:rPr>
              <w:t>Proposition:</w:t>
            </w:r>
          </w:p>
          <w:p w:rsidR="001B6838" w:rsidRPr="00730563" w:rsidRDefault="009E0CE8" w:rsidP="00FD175A">
            <w:pPr>
              <w:rPr>
                <w:b/>
                <w:i/>
                <w:lang w:val="fr-CH"/>
              </w:rPr>
            </w:pPr>
            <w:r w:rsidRPr="00730563">
              <w:rPr>
                <w:lang w:val="fr-CH"/>
              </w:rPr>
              <w:t>examiner les résultat</w:t>
            </w:r>
            <w:r w:rsidR="00C64C37">
              <w:rPr>
                <w:lang w:val="fr-CH"/>
              </w:rPr>
              <w:t>s des études susmentionnées et</w:t>
            </w:r>
            <w:r w:rsidRPr="00730563">
              <w:rPr>
                <w:lang w:val="fr-CH"/>
              </w:rPr>
              <w:t xml:space="preserve"> prendre les mesures voulues,</w:t>
            </w:r>
            <w:r w:rsidR="003228B3">
              <w:rPr>
                <w:lang w:val="fr-CH"/>
              </w:rPr>
              <w:t xml:space="preserve"> </w:t>
            </w:r>
            <w:r w:rsidRPr="00730563">
              <w:rPr>
                <w:lang w:val="fr-CH"/>
              </w:rPr>
              <w:t xml:space="preserve">qui pourraient consister à </w:t>
            </w:r>
            <w:r w:rsidR="00C64C37">
              <w:rPr>
                <w:lang w:val="fr-CH"/>
              </w:rPr>
              <w:t>faire une attribution</w:t>
            </w:r>
            <w:r w:rsidRPr="00730563">
              <w:rPr>
                <w:lang w:val="fr-CH"/>
              </w:rPr>
              <w:t xml:space="preserve"> à titre primaire </w:t>
            </w:r>
            <w:r w:rsidR="00C64C37">
              <w:rPr>
                <w:lang w:val="fr-CH"/>
              </w:rPr>
              <w:t xml:space="preserve">au service d'amateur dans </w:t>
            </w:r>
            <w:r w:rsidRPr="00730563">
              <w:rPr>
                <w:lang w:val="fr-CH"/>
              </w:rPr>
              <w:t>la bande 1 800-2</w:t>
            </w:r>
            <w:r w:rsidR="00FD175A">
              <w:rPr>
                <w:lang w:val="fr-CH"/>
              </w:rPr>
              <w:t> </w:t>
            </w:r>
            <w:r w:rsidRPr="00730563">
              <w:rPr>
                <w:lang w:val="fr-CH"/>
              </w:rPr>
              <w:t>000</w:t>
            </w:r>
            <w:r w:rsidR="00FD175A">
              <w:rPr>
                <w:lang w:val="fr-CH"/>
              </w:rPr>
              <w:t> </w:t>
            </w:r>
            <w:r w:rsidRPr="00730563">
              <w:rPr>
                <w:lang w:val="fr-CH"/>
              </w:rPr>
              <w:t xml:space="preserve">kHz en </w:t>
            </w:r>
            <w:r w:rsidR="00780FA7" w:rsidRPr="00730563">
              <w:rPr>
                <w:lang w:val="fr-CH"/>
              </w:rPr>
              <w:t>Région</w:t>
            </w:r>
            <w:r w:rsidR="003228B3">
              <w:rPr>
                <w:lang w:val="fr-CH"/>
              </w:rPr>
              <w:t xml:space="preserve"> </w:t>
            </w:r>
            <w:r w:rsidRPr="00730563">
              <w:rPr>
                <w:lang w:val="fr-CH"/>
              </w:rPr>
              <w:t>1</w:t>
            </w:r>
            <w:r w:rsidR="003228B3">
              <w:rPr>
                <w:lang w:val="fr-CH"/>
              </w:rPr>
              <w:t>,</w:t>
            </w:r>
            <w:r w:rsidRPr="00730563">
              <w:rPr>
                <w:lang w:val="fr-CH"/>
              </w:rPr>
              <w:t xml:space="preserve"> et à modifier éventuellement les numéros 5.96, 5.98</w:t>
            </w:r>
            <w:r w:rsidR="003228B3">
              <w:rPr>
                <w:lang w:val="fr-CH"/>
              </w:rPr>
              <w:t xml:space="preserve"> </w:t>
            </w:r>
            <w:r w:rsidRPr="00730563">
              <w:rPr>
                <w:lang w:val="fr-CH"/>
              </w:rPr>
              <w:t>et 5.99, selon le cas</w:t>
            </w:r>
          </w:p>
        </w:tc>
      </w:tr>
      <w:tr w:rsidR="001B6838" w:rsidRPr="00714540" w:rsidTr="00FD175A">
        <w:tc>
          <w:tcPr>
            <w:tcW w:w="9639" w:type="dxa"/>
            <w:gridSpan w:val="3"/>
            <w:tcBorders>
              <w:top w:val="single" w:sz="4" w:space="0" w:color="auto"/>
              <w:left w:val="nil"/>
              <w:bottom w:val="single" w:sz="4" w:space="0" w:color="auto"/>
              <w:right w:val="nil"/>
            </w:tcBorders>
          </w:tcPr>
          <w:p w:rsidR="001B6838" w:rsidRPr="00730563" w:rsidRDefault="001B6838" w:rsidP="00425FA3">
            <w:pPr>
              <w:rPr>
                <w:b/>
                <w:bCs/>
                <w:i/>
                <w:iCs/>
                <w:lang w:val="fr-CH"/>
              </w:rPr>
            </w:pPr>
            <w:r w:rsidRPr="00730563">
              <w:rPr>
                <w:b/>
                <w:bCs/>
                <w:i/>
                <w:iCs/>
                <w:lang w:val="fr-CH"/>
              </w:rPr>
              <w:t>Contexte/motif:</w:t>
            </w:r>
          </w:p>
          <w:p w:rsidR="001B6838" w:rsidRPr="00714540" w:rsidRDefault="009E0CE8" w:rsidP="00425FA3">
            <w:pPr>
              <w:rPr>
                <w:b/>
                <w:i/>
              </w:rPr>
            </w:pPr>
            <w:r w:rsidRPr="00730563">
              <w:rPr>
                <w:lang w:val="fr-CH"/>
              </w:rPr>
              <w:t>Cette mesure permettrait d</w:t>
            </w:r>
            <w:r w:rsidR="00B979D7">
              <w:rPr>
                <w:lang w:val="fr-CH"/>
              </w:rPr>
              <w:t>'</w:t>
            </w:r>
            <w:r w:rsidRPr="00730563">
              <w:rPr>
                <w:lang w:val="fr-CH"/>
              </w:rPr>
              <w:t>étendre l</w:t>
            </w:r>
            <w:r w:rsidR="00B979D7">
              <w:rPr>
                <w:lang w:val="fr-CH"/>
              </w:rPr>
              <w:t>'</w:t>
            </w:r>
            <w:r w:rsidRPr="00730563">
              <w:rPr>
                <w:lang w:val="fr-CH"/>
              </w:rPr>
              <w:t>attribution</w:t>
            </w:r>
            <w:r w:rsidR="003228B3">
              <w:rPr>
                <w:lang w:val="fr-CH"/>
              </w:rPr>
              <w:t xml:space="preserve"> </w:t>
            </w:r>
            <w:r w:rsidRPr="00730563">
              <w:rPr>
                <w:lang w:val="fr-CH"/>
              </w:rPr>
              <w:t>actuelle à titre primaire au</w:t>
            </w:r>
            <w:r w:rsidR="003228B3">
              <w:rPr>
                <w:lang w:val="fr-CH"/>
              </w:rPr>
              <w:t xml:space="preserve"> </w:t>
            </w:r>
            <w:r w:rsidRPr="00730563">
              <w:rPr>
                <w:lang w:val="fr-CH"/>
              </w:rPr>
              <w:t>service d</w:t>
            </w:r>
            <w:r w:rsidR="00B979D7">
              <w:rPr>
                <w:lang w:val="fr-CH"/>
              </w:rPr>
              <w:t>'</w:t>
            </w:r>
            <w:r w:rsidRPr="00730563">
              <w:rPr>
                <w:lang w:val="fr-CH"/>
              </w:rPr>
              <w:t>amateur pour en faire une attribution harmonisée à l</w:t>
            </w:r>
            <w:r w:rsidR="00B979D7">
              <w:rPr>
                <w:lang w:val="fr-CH"/>
              </w:rPr>
              <w:t>'</w:t>
            </w:r>
            <w:r w:rsidRPr="00730563">
              <w:rPr>
                <w:lang w:val="fr-CH"/>
              </w:rPr>
              <w:t xml:space="preserve">échelle mondiale. En outre, il conviendrait de </w:t>
            </w:r>
            <w:r w:rsidR="00B1634C">
              <w:rPr>
                <w:lang w:val="fr-CH"/>
              </w:rPr>
              <w:t>re</w:t>
            </w:r>
            <w:r w:rsidR="00F10722">
              <w:rPr>
                <w:lang w:val="fr-CH"/>
              </w:rPr>
              <w:t>v</w:t>
            </w:r>
            <w:r w:rsidRPr="00730563">
              <w:rPr>
                <w:lang w:val="fr-CH"/>
              </w:rPr>
              <w:t>oir la dernière phrase du numéro</w:t>
            </w:r>
            <w:r w:rsidR="00BF2826">
              <w:rPr>
                <w:lang w:val="fr-CH"/>
              </w:rPr>
              <w:t xml:space="preserve"> </w:t>
            </w:r>
            <w:r w:rsidRPr="00BF2826">
              <w:rPr>
                <w:rStyle w:val="Artdef"/>
                <w:b w:val="0"/>
                <w:bCs/>
                <w:lang w:val="fr-CH"/>
              </w:rPr>
              <w:t>5.96</w:t>
            </w:r>
            <w:r w:rsidR="00FD175A">
              <w:rPr>
                <w:rStyle w:val="Artdef"/>
                <w:b w:val="0"/>
                <w:bCs/>
                <w:lang w:val="fr-CH"/>
              </w:rPr>
              <w:t>,</w:t>
            </w:r>
            <w:r w:rsidR="003228B3">
              <w:rPr>
                <w:lang w:val="fr-CH"/>
              </w:rPr>
              <w:t xml:space="preserve"> </w:t>
            </w:r>
            <w:r w:rsidR="00C64C37">
              <w:rPr>
                <w:lang w:val="fr-CH"/>
              </w:rPr>
              <w:t>en vue de la supprimer. C</w:t>
            </w:r>
            <w:r w:rsidRPr="00730563">
              <w:rPr>
                <w:lang w:val="fr-CH"/>
              </w:rPr>
              <w:t>e</w:t>
            </w:r>
            <w:r w:rsidR="00C64C37">
              <w:rPr>
                <w:lang w:val="fr-CH"/>
              </w:rPr>
              <w:t xml:space="preserve">la </w:t>
            </w:r>
            <w:r w:rsidRPr="00730563">
              <w:rPr>
                <w:lang w:val="fr-CH"/>
              </w:rPr>
              <w:t>permettrait de tenir</w:t>
            </w:r>
            <w:r w:rsidR="00BF2826">
              <w:rPr>
                <w:lang w:val="fr-CH"/>
              </w:rPr>
              <w:t xml:space="preserve"> compte de l</w:t>
            </w:r>
            <w:r w:rsidR="00B979D7">
              <w:rPr>
                <w:lang w:val="fr-CH"/>
              </w:rPr>
              <w:t>'</w:t>
            </w:r>
            <w:r w:rsidR="00BF2826">
              <w:rPr>
                <w:lang w:val="fr-CH"/>
              </w:rPr>
              <w:t>utilisation actuelle</w:t>
            </w:r>
            <w:r w:rsidRPr="00730563">
              <w:rPr>
                <w:lang w:val="fr-CH"/>
              </w:rPr>
              <w:t xml:space="preserve"> en </w:t>
            </w:r>
            <w:r w:rsidR="00780FA7" w:rsidRPr="00730563">
              <w:rPr>
                <w:lang w:val="fr-CH"/>
              </w:rPr>
              <w:t>Région</w:t>
            </w:r>
            <w:r w:rsidR="003228B3">
              <w:rPr>
                <w:lang w:val="fr-CH"/>
              </w:rPr>
              <w:t xml:space="preserve"> </w:t>
            </w:r>
            <w:r w:rsidR="00C64C37" w:rsidRPr="00730563">
              <w:rPr>
                <w:lang w:val="fr-CH"/>
              </w:rPr>
              <w:t>1</w:t>
            </w:r>
            <w:r w:rsidR="00C64C37">
              <w:rPr>
                <w:lang w:val="fr-CH"/>
              </w:rPr>
              <w:t>.</w:t>
            </w:r>
          </w:p>
        </w:tc>
      </w:tr>
      <w:tr w:rsidR="001B6838" w:rsidRPr="00714540"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lang w:val="fr-CH"/>
              </w:rPr>
              <w:t>Services de radiocommunication concernés</w:t>
            </w:r>
            <w:r w:rsidRPr="00A31EA2">
              <w:t>:</w:t>
            </w:r>
          </w:p>
          <w:p w:rsidR="001B6838" w:rsidRPr="00714540" w:rsidRDefault="009E0CE8" w:rsidP="00425FA3">
            <w:pPr>
              <w:rPr>
                <w:b/>
                <w:i/>
              </w:rPr>
            </w:pPr>
            <w:r>
              <w:t>Services fixe, mobile maritime, mobile, de radiolocalisation, de radionavigation aéronautique et de radionavigation</w:t>
            </w:r>
            <w:r w:rsidR="003228B3">
              <w:t xml:space="preserve"> </w:t>
            </w:r>
          </w:p>
        </w:tc>
      </w:tr>
      <w:tr w:rsidR="001B6838" w:rsidRPr="00714540"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lang w:val="fr-CH"/>
              </w:rPr>
              <w:t>Indication des difficultés éventuelles</w:t>
            </w:r>
            <w:r w:rsidRPr="0014454C">
              <w:rPr>
                <w:b/>
                <w:bCs/>
                <w:i/>
                <w:iCs/>
              </w:rPr>
              <w:t>:</w:t>
            </w:r>
          </w:p>
          <w:p w:rsidR="001B6838" w:rsidRPr="00714540" w:rsidRDefault="001B6838" w:rsidP="00425FA3">
            <w:pPr>
              <w:rPr>
                <w:b/>
                <w:i/>
              </w:rPr>
            </w:pPr>
          </w:p>
        </w:tc>
      </w:tr>
      <w:tr w:rsidR="001B6838" w:rsidRPr="009E4745"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3A2ED4">
              <w:rPr>
                <w:b/>
                <w:bCs/>
                <w:i/>
                <w:iCs/>
                <w:lang w:val="fr-CH"/>
              </w:rPr>
              <w:t>Etudes précédentes ou en cours sur la question</w:t>
            </w:r>
            <w:r w:rsidRPr="003A2ED4">
              <w:rPr>
                <w:b/>
                <w:bCs/>
                <w:i/>
                <w:iCs/>
              </w:rPr>
              <w:t>:</w:t>
            </w:r>
          </w:p>
          <w:p w:rsidR="001B6838" w:rsidRPr="009E4745" w:rsidRDefault="001B6838" w:rsidP="00425FA3">
            <w:pPr>
              <w:rPr>
                <w:b/>
                <w:i/>
                <w:lang w:val="fr-CH"/>
              </w:rPr>
            </w:pPr>
          </w:p>
        </w:tc>
      </w:tr>
      <w:tr w:rsidR="001B6838" w:rsidRPr="00C81716" w:rsidTr="00FD175A">
        <w:tc>
          <w:tcPr>
            <w:tcW w:w="4539" w:type="dxa"/>
            <w:gridSpan w:val="2"/>
            <w:tcBorders>
              <w:top w:val="single" w:sz="4" w:space="0" w:color="auto"/>
              <w:left w:val="nil"/>
              <w:bottom w:val="single" w:sz="4" w:space="0" w:color="auto"/>
              <w:right w:val="single" w:sz="4" w:space="0" w:color="auto"/>
            </w:tcBorders>
          </w:tcPr>
          <w:p w:rsidR="001B6838" w:rsidRPr="00A31EA2" w:rsidRDefault="001B6838" w:rsidP="00425FA3">
            <w:r w:rsidRPr="0014454C">
              <w:rPr>
                <w:b/>
                <w:bCs/>
                <w:i/>
                <w:iCs/>
                <w:lang w:val="fr-CH"/>
              </w:rPr>
              <w:t>Etudes devant être réalisées par</w:t>
            </w:r>
            <w:r w:rsidRPr="0014454C">
              <w:rPr>
                <w:b/>
                <w:bCs/>
                <w:i/>
                <w:iCs/>
              </w:rPr>
              <w:t>:</w:t>
            </w:r>
          </w:p>
          <w:p w:rsidR="001B6838" w:rsidRPr="009E4745" w:rsidRDefault="00872994" w:rsidP="00425FA3">
            <w:pPr>
              <w:rPr>
                <w:b/>
                <w:i/>
                <w:color w:val="000000"/>
                <w:lang w:val="fr-CH"/>
              </w:rPr>
            </w:pPr>
            <w:r>
              <w:rPr>
                <w:color w:val="000000"/>
              </w:rPr>
              <w:t xml:space="preserve">GT </w:t>
            </w:r>
            <w:r w:rsidR="00C81716">
              <w:rPr>
                <w:color w:val="000000"/>
              </w:rPr>
              <w:t>5A</w:t>
            </w:r>
          </w:p>
        </w:tc>
        <w:tc>
          <w:tcPr>
            <w:tcW w:w="5100" w:type="dxa"/>
            <w:tcBorders>
              <w:top w:val="single" w:sz="4" w:space="0" w:color="auto"/>
              <w:left w:val="single" w:sz="4" w:space="0" w:color="auto"/>
              <w:bottom w:val="single" w:sz="4" w:space="0" w:color="auto"/>
              <w:right w:val="nil"/>
            </w:tcBorders>
          </w:tcPr>
          <w:p w:rsidR="001B6838" w:rsidRPr="00730563" w:rsidRDefault="001B6838" w:rsidP="00425FA3">
            <w:pPr>
              <w:rPr>
                <w:b/>
                <w:bCs/>
                <w:i/>
                <w:iCs/>
                <w:lang w:val="fr-CH"/>
              </w:rPr>
            </w:pPr>
            <w:r w:rsidRPr="00504217">
              <w:rPr>
                <w:b/>
                <w:bCs/>
                <w:i/>
                <w:iCs/>
              </w:rPr>
              <w:t>avec la participation de</w:t>
            </w:r>
            <w:r w:rsidRPr="00730563">
              <w:rPr>
                <w:b/>
                <w:bCs/>
                <w:i/>
                <w:iCs/>
                <w:lang w:val="fr-CH"/>
              </w:rPr>
              <w:t>:</w:t>
            </w:r>
          </w:p>
          <w:p w:rsidR="00C81716" w:rsidRPr="00730563" w:rsidRDefault="00C203CC" w:rsidP="00425FA3">
            <w:pPr>
              <w:rPr>
                <w:b/>
                <w:i/>
                <w:color w:val="000000"/>
                <w:lang w:val="fr-CH"/>
              </w:rPr>
            </w:pPr>
            <w:r w:rsidRPr="00730563">
              <w:rPr>
                <w:rStyle w:val="BRNormal"/>
                <w:lang w:val="fr-CH"/>
              </w:rPr>
              <w:t xml:space="preserve">Administrations et Membres du Secteur de </w:t>
            </w:r>
            <w:r w:rsidR="00BF2826" w:rsidRPr="00730563">
              <w:rPr>
                <w:rStyle w:val="BRNormal"/>
                <w:lang w:val="fr-CH"/>
              </w:rPr>
              <w:t>l</w:t>
            </w:r>
            <w:r w:rsidR="00B979D7">
              <w:rPr>
                <w:rStyle w:val="BRNormal"/>
                <w:lang w:val="fr-CH"/>
              </w:rPr>
              <w:t>'</w:t>
            </w:r>
            <w:r w:rsidR="00BF2826" w:rsidRPr="00730563">
              <w:rPr>
                <w:rStyle w:val="BRNormal"/>
                <w:lang w:val="fr-CH"/>
              </w:rPr>
              <w:t>UIT</w:t>
            </w:r>
            <w:r w:rsidR="00BF2826">
              <w:rPr>
                <w:rStyle w:val="BRNormal"/>
                <w:lang w:val="fr-CH"/>
              </w:rPr>
              <w:noBreakHyphen/>
            </w:r>
            <w:r w:rsidR="00C81716" w:rsidRPr="00730563">
              <w:rPr>
                <w:rStyle w:val="BRNormal"/>
                <w:lang w:val="fr-CH"/>
              </w:rPr>
              <w:t>R</w:t>
            </w:r>
          </w:p>
        </w:tc>
      </w:tr>
      <w:tr w:rsidR="001B6838" w:rsidRPr="009E4745"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lang w:val="fr-CH"/>
              </w:rPr>
              <w:t>Commissions d'études de l'UIT-R concernées</w:t>
            </w:r>
            <w:r w:rsidRPr="00A31EA2">
              <w:rPr>
                <w:b/>
                <w:bCs/>
                <w:i/>
                <w:iCs/>
              </w:rPr>
              <w:t>:</w:t>
            </w:r>
          </w:p>
          <w:p w:rsidR="001B6838" w:rsidRPr="009E4745" w:rsidRDefault="00C937A8" w:rsidP="00425FA3">
            <w:pPr>
              <w:rPr>
                <w:b/>
                <w:i/>
                <w:lang w:val="fr-CH"/>
              </w:rPr>
            </w:pPr>
            <w:r>
              <w:t>CE</w:t>
            </w:r>
            <w:r w:rsidR="00FD175A">
              <w:t xml:space="preserve"> </w:t>
            </w:r>
            <w:r w:rsidR="00C81716">
              <w:t>5</w:t>
            </w:r>
          </w:p>
        </w:tc>
      </w:tr>
      <w:tr w:rsidR="001B6838" w:rsidRPr="00C81716" w:rsidTr="00FD175A">
        <w:tc>
          <w:tcPr>
            <w:tcW w:w="9639" w:type="dxa"/>
            <w:gridSpan w:val="3"/>
            <w:tcBorders>
              <w:top w:val="single" w:sz="4" w:space="0" w:color="auto"/>
              <w:left w:val="nil"/>
              <w:bottom w:val="single" w:sz="4" w:space="0" w:color="auto"/>
              <w:right w:val="nil"/>
            </w:tcBorders>
          </w:tcPr>
          <w:p w:rsidR="001B6838" w:rsidRPr="00A31EA2" w:rsidRDefault="001B6838" w:rsidP="00425FA3">
            <w:r w:rsidRPr="0014454C">
              <w:rPr>
                <w:b/>
                <w:bCs/>
                <w:i/>
                <w:iCs/>
              </w:rPr>
              <w:t xml:space="preserve">Répercussions au niveau des ressources de l'UIT, y compris incidences </w:t>
            </w:r>
            <w:r w:rsidR="00BF2826" w:rsidRPr="0014454C">
              <w:rPr>
                <w:b/>
                <w:bCs/>
                <w:i/>
                <w:iCs/>
              </w:rPr>
              <w:t xml:space="preserve">financières </w:t>
            </w:r>
            <w:r w:rsidRPr="0014454C">
              <w:rPr>
                <w:b/>
                <w:bCs/>
                <w:i/>
                <w:iCs/>
              </w:rPr>
              <w:br/>
              <w:t>(voir le numéro 126 de la Convention):</w:t>
            </w:r>
          </w:p>
          <w:p w:rsidR="001B6838" w:rsidRPr="00730563" w:rsidRDefault="00400701"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p>
        </w:tc>
      </w:tr>
      <w:tr w:rsidR="001B6838" w:rsidRPr="009E4745" w:rsidTr="00FD175A">
        <w:tc>
          <w:tcPr>
            <w:tcW w:w="4539" w:type="dxa"/>
            <w:gridSpan w:val="2"/>
            <w:tcBorders>
              <w:top w:val="single" w:sz="4" w:space="0" w:color="auto"/>
              <w:left w:val="nil"/>
              <w:bottom w:val="single" w:sz="4" w:space="0" w:color="auto"/>
              <w:right w:val="nil"/>
            </w:tcBorders>
          </w:tcPr>
          <w:p w:rsidR="001B6838" w:rsidRPr="009E4745" w:rsidRDefault="001B6838" w:rsidP="00425FA3">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1B6838" w:rsidRPr="00A31EA2" w:rsidRDefault="001B6838" w:rsidP="00425FA3">
            <w:r w:rsidRPr="00695ABE">
              <w:rPr>
                <w:b/>
                <w:bCs/>
                <w:i/>
                <w:iCs/>
              </w:rPr>
              <w:t>Proposition soumise par plusieurs pays:</w:t>
            </w:r>
            <w:r w:rsidRPr="008C0EDF">
              <w:rPr>
                <w:b/>
                <w:bCs/>
              </w:rPr>
              <w:t xml:space="preserve"> </w:t>
            </w:r>
            <w:r w:rsidRPr="009217A6">
              <w:t>Non</w:t>
            </w:r>
          </w:p>
          <w:p w:rsidR="001B6838" w:rsidRPr="00BF2826" w:rsidRDefault="001B6838" w:rsidP="00BF2826">
            <w:r w:rsidRPr="003A2ED4">
              <w:rPr>
                <w:b/>
                <w:bCs/>
                <w:i/>
                <w:iCs/>
                <w:lang w:val="fr-CH"/>
              </w:rPr>
              <w:t>Nombre de pays:</w:t>
            </w:r>
          </w:p>
        </w:tc>
      </w:tr>
      <w:tr w:rsidR="001B6838" w:rsidRPr="00714540" w:rsidTr="00FD175A">
        <w:tc>
          <w:tcPr>
            <w:tcW w:w="9639" w:type="dxa"/>
            <w:gridSpan w:val="3"/>
            <w:tcBorders>
              <w:top w:val="single" w:sz="4" w:space="0" w:color="auto"/>
              <w:left w:val="nil"/>
              <w:bottom w:val="nil"/>
              <w:right w:val="nil"/>
            </w:tcBorders>
          </w:tcPr>
          <w:p w:rsidR="001B6838" w:rsidRPr="00A31EA2" w:rsidRDefault="001B6838" w:rsidP="00425FA3">
            <w:r w:rsidRPr="003A2ED4">
              <w:rPr>
                <w:b/>
                <w:bCs/>
                <w:i/>
                <w:iCs/>
              </w:rPr>
              <w:t>Observations</w:t>
            </w:r>
          </w:p>
          <w:p w:rsidR="001B6838" w:rsidRPr="00714540" w:rsidRDefault="00400701" w:rsidP="00425FA3">
            <w:pPr>
              <w:rPr>
                <w:b/>
                <w:i/>
              </w:rPr>
            </w:pPr>
            <w:r>
              <w:t xml:space="preserve">Néant </w:t>
            </w:r>
          </w:p>
        </w:tc>
      </w:tr>
    </w:tbl>
    <w:p w:rsidR="001B6838" w:rsidRPr="00B65685" w:rsidRDefault="001B6838"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Pr="00B65685" w:rsidRDefault="00A846F5" w:rsidP="00425FA3">
      <w:pPr>
        <w:pStyle w:val="Proposal"/>
        <w:rPr>
          <w:lang w:val="en-US"/>
        </w:rPr>
      </w:pPr>
      <w:r w:rsidRPr="00B65685">
        <w:rPr>
          <w:lang w:val="en-US"/>
        </w:rPr>
        <w:lastRenderedPageBreak/>
        <w:t>ADD</w:t>
      </w:r>
      <w:r w:rsidRPr="00B65685">
        <w:rPr>
          <w:lang w:val="en-US"/>
        </w:rPr>
        <w:tab/>
        <w:t>EUR/9A25/7</w:t>
      </w:r>
    </w:p>
    <w:p w:rsidR="006B1FD4" w:rsidRPr="00EE5360" w:rsidRDefault="001261B0" w:rsidP="00B979D7">
      <w:pPr>
        <w:pStyle w:val="ResNo"/>
        <w:rPr>
          <w:lang w:val="fr-CH"/>
        </w:rPr>
      </w:pPr>
      <w:r w:rsidRPr="00EE5360">
        <w:rPr>
          <w:lang w:val="fr-CH"/>
        </w:rPr>
        <w:t xml:space="preserve">PROJET DE NOUVELLE </w:t>
      </w:r>
      <w:r w:rsidR="00BB138D" w:rsidRPr="00EE5360">
        <w:rPr>
          <w:lang w:val="fr-CH"/>
        </w:rPr>
        <w:t>RÉSOLUTION</w:t>
      </w:r>
      <w:r w:rsidR="00C81716" w:rsidRPr="00EE5360">
        <w:rPr>
          <w:lang w:val="fr-CH"/>
        </w:rPr>
        <w:t xml:space="preserve"> [EUR-F10</w:t>
      </w:r>
      <w:r w:rsidR="00A846F5" w:rsidRPr="00EE5360">
        <w:rPr>
          <w:lang w:val="fr-CH"/>
        </w:rPr>
        <w:t>-5]</w:t>
      </w:r>
      <w:r w:rsidR="00C81716" w:rsidRPr="00EE5360">
        <w:rPr>
          <w:lang w:val="fr-CH"/>
        </w:rPr>
        <w:t xml:space="preserve"> (</w:t>
      </w:r>
      <w:r w:rsidR="003228B3" w:rsidRPr="00EE5360">
        <w:rPr>
          <w:lang w:val="fr-CH"/>
        </w:rPr>
        <w:t>CMR-15</w:t>
      </w:r>
      <w:r w:rsidR="00C81716" w:rsidRPr="00EE5360">
        <w:rPr>
          <w:lang w:val="fr-CH"/>
        </w:rPr>
        <w:t>)</w:t>
      </w:r>
    </w:p>
    <w:p w:rsidR="00C81716" w:rsidRPr="00730563" w:rsidRDefault="00400701" w:rsidP="00FD175A">
      <w:pPr>
        <w:pStyle w:val="Restitle"/>
        <w:rPr>
          <w:lang w:val="fr-CH"/>
        </w:rPr>
      </w:pPr>
      <w:r w:rsidRPr="00730563">
        <w:rPr>
          <w:lang w:val="fr-CH"/>
        </w:rPr>
        <w:t>Attribution additionnelle à titre primaire au service fixe par satellite (Terre vers espace</w:t>
      </w:r>
      <w:r w:rsidR="00B1634C">
        <w:rPr>
          <w:lang w:val="fr-CH"/>
        </w:rPr>
        <w:t>)</w:t>
      </w:r>
      <w:r w:rsidR="00B1634C" w:rsidRPr="00730563">
        <w:rPr>
          <w:lang w:val="fr-CH"/>
        </w:rPr>
        <w:t xml:space="preserve"> dans</w:t>
      </w:r>
      <w:r w:rsidRPr="00730563">
        <w:rPr>
          <w:lang w:val="fr-CH"/>
        </w:rPr>
        <w:t xml:space="preserve"> la bande de fréquences 51</w:t>
      </w:r>
      <w:r w:rsidR="00FD175A">
        <w:rPr>
          <w:lang w:val="fr-CH"/>
        </w:rPr>
        <w:t>,</w:t>
      </w:r>
      <w:r w:rsidRPr="00730563">
        <w:rPr>
          <w:lang w:val="fr-CH"/>
        </w:rPr>
        <w:t>4-52</w:t>
      </w:r>
      <w:r w:rsidR="00FD175A">
        <w:rPr>
          <w:lang w:val="fr-CH"/>
        </w:rPr>
        <w:t>,</w:t>
      </w:r>
      <w:r w:rsidRPr="00730563">
        <w:rPr>
          <w:lang w:val="fr-CH"/>
        </w:rPr>
        <w:t>4 GHz et cadre</w:t>
      </w:r>
      <w:r w:rsidR="003228B3">
        <w:rPr>
          <w:lang w:val="fr-CH"/>
        </w:rPr>
        <w:t xml:space="preserve"> </w:t>
      </w:r>
      <w:r w:rsidRPr="00730563">
        <w:rPr>
          <w:lang w:val="fr-CH"/>
        </w:rPr>
        <w:t>réglementaire</w:t>
      </w:r>
      <w:r w:rsidR="003228B3">
        <w:rPr>
          <w:lang w:val="fr-CH"/>
        </w:rPr>
        <w:t xml:space="preserve"> </w:t>
      </w:r>
      <w:r w:rsidRPr="00730563">
        <w:rPr>
          <w:lang w:val="fr-CH"/>
        </w:rPr>
        <w:t>et conditions de partage dans les bandes de la gamme 37</w:t>
      </w:r>
      <w:r w:rsidR="00FD175A">
        <w:rPr>
          <w:lang w:val="fr-CH"/>
        </w:rPr>
        <w:t>,</w:t>
      </w:r>
      <w:r w:rsidRPr="00730563">
        <w:rPr>
          <w:lang w:val="fr-CH"/>
        </w:rPr>
        <w:t>5-52</w:t>
      </w:r>
      <w:r w:rsidR="00FD175A">
        <w:rPr>
          <w:lang w:val="fr-CH"/>
        </w:rPr>
        <w:t>,</w:t>
      </w:r>
      <w:r w:rsidRPr="00730563">
        <w:rPr>
          <w:lang w:val="fr-CH"/>
        </w:rPr>
        <w:t>4 GHz entre les réseaux géostationnaire</w:t>
      </w:r>
      <w:r w:rsidR="00FD175A">
        <w:rPr>
          <w:lang w:val="fr-CH"/>
        </w:rPr>
        <w:t>s</w:t>
      </w:r>
      <w:r w:rsidRPr="00730563">
        <w:rPr>
          <w:lang w:val="fr-CH"/>
        </w:rPr>
        <w:t xml:space="preserve"> du service fixe par satellite et les systèmes non géostationnaires du service fixe par satellite</w:t>
      </w:r>
      <w:r w:rsidR="003228B3">
        <w:rPr>
          <w:lang w:val="fr-CH"/>
        </w:rPr>
        <w:t xml:space="preserve"> </w:t>
      </w:r>
    </w:p>
    <w:p w:rsidR="00C81716" w:rsidRPr="00730563" w:rsidRDefault="001261B0" w:rsidP="00425FA3">
      <w:pPr>
        <w:pStyle w:val="Normalaftertitle"/>
        <w:rPr>
          <w:lang w:val="fr-CH"/>
        </w:rPr>
      </w:pPr>
      <w:r w:rsidRPr="00730563">
        <w:rPr>
          <w:lang w:val="fr-CH"/>
        </w:rPr>
        <w:t xml:space="preserve">La Conférence mondiale des radiocommunications </w:t>
      </w:r>
      <w:r w:rsidR="00C81716" w:rsidRPr="00730563">
        <w:rPr>
          <w:lang w:val="fr-CH"/>
        </w:rPr>
        <w:t>(</w:t>
      </w:r>
      <w:r w:rsidRPr="00730563">
        <w:rPr>
          <w:lang w:val="fr-CH"/>
        </w:rPr>
        <w:t>Genève</w:t>
      </w:r>
      <w:r w:rsidR="003228B3">
        <w:rPr>
          <w:lang w:val="fr-CH"/>
        </w:rPr>
        <w:t>,</w:t>
      </w:r>
      <w:r w:rsidR="00C81716" w:rsidRPr="00730563">
        <w:rPr>
          <w:lang w:val="fr-CH"/>
        </w:rPr>
        <w:t xml:space="preserve"> 2015),</w:t>
      </w:r>
    </w:p>
    <w:p w:rsidR="00C81716" w:rsidRPr="00730563" w:rsidRDefault="00071B1B" w:rsidP="00425FA3">
      <w:pPr>
        <w:pStyle w:val="Call"/>
        <w:rPr>
          <w:lang w:val="fr-CH"/>
        </w:rPr>
      </w:pPr>
      <w:r w:rsidRPr="00730563">
        <w:rPr>
          <w:lang w:val="fr-CH"/>
        </w:rPr>
        <w:t xml:space="preserve">considérant </w:t>
      </w:r>
    </w:p>
    <w:p w:rsidR="00C81716" w:rsidRPr="00730563" w:rsidRDefault="00C81716" w:rsidP="00FD175A">
      <w:pPr>
        <w:rPr>
          <w:lang w:val="fr-CH"/>
        </w:rPr>
      </w:pPr>
      <w:r w:rsidRPr="00B979D7">
        <w:rPr>
          <w:i/>
          <w:iCs/>
          <w:lang w:val="fr-CH"/>
        </w:rPr>
        <w:t>a</w:t>
      </w:r>
      <w:r w:rsidR="00BF2826" w:rsidRPr="00B979D7">
        <w:rPr>
          <w:i/>
          <w:iCs/>
          <w:lang w:val="fr-CH"/>
        </w:rPr>
        <w:t>)</w:t>
      </w:r>
      <w:r w:rsidRPr="00730563">
        <w:rPr>
          <w:lang w:val="fr-CH"/>
        </w:rPr>
        <w:tab/>
      </w:r>
      <w:r w:rsidR="00400701" w:rsidRPr="00730563">
        <w:rPr>
          <w:lang w:val="fr-CH"/>
        </w:rPr>
        <w:t>que, dans la gamme 37</w:t>
      </w:r>
      <w:r w:rsidR="00F314D8">
        <w:rPr>
          <w:lang w:val="fr-CH"/>
        </w:rPr>
        <w:t>,</w:t>
      </w:r>
      <w:r w:rsidR="00400701" w:rsidRPr="00730563">
        <w:rPr>
          <w:lang w:val="fr-CH"/>
        </w:rPr>
        <w:t>5-51</w:t>
      </w:r>
      <w:r w:rsidR="00F314D8">
        <w:rPr>
          <w:lang w:val="fr-CH"/>
        </w:rPr>
        <w:t>,</w:t>
      </w:r>
      <w:r w:rsidR="00400701" w:rsidRPr="00730563">
        <w:rPr>
          <w:lang w:val="fr-CH"/>
        </w:rPr>
        <w:t>4 GHz</w:t>
      </w:r>
      <w:r w:rsidR="00BF2826" w:rsidRPr="00730563">
        <w:rPr>
          <w:lang w:val="fr-CH"/>
        </w:rPr>
        <w:t>,</w:t>
      </w:r>
      <w:r w:rsidR="00400701" w:rsidRPr="00730563">
        <w:rPr>
          <w:lang w:val="fr-CH"/>
        </w:rPr>
        <w:t xml:space="preserve"> les bandes de fréquences</w:t>
      </w:r>
      <w:r w:rsidR="003228B3">
        <w:rPr>
          <w:lang w:val="fr-CH"/>
        </w:rPr>
        <w:t xml:space="preserve"> </w:t>
      </w:r>
      <w:r w:rsidR="00400701" w:rsidRPr="00730563">
        <w:rPr>
          <w:lang w:val="fr-CH"/>
        </w:rPr>
        <w:t>42</w:t>
      </w:r>
      <w:r w:rsidR="00F314D8">
        <w:rPr>
          <w:lang w:val="fr-CH"/>
        </w:rPr>
        <w:t>,</w:t>
      </w:r>
      <w:r w:rsidR="00400701" w:rsidRPr="00730563">
        <w:rPr>
          <w:lang w:val="fr-CH"/>
        </w:rPr>
        <w:t>5-43</w:t>
      </w:r>
      <w:r w:rsidR="00F314D8">
        <w:rPr>
          <w:lang w:val="fr-CH"/>
        </w:rPr>
        <w:t>,</w:t>
      </w:r>
      <w:r w:rsidR="00400701" w:rsidRPr="00730563">
        <w:rPr>
          <w:lang w:val="fr-CH"/>
        </w:rPr>
        <w:t>5 GHz, 47</w:t>
      </w:r>
      <w:r w:rsidR="00F314D8">
        <w:rPr>
          <w:lang w:val="fr-CH"/>
        </w:rPr>
        <w:t>,</w:t>
      </w:r>
      <w:r w:rsidR="00400701" w:rsidRPr="00730563">
        <w:rPr>
          <w:lang w:val="fr-CH"/>
        </w:rPr>
        <w:t>2</w:t>
      </w:r>
      <w:r w:rsidR="00FD175A">
        <w:rPr>
          <w:lang w:val="fr-CH"/>
        </w:rPr>
        <w:noBreakHyphen/>
      </w:r>
      <w:r w:rsidR="00400701" w:rsidRPr="00730563">
        <w:rPr>
          <w:lang w:val="fr-CH"/>
        </w:rPr>
        <w:t>50</w:t>
      </w:r>
      <w:r w:rsidR="00F314D8">
        <w:rPr>
          <w:lang w:val="fr-CH"/>
        </w:rPr>
        <w:t>,</w:t>
      </w:r>
      <w:r w:rsidR="00400701" w:rsidRPr="00730563">
        <w:rPr>
          <w:lang w:val="fr-CH"/>
        </w:rPr>
        <w:t>2</w:t>
      </w:r>
      <w:r w:rsidR="00F314D8">
        <w:rPr>
          <w:lang w:val="fr-CH"/>
        </w:rPr>
        <w:t> </w:t>
      </w:r>
      <w:r w:rsidR="00400701" w:rsidRPr="00730563">
        <w:rPr>
          <w:lang w:val="fr-CH"/>
        </w:rPr>
        <w:t>GHz et 50</w:t>
      </w:r>
      <w:r w:rsidR="00F314D8">
        <w:rPr>
          <w:lang w:val="fr-CH"/>
        </w:rPr>
        <w:t>,</w:t>
      </w:r>
      <w:r w:rsidR="00400701" w:rsidRPr="00730563">
        <w:rPr>
          <w:lang w:val="fr-CH"/>
        </w:rPr>
        <w:t>4-51</w:t>
      </w:r>
      <w:r w:rsidR="00F314D8">
        <w:rPr>
          <w:lang w:val="fr-CH"/>
        </w:rPr>
        <w:t>,</w:t>
      </w:r>
      <w:r w:rsidR="00400701" w:rsidRPr="00730563">
        <w:rPr>
          <w:lang w:val="fr-CH"/>
        </w:rPr>
        <w:t>4 GHz sont attribuées au service fixe</w:t>
      </w:r>
      <w:r w:rsidR="003228B3">
        <w:rPr>
          <w:lang w:val="fr-CH"/>
        </w:rPr>
        <w:t xml:space="preserve"> </w:t>
      </w:r>
      <w:r w:rsidR="00400701" w:rsidRPr="00730563">
        <w:rPr>
          <w:lang w:val="fr-CH"/>
        </w:rPr>
        <w:t>par satellite (Terre vers espace), mais que la bande 42</w:t>
      </w:r>
      <w:r w:rsidR="00F314D8">
        <w:rPr>
          <w:lang w:val="fr-CH"/>
        </w:rPr>
        <w:t>,</w:t>
      </w:r>
      <w:r w:rsidR="00400701" w:rsidRPr="00730563">
        <w:rPr>
          <w:lang w:val="fr-CH"/>
        </w:rPr>
        <w:t>5-43</w:t>
      </w:r>
      <w:r w:rsidR="00F314D8">
        <w:rPr>
          <w:lang w:val="fr-CH"/>
        </w:rPr>
        <w:t>,</w:t>
      </w:r>
      <w:r w:rsidR="00400701" w:rsidRPr="00730563">
        <w:rPr>
          <w:lang w:val="fr-CH"/>
        </w:rPr>
        <w:t>5 GHz n</w:t>
      </w:r>
      <w:r w:rsidR="00B979D7">
        <w:rPr>
          <w:lang w:val="fr-CH"/>
        </w:rPr>
        <w:t>'</w:t>
      </w:r>
      <w:r w:rsidR="00400701" w:rsidRPr="00730563">
        <w:rPr>
          <w:lang w:val="fr-CH"/>
        </w:rPr>
        <w:t>est pas facile à utiliser, du point de vue</w:t>
      </w:r>
      <w:r w:rsidR="003228B3">
        <w:rPr>
          <w:lang w:val="fr-CH"/>
        </w:rPr>
        <w:t xml:space="preserve"> </w:t>
      </w:r>
      <w:r w:rsidR="00400701" w:rsidRPr="00730563">
        <w:rPr>
          <w:lang w:val="fr-CH"/>
        </w:rPr>
        <w:t>technique, étant donné que la bande au-dessous de 42</w:t>
      </w:r>
      <w:r w:rsidR="00F314D8">
        <w:rPr>
          <w:lang w:val="fr-CH"/>
        </w:rPr>
        <w:t>,</w:t>
      </w:r>
      <w:r w:rsidR="00400701" w:rsidRPr="00730563">
        <w:rPr>
          <w:lang w:val="fr-CH"/>
        </w:rPr>
        <w:t>5 GHz est attribuée au service fixe par satellite (espace vers Terre)</w:t>
      </w:r>
      <w:r w:rsidR="00BF2826">
        <w:rPr>
          <w:lang w:val="fr-CH"/>
        </w:rPr>
        <w:t>;</w:t>
      </w:r>
    </w:p>
    <w:p w:rsidR="00C81716" w:rsidRPr="00730563" w:rsidRDefault="00C81716" w:rsidP="00F314D8">
      <w:pPr>
        <w:rPr>
          <w:lang w:val="fr-CH"/>
        </w:rPr>
      </w:pPr>
      <w:r w:rsidRPr="00FD175A">
        <w:rPr>
          <w:i/>
          <w:iCs/>
          <w:lang w:val="fr-CH"/>
        </w:rPr>
        <w:t>b</w:t>
      </w:r>
      <w:r w:rsidR="00BF2826" w:rsidRPr="00FD175A">
        <w:rPr>
          <w:i/>
          <w:iCs/>
          <w:lang w:val="fr-CH"/>
        </w:rPr>
        <w:t>)</w:t>
      </w:r>
      <w:r w:rsidRPr="00730563">
        <w:rPr>
          <w:lang w:val="fr-CH"/>
        </w:rPr>
        <w:tab/>
      </w:r>
      <w:r w:rsidR="00400701" w:rsidRPr="00730563">
        <w:rPr>
          <w:lang w:val="fr-CH"/>
        </w:rPr>
        <w:t>que l</w:t>
      </w:r>
      <w:r w:rsidR="00B979D7">
        <w:rPr>
          <w:lang w:val="fr-CH"/>
        </w:rPr>
        <w:t>'</w:t>
      </w:r>
      <w:r w:rsidR="00400701" w:rsidRPr="00730563">
        <w:rPr>
          <w:lang w:val="fr-CH"/>
        </w:rPr>
        <w:t>utilisation de la bande de fréquences</w:t>
      </w:r>
      <w:r w:rsidRPr="00730563">
        <w:rPr>
          <w:lang w:val="fr-CH"/>
        </w:rPr>
        <w:t xml:space="preserve"> </w:t>
      </w:r>
      <w:r w:rsidR="00400701" w:rsidRPr="00730563">
        <w:rPr>
          <w:lang w:val="fr-CH"/>
        </w:rPr>
        <w:t>51</w:t>
      </w:r>
      <w:r w:rsidR="00F314D8">
        <w:rPr>
          <w:lang w:val="fr-CH"/>
        </w:rPr>
        <w:t>,</w:t>
      </w:r>
      <w:r w:rsidR="00400701" w:rsidRPr="00730563">
        <w:rPr>
          <w:lang w:val="fr-CH"/>
        </w:rPr>
        <w:t>4-52</w:t>
      </w:r>
      <w:r w:rsidR="00F314D8">
        <w:rPr>
          <w:lang w:val="fr-CH"/>
        </w:rPr>
        <w:t>,</w:t>
      </w:r>
      <w:r w:rsidR="00400701" w:rsidRPr="00730563">
        <w:rPr>
          <w:lang w:val="fr-CH"/>
        </w:rPr>
        <w:t>4 GHz en lieu et place de la bande</w:t>
      </w:r>
      <w:r w:rsidR="00E870B5" w:rsidRPr="00730563">
        <w:rPr>
          <w:lang w:val="fr-CH"/>
        </w:rPr>
        <w:t xml:space="preserve"> 42</w:t>
      </w:r>
      <w:r w:rsidR="00F314D8">
        <w:rPr>
          <w:lang w:val="fr-CH"/>
        </w:rPr>
        <w:t>,</w:t>
      </w:r>
      <w:r w:rsidR="00E870B5" w:rsidRPr="00730563">
        <w:rPr>
          <w:lang w:val="fr-CH"/>
        </w:rPr>
        <w:t>5-43</w:t>
      </w:r>
      <w:r w:rsidR="00F314D8">
        <w:rPr>
          <w:lang w:val="fr-CH"/>
        </w:rPr>
        <w:t>,</w:t>
      </w:r>
      <w:r w:rsidR="00E870B5" w:rsidRPr="00730563">
        <w:rPr>
          <w:lang w:val="fr-CH"/>
        </w:rPr>
        <w:t>5 GHz</w:t>
      </w:r>
      <w:r w:rsidR="00400701" w:rsidRPr="00730563">
        <w:rPr>
          <w:lang w:val="fr-CH"/>
        </w:rPr>
        <w:t xml:space="preserve"> pour permettre la mise en œuvre des systèmes à satellites à haut débit </w:t>
      </w:r>
      <w:r w:rsidR="00E870B5" w:rsidRPr="00730563">
        <w:rPr>
          <w:lang w:val="fr-CH"/>
        </w:rPr>
        <w:t>(HTS</w:t>
      </w:r>
      <w:r w:rsidR="00BF2826">
        <w:rPr>
          <w:lang w:val="fr-CH"/>
        </w:rPr>
        <w:t>)</w:t>
      </w:r>
      <w:r w:rsidR="00FD175A">
        <w:rPr>
          <w:lang w:val="fr-CH"/>
        </w:rPr>
        <w:t xml:space="preserve"> </w:t>
      </w:r>
      <w:r w:rsidR="00400701" w:rsidRPr="00730563">
        <w:rPr>
          <w:lang w:val="fr-CH"/>
        </w:rPr>
        <w:t xml:space="preserve">de nouvelle génération suscite </w:t>
      </w:r>
      <w:r w:rsidR="00E870B5" w:rsidRPr="00730563">
        <w:rPr>
          <w:lang w:val="fr-CH"/>
        </w:rPr>
        <w:t>de l</w:t>
      </w:r>
      <w:r w:rsidR="00B979D7">
        <w:rPr>
          <w:lang w:val="fr-CH"/>
        </w:rPr>
        <w:t>'</w:t>
      </w:r>
      <w:r w:rsidR="00E870B5" w:rsidRPr="00730563">
        <w:rPr>
          <w:lang w:val="fr-CH"/>
        </w:rPr>
        <w:t>intérêt</w:t>
      </w:r>
      <w:r w:rsidR="003228B3">
        <w:rPr>
          <w:lang w:val="fr-CH"/>
        </w:rPr>
        <w:t>;</w:t>
      </w:r>
    </w:p>
    <w:p w:rsidR="00C81716" w:rsidRPr="00730563" w:rsidRDefault="00C81716" w:rsidP="00BF2826">
      <w:pPr>
        <w:rPr>
          <w:lang w:val="fr-CH"/>
        </w:rPr>
      </w:pPr>
      <w:r w:rsidRPr="00FD175A">
        <w:rPr>
          <w:i/>
          <w:iCs/>
          <w:lang w:val="fr-CH"/>
        </w:rPr>
        <w:t>c</w:t>
      </w:r>
      <w:r w:rsidR="00BF2826" w:rsidRPr="00FD175A">
        <w:rPr>
          <w:i/>
          <w:iCs/>
          <w:lang w:val="fr-CH"/>
        </w:rPr>
        <w:t>)</w:t>
      </w:r>
      <w:r w:rsidRPr="00730563">
        <w:rPr>
          <w:lang w:val="fr-CH"/>
        </w:rPr>
        <w:tab/>
      </w:r>
      <w:r w:rsidR="00E870B5" w:rsidRPr="00730563">
        <w:rPr>
          <w:lang w:val="fr-CH"/>
        </w:rPr>
        <w:t>que la bande de fréquences est attribuée aux services fixe et mobile, qui devront bénéficier d</w:t>
      </w:r>
      <w:r w:rsidR="00B979D7">
        <w:rPr>
          <w:lang w:val="fr-CH"/>
        </w:rPr>
        <w:t>'</w:t>
      </w:r>
      <w:r w:rsidR="00E870B5" w:rsidRPr="00730563">
        <w:rPr>
          <w:lang w:val="fr-CH"/>
        </w:rPr>
        <w:t xml:space="preserve">une protection, compte </w:t>
      </w:r>
      <w:r w:rsidR="00BF2826">
        <w:rPr>
          <w:lang w:val="fr-CH"/>
        </w:rPr>
        <w:t>également tenu</w:t>
      </w:r>
      <w:r w:rsidR="00E870B5" w:rsidRPr="00730563">
        <w:rPr>
          <w:lang w:val="fr-CH"/>
        </w:rPr>
        <w:t xml:space="preserve"> de la spécificité du service fixe pour lequel cette bande est disponible aux fins des applications haute</w:t>
      </w:r>
      <w:r w:rsidR="003228B3">
        <w:rPr>
          <w:lang w:val="fr-CH"/>
        </w:rPr>
        <w:t xml:space="preserve"> </w:t>
      </w:r>
      <w:r w:rsidR="00E870B5" w:rsidRPr="00730563">
        <w:rPr>
          <w:lang w:val="fr-CH"/>
        </w:rPr>
        <w:t xml:space="preserve">densité, comme indiqué au numéro </w:t>
      </w:r>
      <w:r w:rsidRPr="00730563">
        <w:rPr>
          <w:rStyle w:val="Artdef"/>
          <w:lang w:val="fr-CH"/>
        </w:rPr>
        <w:t>5.547</w:t>
      </w:r>
      <w:r w:rsidRPr="00730563">
        <w:rPr>
          <w:lang w:val="fr-CH"/>
        </w:rPr>
        <w:t>;</w:t>
      </w:r>
    </w:p>
    <w:p w:rsidR="00C81716" w:rsidRPr="00730563" w:rsidRDefault="00C81716" w:rsidP="00425FA3">
      <w:pPr>
        <w:rPr>
          <w:lang w:val="fr-CH"/>
        </w:rPr>
      </w:pPr>
      <w:r w:rsidRPr="00FD175A">
        <w:rPr>
          <w:i/>
          <w:iCs/>
          <w:lang w:val="fr-CH"/>
        </w:rPr>
        <w:t>d</w:t>
      </w:r>
      <w:r w:rsidR="00BF2826" w:rsidRPr="00FD175A">
        <w:rPr>
          <w:i/>
          <w:iCs/>
          <w:lang w:val="fr-CH"/>
        </w:rPr>
        <w:t>)</w:t>
      </w:r>
      <w:r w:rsidRPr="00730563">
        <w:rPr>
          <w:lang w:val="fr-CH"/>
        </w:rPr>
        <w:tab/>
      </w:r>
      <w:r w:rsidR="00E870B5" w:rsidRPr="00730563">
        <w:rPr>
          <w:lang w:val="fr-CH"/>
        </w:rPr>
        <w:t xml:space="preserve">que, conformément au numéro </w:t>
      </w:r>
      <w:r w:rsidR="00E870B5" w:rsidRPr="00730563">
        <w:rPr>
          <w:b/>
          <w:bCs/>
          <w:lang w:val="fr-CH"/>
        </w:rPr>
        <w:t>5.556</w:t>
      </w:r>
      <w:r w:rsidR="00E870B5" w:rsidRPr="00730563">
        <w:rPr>
          <w:lang w:val="fr-CH"/>
        </w:rPr>
        <w:t xml:space="preserve"> du RR,</w:t>
      </w:r>
      <w:r w:rsidR="003228B3">
        <w:rPr>
          <w:lang w:val="fr-CH"/>
        </w:rPr>
        <w:t xml:space="preserve"> </w:t>
      </w:r>
      <w:r w:rsidR="00E870B5">
        <w:rPr>
          <w:color w:val="000000"/>
        </w:rPr>
        <w:t>des observations de radioastronomie peuvent être effectuées</w:t>
      </w:r>
      <w:r w:rsidR="00E870B5" w:rsidRPr="00730563">
        <w:rPr>
          <w:lang w:val="fr-CH"/>
        </w:rPr>
        <w:t xml:space="preserve"> </w:t>
      </w:r>
      <w:r w:rsidR="00F10722">
        <w:rPr>
          <w:lang w:val="fr-CH"/>
        </w:rPr>
        <w:t xml:space="preserve">dans cette </w:t>
      </w:r>
      <w:r w:rsidR="00B1634C">
        <w:rPr>
          <w:lang w:val="fr-CH"/>
        </w:rPr>
        <w:t>bande</w:t>
      </w:r>
      <w:r w:rsidR="00F10722">
        <w:rPr>
          <w:lang w:val="fr-CH"/>
        </w:rPr>
        <w:t xml:space="preserve"> </w:t>
      </w:r>
      <w:r w:rsidR="00E870B5" w:rsidRPr="00730563">
        <w:rPr>
          <w:lang w:val="fr-CH"/>
        </w:rPr>
        <w:t>et qu</w:t>
      </w:r>
      <w:r w:rsidR="00B979D7">
        <w:rPr>
          <w:lang w:val="fr-CH"/>
        </w:rPr>
        <w:t>'</w:t>
      </w:r>
      <w:r w:rsidR="00E870B5" w:rsidRPr="00730563">
        <w:rPr>
          <w:lang w:val="fr-CH"/>
        </w:rPr>
        <w:t>il faudra peut-être définir à cet égard des mesures de limitation des brouillages</w:t>
      </w:r>
      <w:r w:rsidR="003228B3">
        <w:rPr>
          <w:lang w:val="fr-CH"/>
        </w:rPr>
        <w:t>;</w:t>
      </w:r>
    </w:p>
    <w:p w:rsidR="00C81716" w:rsidRPr="00730563" w:rsidRDefault="00C81716" w:rsidP="00F314D8">
      <w:pPr>
        <w:rPr>
          <w:lang w:val="fr-CH"/>
        </w:rPr>
      </w:pPr>
      <w:r w:rsidRPr="00FD175A">
        <w:rPr>
          <w:i/>
          <w:iCs/>
          <w:lang w:val="fr-CH"/>
        </w:rPr>
        <w:t>e</w:t>
      </w:r>
      <w:r w:rsidR="00BF2826" w:rsidRPr="00FD175A">
        <w:rPr>
          <w:i/>
          <w:iCs/>
          <w:lang w:val="fr-CH"/>
        </w:rPr>
        <w:t>)</w:t>
      </w:r>
      <w:r w:rsidRPr="00730563">
        <w:rPr>
          <w:lang w:val="fr-CH"/>
        </w:rPr>
        <w:tab/>
      </w:r>
      <w:r w:rsidR="00E870B5" w:rsidRPr="00730563">
        <w:rPr>
          <w:lang w:val="fr-CH"/>
        </w:rPr>
        <w:t xml:space="preserve">que la </w:t>
      </w:r>
      <w:r w:rsidR="00BB138D">
        <w:rPr>
          <w:lang w:val="fr-CH"/>
        </w:rPr>
        <w:t>Résolution</w:t>
      </w:r>
      <w:r w:rsidRPr="00730563">
        <w:rPr>
          <w:lang w:val="fr-CH"/>
        </w:rPr>
        <w:t xml:space="preserve"> </w:t>
      </w:r>
      <w:r w:rsidR="00F10722">
        <w:rPr>
          <w:rStyle w:val="Artdef"/>
          <w:lang w:val="fr-CH"/>
        </w:rPr>
        <w:t>750 (Ré</w:t>
      </w:r>
      <w:r w:rsidRPr="00730563">
        <w:rPr>
          <w:rStyle w:val="Artdef"/>
          <w:lang w:val="fr-CH"/>
        </w:rPr>
        <w:t>v.</w:t>
      </w:r>
      <w:r w:rsidR="00F50032">
        <w:rPr>
          <w:rStyle w:val="Artdef"/>
          <w:lang w:val="fr-CH"/>
        </w:rPr>
        <w:t>CMR</w:t>
      </w:r>
      <w:r w:rsidRPr="00730563">
        <w:rPr>
          <w:rStyle w:val="Artdef"/>
          <w:lang w:val="fr-CH"/>
        </w:rPr>
        <w:t>-12</w:t>
      </w:r>
      <w:r w:rsidR="00F10722">
        <w:rPr>
          <w:rStyle w:val="Artdef"/>
          <w:lang w:val="fr-CH"/>
        </w:rPr>
        <w:t>)</w:t>
      </w:r>
      <w:r w:rsidR="00F10722" w:rsidRPr="00730563">
        <w:rPr>
          <w:lang w:val="fr-CH"/>
        </w:rPr>
        <w:t xml:space="preserve"> impose</w:t>
      </w:r>
      <w:r w:rsidR="00E870B5" w:rsidRPr="00730563">
        <w:rPr>
          <w:lang w:val="fr-CH"/>
        </w:rPr>
        <w:t xml:space="preserve"> des limites de puissance hors bande au service fixe, afin de protéger la bande passive au-dessus de 52</w:t>
      </w:r>
      <w:r w:rsidR="00F314D8">
        <w:rPr>
          <w:lang w:val="fr-CH"/>
        </w:rPr>
        <w:t>,</w:t>
      </w:r>
      <w:r w:rsidR="00E870B5" w:rsidRPr="00730563">
        <w:rPr>
          <w:lang w:val="fr-CH"/>
        </w:rPr>
        <w:t>6 GHz</w:t>
      </w:r>
      <w:r w:rsidR="00F10722">
        <w:rPr>
          <w:lang w:val="fr-CH"/>
        </w:rPr>
        <w:t>,</w:t>
      </w:r>
      <w:r w:rsidR="00E870B5" w:rsidRPr="00730563">
        <w:rPr>
          <w:lang w:val="fr-CH"/>
        </w:rPr>
        <w:t xml:space="preserve"> et qu</w:t>
      </w:r>
      <w:r w:rsidR="00B979D7">
        <w:rPr>
          <w:lang w:val="fr-CH"/>
        </w:rPr>
        <w:t>'</w:t>
      </w:r>
      <w:r w:rsidR="00E870B5" w:rsidRPr="00730563">
        <w:rPr>
          <w:lang w:val="fr-CH"/>
        </w:rPr>
        <w:t>il faudra probablement imposer</w:t>
      </w:r>
      <w:r w:rsidR="003228B3">
        <w:rPr>
          <w:lang w:val="fr-CH"/>
        </w:rPr>
        <w:t xml:space="preserve"> </w:t>
      </w:r>
      <w:r w:rsidR="00E870B5" w:rsidRPr="00730563">
        <w:rPr>
          <w:lang w:val="fr-CH"/>
        </w:rPr>
        <w:t>des limites analogues</w:t>
      </w:r>
      <w:r w:rsidR="003228B3">
        <w:rPr>
          <w:lang w:val="fr-CH"/>
        </w:rPr>
        <w:t xml:space="preserve"> </w:t>
      </w:r>
      <w:r w:rsidR="00E870B5" w:rsidRPr="00730563">
        <w:rPr>
          <w:lang w:val="fr-CH"/>
        </w:rPr>
        <w:t>pour protéger les services passifs</w:t>
      </w:r>
      <w:r w:rsidR="003228B3">
        <w:rPr>
          <w:lang w:val="fr-CH"/>
        </w:rPr>
        <w:t xml:space="preserve"> </w:t>
      </w:r>
      <w:r w:rsidR="00E870B5" w:rsidRPr="00730563">
        <w:rPr>
          <w:lang w:val="fr-CH"/>
        </w:rPr>
        <w:t>au-dessus de</w:t>
      </w:r>
      <w:r w:rsidR="00E2223E">
        <w:rPr>
          <w:lang w:val="fr-CH"/>
        </w:rPr>
        <w:t xml:space="preserve"> </w:t>
      </w:r>
      <w:r w:rsidR="00E870B5" w:rsidRPr="00730563">
        <w:rPr>
          <w:lang w:val="fr-CH"/>
        </w:rPr>
        <w:t>52</w:t>
      </w:r>
      <w:r w:rsidR="00F314D8">
        <w:rPr>
          <w:lang w:val="fr-CH"/>
        </w:rPr>
        <w:t>,</w:t>
      </w:r>
      <w:r w:rsidR="00E870B5" w:rsidRPr="00730563">
        <w:rPr>
          <w:lang w:val="fr-CH"/>
        </w:rPr>
        <w:t>6 GHz</w:t>
      </w:r>
      <w:r w:rsidR="003228B3">
        <w:rPr>
          <w:lang w:val="fr-CH"/>
        </w:rPr>
        <w:t xml:space="preserve"> </w:t>
      </w:r>
      <w:r w:rsidR="00E870B5" w:rsidRPr="00730563">
        <w:rPr>
          <w:lang w:val="fr-CH"/>
        </w:rPr>
        <w:t>contre les rayonnements désirés provenant de</w:t>
      </w:r>
      <w:r w:rsidR="00E2223E">
        <w:rPr>
          <w:lang w:val="fr-CH"/>
        </w:rPr>
        <w:t>s</w:t>
      </w:r>
      <w:r w:rsidR="00E870B5" w:rsidRPr="00730563">
        <w:rPr>
          <w:lang w:val="fr-CH"/>
        </w:rPr>
        <w:t xml:space="preserve"> stations terriennes du SFS</w:t>
      </w:r>
      <w:r w:rsidR="003228B3">
        <w:rPr>
          <w:lang w:val="fr-CH"/>
        </w:rPr>
        <w:t>,</w:t>
      </w:r>
    </w:p>
    <w:p w:rsidR="00C81716" w:rsidRPr="00730563" w:rsidRDefault="00071B1B" w:rsidP="00425FA3">
      <w:pPr>
        <w:pStyle w:val="Call"/>
        <w:rPr>
          <w:lang w:val="fr-CH"/>
        </w:rPr>
      </w:pPr>
      <w:r w:rsidRPr="00730563">
        <w:rPr>
          <w:lang w:val="fr-CH"/>
        </w:rPr>
        <w:t xml:space="preserve">considérant </w:t>
      </w:r>
      <w:r w:rsidR="00E870B5" w:rsidRPr="00730563">
        <w:rPr>
          <w:lang w:val="fr-CH"/>
        </w:rPr>
        <w:t>en outre</w:t>
      </w:r>
    </w:p>
    <w:p w:rsidR="00C81716" w:rsidRPr="00730563" w:rsidRDefault="00C81716" w:rsidP="00F314D8">
      <w:pPr>
        <w:rPr>
          <w:lang w:val="fr-CH"/>
        </w:rPr>
      </w:pPr>
      <w:r w:rsidRPr="00FD175A">
        <w:rPr>
          <w:i/>
          <w:iCs/>
          <w:lang w:val="fr-CH"/>
        </w:rPr>
        <w:t>a)</w:t>
      </w:r>
      <w:r w:rsidRPr="00730563">
        <w:rPr>
          <w:lang w:val="fr-CH"/>
        </w:rPr>
        <w:tab/>
      </w:r>
      <w:r w:rsidR="00E870B5" w:rsidRPr="00730563">
        <w:rPr>
          <w:lang w:val="fr-CH"/>
        </w:rPr>
        <w:t>que l</w:t>
      </w:r>
      <w:r w:rsidR="00B979D7">
        <w:rPr>
          <w:lang w:val="fr-CH"/>
        </w:rPr>
        <w:t>'</w:t>
      </w:r>
      <w:r w:rsidR="00E870B5" w:rsidRPr="00730563">
        <w:rPr>
          <w:lang w:val="fr-CH"/>
        </w:rPr>
        <w:t>exploitation des réseaux à satellite géostationnaire (OSG</w:t>
      </w:r>
      <w:r w:rsidR="00F10722">
        <w:rPr>
          <w:lang w:val="fr-CH"/>
        </w:rPr>
        <w:t>)</w:t>
      </w:r>
      <w:r w:rsidR="00F10722" w:rsidRPr="00730563">
        <w:rPr>
          <w:lang w:val="fr-CH"/>
        </w:rPr>
        <w:t xml:space="preserve"> du</w:t>
      </w:r>
      <w:r w:rsidR="00E870B5" w:rsidRPr="00730563">
        <w:rPr>
          <w:lang w:val="fr-CH"/>
        </w:rPr>
        <w:t xml:space="preserve"> SFS et des systèmes à satellites non géostationnaires (non OSG</w:t>
      </w:r>
      <w:r w:rsidR="00F10722">
        <w:rPr>
          <w:lang w:val="fr-CH"/>
        </w:rPr>
        <w:t>)</w:t>
      </w:r>
      <w:r w:rsidR="00F10722" w:rsidRPr="00730563">
        <w:rPr>
          <w:lang w:val="fr-CH"/>
        </w:rPr>
        <w:t xml:space="preserve"> du</w:t>
      </w:r>
      <w:r w:rsidR="00BB138D">
        <w:rPr>
          <w:lang w:val="fr-CH"/>
        </w:rPr>
        <w:t xml:space="preserve"> SFS dans la gamme</w:t>
      </w:r>
      <w:r w:rsidR="00E870B5" w:rsidRPr="00730563">
        <w:rPr>
          <w:lang w:val="fr-CH"/>
        </w:rPr>
        <w:t xml:space="preserve"> de fréquences 37</w:t>
      </w:r>
      <w:r w:rsidR="00F314D8">
        <w:rPr>
          <w:lang w:val="fr-CH"/>
        </w:rPr>
        <w:t>,</w:t>
      </w:r>
      <w:r w:rsidR="00E870B5" w:rsidRPr="00730563">
        <w:rPr>
          <w:lang w:val="fr-CH"/>
        </w:rPr>
        <w:t>5-51</w:t>
      </w:r>
      <w:r w:rsidR="00F314D8">
        <w:rPr>
          <w:lang w:val="fr-CH"/>
        </w:rPr>
        <w:t>,</w:t>
      </w:r>
      <w:r w:rsidR="00E870B5" w:rsidRPr="00730563">
        <w:rPr>
          <w:lang w:val="fr-CH"/>
        </w:rPr>
        <w:t xml:space="preserve">4 GHz </w:t>
      </w:r>
      <w:r w:rsidR="00E870B5">
        <w:rPr>
          <w:color w:val="000000"/>
        </w:rPr>
        <w:t>commence à susciter de l'intérêt;</w:t>
      </w:r>
    </w:p>
    <w:p w:rsidR="00C81716" w:rsidRDefault="00C81716" w:rsidP="00425FA3">
      <w:pPr>
        <w:rPr>
          <w:lang w:val="fr-CH"/>
        </w:rPr>
      </w:pPr>
      <w:r w:rsidRPr="00FD175A">
        <w:rPr>
          <w:i/>
          <w:iCs/>
          <w:lang w:val="fr-CH"/>
        </w:rPr>
        <w:t>b)</w:t>
      </w:r>
      <w:r>
        <w:rPr>
          <w:lang w:val="fr-CH"/>
        </w:rPr>
        <w:tab/>
        <w:t xml:space="preserve">qu'il est nécessaire de prévoir le développement et la mise en oeuvre ordonnés des nouvelles technologies satellitaires dans la gamme </w:t>
      </w:r>
      <w:r w:rsidR="00E870B5">
        <w:rPr>
          <w:lang w:val="fr-CH"/>
        </w:rPr>
        <w:t xml:space="preserve">de fréquences </w:t>
      </w:r>
      <w:r>
        <w:rPr>
          <w:lang w:val="fr-CH"/>
        </w:rPr>
        <w:t>37,5</w:t>
      </w:r>
      <w:r>
        <w:rPr>
          <w:lang w:val="fr-CH"/>
        </w:rPr>
        <w:noBreakHyphen/>
        <w:t>50,2 GHz;</w:t>
      </w:r>
    </w:p>
    <w:p w:rsidR="00C81716" w:rsidRDefault="00C81716" w:rsidP="00425FA3">
      <w:pPr>
        <w:rPr>
          <w:lang w:val="fr-CH"/>
        </w:rPr>
      </w:pPr>
      <w:r w:rsidRPr="00FD175A">
        <w:rPr>
          <w:i/>
          <w:iCs/>
          <w:lang w:val="fr-CH"/>
        </w:rPr>
        <w:t>c)</w:t>
      </w:r>
      <w:r>
        <w:rPr>
          <w:lang w:val="fr-CH"/>
        </w:rPr>
        <w:tab/>
        <w:t>que</w:t>
      </w:r>
      <w:r w:rsidR="003228B3">
        <w:rPr>
          <w:lang w:val="fr-CH"/>
        </w:rPr>
        <w:t xml:space="preserve"> </w:t>
      </w:r>
      <w:r>
        <w:rPr>
          <w:lang w:val="fr-CH"/>
        </w:rPr>
        <w:t>l'utilisation de nouvelles techniques associées à la fois aux réseaux O</w:t>
      </w:r>
      <w:r w:rsidR="00590CCF">
        <w:rPr>
          <w:lang w:val="fr-CH"/>
        </w:rPr>
        <w:t>SG</w:t>
      </w:r>
      <w:r>
        <w:rPr>
          <w:lang w:val="fr-CH"/>
        </w:rPr>
        <w:t xml:space="preserve"> du SFS et aux systèmes non</w:t>
      </w:r>
      <w:r w:rsidR="00BB138D">
        <w:rPr>
          <w:lang w:val="fr-CH"/>
        </w:rPr>
        <w:t xml:space="preserve"> </w:t>
      </w:r>
      <w:r w:rsidR="00555F35">
        <w:rPr>
          <w:lang w:val="fr-CH"/>
        </w:rPr>
        <w:t xml:space="preserve">OSG </w:t>
      </w:r>
      <w:r>
        <w:rPr>
          <w:lang w:val="fr-CH"/>
        </w:rPr>
        <w:t>du SFS permettent d'offrir, dans les régions les plus isolées du monde, des moyens de communication à forte capacité et à faible coût;</w:t>
      </w:r>
    </w:p>
    <w:p w:rsidR="00C81716" w:rsidRDefault="00C81716" w:rsidP="00425FA3">
      <w:pPr>
        <w:rPr>
          <w:lang w:val="fr-CH"/>
        </w:rPr>
      </w:pPr>
      <w:r w:rsidRPr="00FD175A">
        <w:rPr>
          <w:i/>
          <w:iCs/>
          <w:lang w:val="fr-CH"/>
        </w:rPr>
        <w:t>d)</w:t>
      </w:r>
      <w:r>
        <w:rPr>
          <w:lang w:val="fr-CH"/>
        </w:rPr>
        <w:tab/>
        <w:t>qu'il convient d'assurer un accès équitable aux ressources du spectre des fréquences radioélectriques et des orbites d'une façon acceptable pour tous</w:t>
      </w:r>
      <w:r w:rsidR="00590CCF">
        <w:rPr>
          <w:lang w:val="fr-CH"/>
        </w:rPr>
        <w:t>,</w:t>
      </w:r>
      <w:r w:rsidR="003228B3">
        <w:rPr>
          <w:lang w:val="fr-CH"/>
        </w:rPr>
        <w:t xml:space="preserve"> </w:t>
      </w:r>
      <w:r>
        <w:rPr>
          <w:lang w:val="fr-CH"/>
        </w:rPr>
        <w:t>afin</w:t>
      </w:r>
      <w:r w:rsidR="00590CCF">
        <w:rPr>
          <w:lang w:val="fr-CH"/>
        </w:rPr>
        <w:t xml:space="preserve"> de tenir compte des</w:t>
      </w:r>
      <w:r w:rsidR="003228B3">
        <w:rPr>
          <w:lang w:val="fr-CH"/>
        </w:rPr>
        <w:t xml:space="preserve"> </w:t>
      </w:r>
      <w:r>
        <w:rPr>
          <w:lang w:val="fr-CH"/>
        </w:rPr>
        <w:t>nouveaux arrivants</w:t>
      </w:r>
      <w:r w:rsidR="003228B3">
        <w:rPr>
          <w:lang w:val="fr-CH"/>
        </w:rPr>
        <w:t>;</w:t>
      </w:r>
    </w:p>
    <w:p w:rsidR="00C81716" w:rsidRDefault="00C81716" w:rsidP="00425FA3">
      <w:pPr>
        <w:rPr>
          <w:lang w:val="fr-CH"/>
        </w:rPr>
      </w:pPr>
      <w:r w:rsidRPr="00FD175A">
        <w:rPr>
          <w:i/>
          <w:iCs/>
          <w:lang w:val="fr-CH"/>
        </w:rPr>
        <w:t>e)</w:t>
      </w:r>
      <w:r>
        <w:rPr>
          <w:lang w:val="fr-CH"/>
        </w:rPr>
        <w:tab/>
        <w:t>que le Règlement des radiocommunications devrait être suffisamment souple pour admettre l'adoption et la mise en oeuvre de techniques novatrices à mesure qu'elles se développent;</w:t>
      </w:r>
    </w:p>
    <w:p w:rsidR="00C81716" w:rsidRPr="00BB138D" w:rsidRDefault="00C81716" w:rsidP="00FD175A">
      <w:pPr>
        <w:rPr>
          <w:lang w:val="fr-CH"/>
        </w:rPr>
      </w:pPr>
      <w:r w:rsidRPr="00FD175A">
        <w:rPr>
          <w:i/>
          <w:iCs/>
          <w:lang w:val="fr-CH"/>
        </w:rPr>
        <w:lastRenderedPageBreak/>
        <w:t>f)</w:t>
      </w:r>
      <w:r w:rsidRPr="00BB138D">
        <w:rPr>
          <w:lang w:val="fr-CH"/>
        </w:rPr>
        <w:tab/>
      </w:r>
      <w:r w:rsidR="00BB138D" w:rsidRPr="00BB138D">
        <w:rPr>
          <w:lang w:val="fr-CH"/>
        </w:rPr>
        <w:t>que l'</w:t>
      </w:r>
      <w:r w:rsidRPr="00BB138D">
        <w:rPr>
          <w:lang w:val="fr-CH"/>
        </w:rPr>
        <w:t xml:space="preserve">application </w:t>
      </w:r>
      <w:r w:rsidR="00BB138D" w:rsidRPr="00BB138D">
        <w:rPr>
          <w:lang w:val="fr-CH"/>
        </w:rPr>
        <w:t>du numéro</w:t>
      </w:r>
      <w:r w:rsidR="00BB138D">
        <w:rPr>
          <w:lang w:val="fr-CH"/>
        </w:rPr>
        <w:t xml:space="preserve"> </w:t>
      </w:r>
      <w:r w:rsidR="00BB138D" w:rsidRPr="00BB138D">
        <w:rPr>
          <w:rStyle w:val="Artdef"/>
          <w:lang w:val="fr-CH"/>
        </w:rPr>
        <w:t>22.2</w:t>
      </w:r>
      <w:r w:rsidR="00BB138D" w:rsidRPr="00BB138D">
        <w:rPr>
          <w:rStyle w:val="Artdef"/>
          <w:b w:val="0"/>
          <w:bCs/>
          <w:lang w:val="fr-CH"/>
        </w:rPr>
        <w:t xml:space="preserve"> </w:t>
      </w:r>
      <w:r w:rsidR="00BB138D">
        <w:rPr>
          <w:lang w:val="fr-CH"/>
        </w:rPr>
        <w:t>peut être source d'incertitude pour les systèmes non</w:t>
      </w:r>
      <w:r w:rsidR="00FD175A">
        <w:rPr>
          <w:lang w:val="fr-CH"/>
        </w:rPr>
        <w:t xml:space="preserve"> </w:t>
      </w:r>
      <w:r w:rsidR="00BB138D">
        <w:rPr>
          <w:lang w:val="fr-CH"/>
        </w:rPr>
        <w:t>OSG du SFS;</w:t>
      </w:r>
    </w:p>
    <w:p w:rsidR="00C81716" w:rsidRPr="00730563" w:rsidRDefault="00C81716" w:rsidP="00F314D8">
      <w:pPr>
        <w:rPr>
          <w:lang w:val="fr-CH"/>
        </w:rPr>
      </w:pPr>
      <w:r w:rsidRPr="00FD175A">
        <w:rPr>
          <w:i/>
          <w:iCs/>
          <w:lang w:val="fr-CH"/>
        </w:rPr>
        <w:t>g)</w:t>
      </w:r>
      <w:r w:rsidRPr="00730563">
        <w:rPr>
          <w:lang w:val="fr-CH"/>
        </w:rPr>
        <w:tab/>
      </w:r>
      <w:r w:rsidR="00590CCF">
        <w:rPr>
          <w:color w:val="000000"/>
        </w:rPr>
        <w:t>qu'il n'existe pas à l'heure actuelle de dispositions réglementaires</w:t>
      </w:r>
      <w:r w:rsidR="00590CCF" w:rsidRPr="00730563">
        <w:rPr>
          <w:lang w:val="fr-CH"/>
        </w:rPr>
        <w:t xml:space="preserve"> </w:t>
      </w:r>
      <w:r w:rsidR="00590CCF">
        <w:rPr>
          <w:color w:val="000000"/>
        </w:rPr>
        <w:t>définissant des mécanismes de coordination entre les systèmes</w:t>
      </w:r>
      <w:r w:rsidR="003228B3">
        <w:rPr>
          <w:color w:val="000000"/>
        </w:rPr>
        <w:t xml:space="preserve"> </w:t>
      </w:r>
      <w:r w:rsidR="00590CCF">
        <w:rPr>
          <w:color w:val="000000"/>
        </w:rPr>
        <w:t>non OSG du SFS dans la gamme de fréquences</w:t>
      </w:r>
      <w:r w:rsidR="003228B3">
        <w:rPr>
          <w:color w:val="000000"/>
        </w:rPr>
        <w:t xml:space="preserve"> </w:t>
      </w:r>
      <w:r w:rsidRPr="00730563">
        <w:rPr>
          <w:lang w:val="fr-CH"/>
        </w:rPr>
        <w:t>37</w:t>
      </w:r>
      <w:r w:rsidR="00F314D8">
        <w:rPr>
          <w:lang w:val="fr-CH"/>
        </w:rPr>
        <w:t>,</w:t>
      </w:r>
      <w:r w:rsidRPr="00730563">
        <w:rPr>
          <w:lang w:val="fr-CH"/>
        </w:rPr>
        <w:t>5-51</w:t>
      </w:r>
      <w:r w:rsidR="00F314D8">
        <w:rPr>
          <w:lang w:val="fr-CH"/>
        </w:rPr>
        <w:t>,</w:t>
      </w:r>
      <w:r w:rsidRPr="00730563">
        <w:rPr>
          <w:lang w:val="fr-CH"/>
        </w:rPr>
        <w:t>4 GHz;</w:t>
      </w:r>
    </w:p>
    <w:p w:rsidR="00C81716" w:rsidRPr="00543A08" w:rsidRDefault="00543A08" w:rsidP="00425FA3">
      <w:pPr>
        <w:rPr>
          <w:lang w:val="fr-CH"/>
        </w:rPr>
      </w:pPr>
      <w:r w:rsidRPr="00FD175A">
        <w:rPr>
          <w:i/>
          <w:iCs/>
          <w:lang w:val="fr-CH"/>
        </w:rPr>
        <w:t>h)</w:t>
      </w:r>
      <w:r>
        <w:rPr>
          <w:lang w:val="fr-CH"/>
        </w:rPr>
        <w:tab/>
        <w:t>que, dans la gamme</w:t>
      </w:r>
      <w:r w:rsidR="00BB138D">
        <w:rPr>
          <w:lang w:val="fr-CH"/>
        </w:rPr>
        <w:t xml:space="preserve"> de fréquences</w:t>
      </w:r>
      <w:r>
        <w:rPr>
          <w:lang w:val="fr-CH"/>
        </w:rPr>
        <w:t> 37,5</w:t>
      </w:r>
      <w:r>
        <w:rPr>
          <w:lang w:val="fr-CH"/>
        </w:rPr>
        <w:noBreakHyphen/>
        <w:t>50,2 GHz, où à ce jour les systèmes à satellites n'ont guère été déployés, voire pas du tout, les administrations concernées par les systèmes</w:t>
      </w:r>
      <w:r w:rsidR="00555F35">
        <w:rPr>
          <w:lang w:val="fr-CH"/>
        </w:rPr>
        <w:t xml:space="preserve"> OSG </w:t>
      </w:r>
      <w:r>
        <w:rPr>
          <w:lang w:val="fr-CH"/>
        </w:rPr>
        <w:t>du SFS ou non</w:t>
      </w:r>
      <w:r w:rsidR="00555F35">
        <w:rPr>
          <w:lang w:val="fr-CH"/>
        </w:rPr>
        <w:t xml:space="preserve"> OSG </w:t>
      </w:r>
      <w:r>
        <w:rPr>
          <w:lang w:val="fr-CH"/>
        </w:rPr>
        <w:t>du SFS devraient faire preuve de souplesse pour parvenir à l'équilibre approprié dans l'environnement de partage;</w:t>
      </w:r>
    </w:p>
    <w:p w:rsidR="00543A08" w:rsidRPr="00730563" w:rsidRDefault="00543A08" w:rsidP="00F314D8">
      <w:pPr>
        <w:rPr>
          <w:lang w:val="fr-CH"/>
        </w:rPr>
      </w:pPr>
      <w:r w:rsidRPr="00FD175A">
        <w:rPr>
          <w:i/>
          <w:iCs/>
          <w:lang w:val="fr-CH"/>
        </w:rPr>
        <w:t>i)</w:t>
      </w:r>
      <w:r w:rsidRPr="00730563">
        <w:rPr>
          <w:lang w:val="fr-CH"/>
        </w:rPr>
        <w:tab/>
      </w:r>
      <w:r w:rsidR="00555F35" w:rsidRPr="00730563">
        <w:rPr>
          <w:lang w:val="fr-CH"/>
        </w:rPr>
        <w:t>que la</w:t>
      </w:r>
      <w:r w:rsidRPr="00730563">
        <w:rPr>
          <w:lang w:val="fr-CH"/>
        </w:rPr>
        <w:t xml:space="preserve"> </w:t>
      </w:r>
      <w:r w:rsidR="00BB138D">
        <w:rPr>
          <w:lang w:val="fr-CH"/>
        </w:rPr>
        <w:t>Résolution</w:t>
      </w:r>
      <w:r w:rsidRPr="00730563">
        <w:rPr>
          <w:lang w:val="fr-CH"/>
        </w:rPr>
        <w:t xml:space="preserve"> </w:t>
      </w:r>
      <w:r w:rsidRPr="00730563">
        <w:rPr>
          <w:rStyle w:val="Artdef"/>
          <w:lang w:val="fr-CH"/>
        </w:rPr>
        <w:t>750 (</w:t>
      </w:r>
      <w:r w:rsidR="00F10722">
        <w:rPr>
          <w:rStyle w:val="Artdef"/>
          <w:lang w:val="fr-CH"/>
        </w:rPr>
        <w:t>Rév</w:t>
      </w:r>
      <w:r w:rsidRPr="00730563">
        <w:rPr>
          <w:rStyle w:val="Artdef"/>
          <w:lang w:val="fr-CH"/>
        </w:rPr>
        <w:t>.</w:t>
      </w:r>
      <w:r w:rsidR="00F50032">
        <w:rPr>
          <w:rStyle w:val="Artdef"/>
          <w:lang w:val="fr-CH"/>
        </w:rPr>
        <w:t>CMR</w:t>
      </w:r>
      <w:r w:rsidRPr="00730563">
        <w:rPr>
          <w:rStyle w:val="Artdef"/>
          <w:lang w:val="fr-CH"/>
        </w:rPr>
        <w:t>-12</w:t>
      </w:r>
      <w:r w:rsidR="00BF2826">
        <w:rPr>
          <w:rStyle w:val="Artdef"/>
          <w:lang w:val="fr-CH"/>
        </w:rPr>
        <w:t>)</w:t>
      </w:r>
      <w:r w:rsidR="000F6489" w:rsidRPr="00730563">
        <w:rPr>
          <w:lang w:val="fr-CH"/>
        </w:rPr>
        <w:t>contient des dispositions réglementaires permettant de protéger la bande 50</w:t>
      </w:r>
      <w:r w:rsidR="00F314D8">
        <w:rPr>
          <w:lang w:val="fr-CH"/>
        </w:rPr>
        <w:t>,</w:t>
      </w:r>
      <w:r w:rsidR="000F6489" w:rsidRPr="00730563">
        <w:rPr>
          <w:lang w:val="fr-CH"/>
        </w:rPr>
        <w:t>2-50</w:t>
      </w:r>
      <w:r w:rsidR="00F314D8">
        <w:rPr>
          <w:lang w:val="fr-CH"/>
        </w:rPr>
        <w:t>,</w:t>
      </w:r>
      <w:r w:rsidR="000F6489" w:rsidRPr="00730563">
        <w:rPr>
          <w:lang w:val="fr-CH"/>
        </w:rPr>
        <w:t>4 GHz attribuée au SETS (passive</w:t>
      </w:r>
      <w:r w:rsidR="00BF2826">
        <w:rPr>
          <w:lang w:val="fr-CH"/>
        </w:rPr>
        <w:t>)</w:t>
      </w:r>
      <w:r w:rsidR="00FD175A">
        <w:rPr>
          <w:lang w:val="fr-CH"/>
        </w:rPr>
        <w:t xml:space="preserve"> </w:t>
      </w:r>
      <w:r w:rsidR="000F6489" w:rsidRPr="00730563">
        <w:rPr>
          <w:lang w:val="fr-CH"/>
        </w:rPr>
        <w:t xml:space="preserve">contre les rayonnements non désirés provenant des stations du SFS et que le numéro </w:t>
      </w:r>
      <w:r w:rsidR="000F6489" w:rsidRPr="00730563">
        <w:rPr>
          <w:rStyle w:val="Artdef"/>
          <w:lang w:val="fr-CH"/>
        </w:rPr>
        <w:t>5.340</w:t>
      </w:r>
      <w:r w:rsidR="003228B3">
        <w:rPr>
          <w:lang w:val="fr-CH"/>
        </w:rPr>
        <w:t xml:space="preserve"> </w:t>
      </w:r>
      <w:r w:rsidR="000F6489" w:rsidRPr="00730563">
        <w:rPr>
          <w:lang w:val="fr-CH"/>
        </w:rPr>
        <w:t>s</w:t>
      </w:r>
      <w:r w:rsidR="00B979D7">
        <w:rPr>
          <w:lang w:val="fr-CH"/>
        </w:rPr>
        <w:t>'</w:t>
      </w:r>
      <w:r w:rsidR="000F6489" w:rsidRPr="00730563">
        <w:rPr>
          <w:lang w:val="fr-CH"/>
        </w:rPr>
        <w:t>applique</w:t>
      </w:r>
      <w:r w:rsidR="003228B3">
        <w:rPr>
          <w:lang w:val="fr-CH"/>
        </w:rPr>
        <w:t>,</w:t>
      </w:r>
    </w:p>
    <w:p w:rsidR="00C81716" w:rsidRPr="00543A08" w:rsidRDefault="00071B1B" w:rsidP="00425FA3">
      <w:pPr>
        <w:pStyle w:val="Call"/>
        <w:rPr>
          <w:lang w:val="fr-CH"/>
        </w:rPr>
      </w:pPr>
      <w:r>
        <w:t>considérant</w:t>
      </w:r>
      <w:r w:rsidR="003228B3">
        <w:t xml:space="preserve"> </w:t>
      </w:r>
      <w:r w:rsidR="000F6489">
        <w:t>en outre</w:t>
      </w:r>
    </w:p>
    <w:p w:rsidR="00C81716" w:rsidRPr="00543A08" w:rsidRDefault="00543A08" w:rsidP="00F314D8">
      <w:pPr>
        <w:rPr>
          <w:lang w:val="fr-CH"/>
        </w:rPr>
      </w:pPr>
      <w:r w:rsidRPr="00FD175A">
        <w:rPr>
          <w:i/>
          <w:iCs/>
          <w:lang w:val="fr-CH"/>
        </w:rPr>
        <w:t>a)</w:t>
      </w:r>
      <w:r>
        <w:rPr>
          <w:lang w:val="fr-CH"/>
        </w:rPr>
        <w:tab/>
        <w:t xml:space="preserve">qu'après avoir examiné les résultats des études </w:t>
      </w:r>
      <w:r w:rsidR="000F6489">
        <w:rPr>
          <w:lang w:val="fr-CH"/>
        </w:rPr>
        <w:t xml:space="preserve">préliminaires </w:t>
      </w:r>
      <w:r>
        <w:rPr>
          <w:lang w:val="fr-CH"/>
        </w:rPr>
        <w:t>de l'UIT-R sur ce sujet</w:t>
      </w:r>
      <w:r w:rsidR="000F6489">
        <w:rPr>
          <w:lang w:val="fr-CH"/>
        </w:rPr>
        <w:t xml:space="preserve"> au titre du point 1.2</w:t>
      </w:r>
      <w:r w:rsidR="00A42F73">
        <w:rPr>
          <w:lang w:val="fr-CH"/>
        </w:rPr>
        <w:t>9 de son ordre du jour, la CMR-</w:t>
      </w:r>
      <w:r w:rsidR="000F6489">
        <w:rPr>
          <w:lang w:val="fr-CH"/>
        </w:rPr>
        <w:t>03</w:t>
      </w:r>
      <w:r w:rsidR="003228B3">
        <w:rPr>
          <w:lang w:val="fr-CH"/>
        </w:rPr>
        <w:t xml:space="preserve"> </w:t>
      </w:r>
      <w:r>
        <w:rPr>
          <w:lang w:val="fr-CH"/>
        </w:rPr>
        <w:t>a décidé qu'il fallait procéder à de nouvelles études avant de pouvoir déterminer de façon fiable les conditions de partage de ces bandes entre les systèmes non</w:t>
      </w:r>
      <w:r w:rsidR="00555F35">
        <w:rPr>
          <w:lang w:val="fr-CH"/>
        </w:rPr>
        <w:t xml:space="preserve"> OSG </w:t>
      </w:r>
      <w:r>
        <w:rPr>
          <w:lang w:val="fr-CH"/>
        </w:rPr>
        <w:t>du SFS et les réseaux</w:t>
      </w:r>
      <w:r w:rsidR="00555F35">
        <w:rPr>
          <w:lang w:val="fr-CH"/>
        </w:rPr>
        <w:t xml:space="preserve"> OSG </w:t>
      </w:r>
      <w:r w:rsidR="00BB138D">
        <w:rPr>
          <w:lang w:val="fr-CH"/>
        </w:rPr>
        <w:t>du SFS;</w:t>
      </w:r>
    </w:p>
    <w:p w:rsidR="00A846F5" w:rsidRPr="00730563" w:rsidRDefault="00A846F5" w:rsidP="00EE5360">
      <w:pPr>
        <w:rPr>
          <w:lang w:val="fr-CH"/>
        </w:rPr>
      </w:pPr>
      <w:r w:rsidRPr="00FD175A">
        <w:rPr>
          <w:i/>
          <w:iCs/>
          <w:lang w:val="fr-CH"/>
        </w:rPr>
        <w:t>b)</w:t>
      </w:r>
      <w:r w:rsidRPr="00730563">
        <w:rPr>
          <w:lang w:val="fr-CH"/>
        </w:rPr>
        <w:tab/>
      </w:r>
      <w:r w:rsidR="000F6489" w:rsidRPr="00730563">
        <w:rPr>
          <w:lang w:val="fr-CH"/>
        </w:rPr>
        <w:t xml:space="preserve">que les Recommandations </w:t>
      </w:r>
      <w:r w:rsidR="002E2C8C" w:rsidRPr="00730563">
        <w:rPr>
          <w:lang w:val="fr-CH"/>
        </w:rPr>
        <w:t>UIT</w:t>
      </w:r>
      <w:r w:rsidR="00BF2826">
        <w:rPr>
          <w:lang w:val="fr-CH"/>
        </w:rPr>
        <w:t>-</w:t>
      </w:r>
      <w:r w:rsidRPr="00730563">
        <w:rPr>
          <w:lang w:val="fr-CH"/>
        </w:rPr>
        <w:t>R S.1323, S.1325, S.1328, S.1529</w:t>
      </w:r>
      <w:r w:rsidR="00EE5360">
        <w:rPr>
          <w:lang w:val="fr-CH"/>
        </w:rPr>
        <w:t>,</w:t>
      </w:r>
      <w:r w:rsidRPr="00730563">
        <w:rPr>
          <w:lang w:val="fr-CH"/>
        </w:rPr>
        <w:t xml:space="preserve"> S.1557 </w:t>
      </w:r>
      <w:r w:rsidR="000F6489" w:rsidRPr="00730563">
        <w:rPr>
          <w:lang w:val="fr-CH"/>
        </w:rPr>
        <w:t>fournissent des bases permettant de calculer les caractéristiques, les exigences opérationnelles et les critères de protection des systèmes</w:t>
      </w:r>
      <w:r w:rsidR="003228B3">
        <w:rPr>
          <w:lang w:val="fr-CH"/>
        </w:rPr>
        <w:t>;</w:t>
      </w:r>
    </w:p>
    <w:p w:rsidR="00A846F5" w:rsidRPr="00730563" w:rsidRDefault="00A846F5" w:rsidP="00425FA3">
      <w:pPr>
        <w:rPr>
          <w:lang w:val="fr-CH"/>
        </w:rPr>
      </w:pPr>
      <w:r w:rsidRPr="00FD175A">
        <w:rPr>
          <w:i/>
          <w:iCs/>
          <w:lang w:val="fr-CH"/>
        </w:rPr>
        <w:t>c)</w:t>
      </w:r>
      <w:r w:rsidRPr="00730563">
        <w:rPr>
          <w:lang w:val="fr-CH"/>
        </w:rPr>
        <w:tab/>
      </w:r>
      <w:r w:rsidR="000F6489" w:rsidRPr="00730563">
        <w:rPr>
          <w:lang w:val="fr-CH"/>
        </w:rPr>
        <w:t>que les dispositions réglementaires énoncées dans la Résolution</w:t>
      </w:r>
      <w:r w:rsidR="003228B3">
        <w:rPr>
          <w:lang w:val="fr-CH"/>
        </w:rPr>
        <w:t xml:space="preserve"> </w:t>
      </w:r>
      <w:r w:rsidRPr="00730563">
        <w:rPr>
          <w:rStyle w:val="Artdef"/>
          <w:lang w:val="fr-CH"/>
        </w:rPr>
        <w:t>750 (</w:t>
      </w:r>
      <w:r w:rsidR="00F10722">
        <w:rPr>
          <w:rStyle w:val="Artdef"/>
          <w:lang w:val="fr-CH"/>
        </w:rPr>
        <w:t>Rév</w:t>
      </w:r>
      <w:r w:rsidRPr="00730563">
        <w:rPr>
          <w:rStyle w:val="Artdef"/>
          <w:lang w:val="fr-CH"/>
        </w:rPr>
        <w:t>.</w:t>
      </w:r>
      <w:r w:rsidR="00F50032">
        <w:rPr>
          <w:rStyle w:val="Artdef"/>
          <w:lang w:val="fr-CH"/>
        </w:rPr>
        <w:t>CMR</w:t>
      </w:r>
      <w:r w:rsidRPr="00730563">
        <w:rPr>
          <w:rStyle w:val="Artdef"/>
          <w:lang w:val="fr-CH"/>
        </w:rPr>
        <w:t>-12</w:t>
      </w:r>
      <w:r w:rsidR="00BB138D">
        <w:rPr>
          <w:rStyle w:val="Artdef"/>
          <w:lang w:val="fr-CH"/>
        </w:rPr>
        <w:t>)</w:t>
      </w:r>
      <w:r w:rsidR="00BB138D" w:rsidRPr="00730563">
        <w:rPr>
          <w:lang w:val="fr-CH"/>
        </w:rPr>
        <w:t xml:space="preserve"> reposent</w:t>
      </w:r>
      <w:r w:rsidR="000F6489" w:rsidRPr="00730563">
        <w:rPr>
          <w:lang w:val="fr-CH"/>
        </w:rPr>
        <w:t xml:space="preserve"> sur des hypothèses relatives au déploiement du SFS qu</w:t>
      </w:r>
      <w:r w:rsidR="00B979D7">
        <w:rPr>
          <w:lang w:val="fr-CH"/>
        </w:rPr>
        <w:t>'</w:t>
      </w:r>
      <w:r w:rsidR="000F6489" w:rsidRPr="00730563">
        <w:rPr>
          <w:lang w:val="fr-CH"/>
        </w:rPr>
        <w:t xml:space="preserve">il faudra peut-être </w:t>
      </w:r>
      <w:r w:rsidR="00B1634C">
        <w:rPr>
          <w:lang w:val="fr-CH"/>
        </w:rPr>
        <w:t>re</w:t>
      </w:r>
      <w:r w:rsidR="00F10722">
        <w:rPr>
          <w:lang w:val="fr-CH"/>
        </w:rPr>
        <w:t>v</w:t>
      </w:r>
      <w:r w:rsidR="000F6489" w:rsidRPr="00730563">
        <w:rPr>
          <w:lang w:val="fr-CH"/>
        </w:rPr>
        <w:t>oir,</w:t>
      </w:r>
      <w:r w:rsidR="003228B3">
        <w:rPr>
          <w:lang w:val="fr-CH"/>
        </w:rPr>
        <w:t xml:space="preserve"> </w:t>
      </w:r>
      <w:r w:rsidR="000F6489" w:rsidRPr="00730563">
        <w:rPr>
          <w:lang w:val="fr-CH"/>
        </w:rPr>
        <w:t xml:space="preserve">compte tenu </w:t>
      </w:r>
      <w:r w:rsidR="009244FD" w:rsidRPr="00730563">
        <w:rPr>
          <w:lang w:val="fr-CH"/>
        </w:rPr>
        <w:t>de l</w:t>
      </w:r>
      <w:r w:rsidR="00B979D7">
        <w:rPr>
          <w:lang w:val="fr-CH"/>
        </w:rPr>
        <w:t>'</w:t>
      </w:r>
      <w:r w:rsidR="009244FD" w:rsidRPr="00730563">
        <w:rPr>
          <w:lang w:val="fr-CH"/>
        </w:rPr>
        <w:t>évolution éventuelle des satellites non OSG</w:t>
      </w:r>
      <w:r w:rsidR="003228B3">
        <w:rPr>
          <w:lang w:val="fr-CH"/>
        </w:rPr>
        <w:t>,</w:t>
      </w:r>
    </w:p>
    <w:p w:rsidR="00A846F5" w:rsidRDefault="009244FD" w:rsidP="00425FA3">
      <w:pPr>
        <w:pStyle w:val="Call"/>
      </w:pPr>
      <w:r>
        <w:t>décide d</w:t>
      </w:r>
      <w:r w:rsidR="00B979D7">
        <w:t>'</w:t>
      </w:r>
      <w:r>
        <w:t>inviter l</w:t>
      </w:r>
      <w:r w:rsidR="00B979D7">
        <w:t>'</w:t>
      </w:r>
      <w:r>
        <w:t>UIT-R</w:t>
      </w:r>
      <w:r w:rsidR="003228B3">
        <w:t xml:space="preserve"> </w:t>
      </w:r>
    </w:p>
    <w:p w:rsidR="00A846F5" w:rsidRPr="00730563" w:rsidRDefault="00A846F5" w:rsidP="00F314D8">
      <w:pPr>
        <w:rPr>
          <w:lang w:val="fr-CH"/>
        </w:rPr>
      </w:pPr>
      <w:r w:rsidRPr="00730563">
        <w:rPr>
          <w:lang w:val="fr-CH"/>
        </w:rPr>
        <w:t>1</w:t>
      </w:r>
      <w:r w:rsidRPr="00730563">
        <w:rPr>
          <w:lang w:val="fr-CH"/>
        </w:rPr>
        <w:tab/>
      </w:r>
      <w:r w:rsidR="009244FD" w:rsidRPr="00730563">
        <w:rPr>
          <w:lang w:val="fr-CH"/>
        </w:rPr>
        <w:t xml:space="preserve"> </w:t>
      </w:r>
      <w:r w:rsidR="009244FD">
        <w:rPr>
          <w:color w:val="000000"/>
        </w:rPr>
        <w:t>à mener, et à achever à temps pour la</w:t>
      </w:r>
      <w:r w:rsidR="009244FD" w:rsidRPr="00730563">
        <w:rPr>
          <w:lang w:val="fr-CH"/>
        </w:rPr>
        <w:t xml:space="preserve"> </w:t>
      </w:r>
      <w:r w:rsidR="00F50032">
        <w:rPr>
          <w:lang w:val="fr-CH"/>
        </w:rPr>
        <w:t>CMR</w:t>
      </w:r>
      <w:r w:rsidRPr="00730563">
        <w:rPr>
          <w:lang w:val="fr-CH"/>
        </w:rPr>
        <w:t>-19,</w:t>
      </w:r>
      <w:r w:rsidR="009244FD" w:rsidRPr="00730563">
        <w:rPr>
          <w:lang w:val="fr-CH"/>
        </w:rPr>
        <w:t xml:space="preserve"> les études nécessaires pour permettre</w:t>
      </w:r>
      <w:r w:rsidR="009244FD" w:rsidRPr="009244FD">
        <w:rPr>
          <w:color w:val="000000"/>
        </w:rPr>
        <w:t xml:space="preserve"> </w:t>
      </w:r>
      <w:r w:rsidR="009244FD">
        <w:rPr>
          <w:color w:val="000000"/>
        </w:rPr>
        <w:t xml:space="preserve">une nouvelle attribution </w:t>
      </w:r>
      <w:r w:rsidR="00BB138D">
        <w:rPr>
          <w:color w:val="000000"/>
        </w:rPr>
        <w:t xml:space="preserve">possible </w:t>
      </w:r>
      <w:r w:rsidR="009244FD">
        <w:rPr>
          <w:color w:val="000000"/>
        </w:rPr>
        <w:t>à titre primaire au SFS (Terre vers espace</w:t>
      </w:r>
      <w:r w:rsidR="00BB138D">
        <w:rPr>
          <w:color w:val="000000"/>
        </w:rPr>
        <w:t>) dans</w:t>
      </w:r>
      <w:r w:rsidR="009244FD">
        <w:rPr>
          <w:color w:val="000000"/>
        </w:rPr>
        <w:t xml:space="preserve"> la bande de fréquences </w:t>
      </w:r>
      <w:r w:rsidR="009244FD" w:rsidRPr="00730563">
        <w:rPr>
          <w:lang w:val="fr-CH"/>
        </w:rPr>
        <w:t>51</w:t>
      </w:r>
      <w:r w:rsidR="00F314D8">
        <w:rPr>
          <w:lang w:val="fr-CH"/>
        </w:rPr>
        <w:t>,</w:t>
      </w:r>
      <w:r w:rsidR="009244FD" w:rsidRPr="00730563">
        <w:rPr>
          <w:lang w:val="fr-CH"/>
        </w:rPr>
        <w:t>4-52</w:t>
      </w:r>
      <w:r w:rsidR="00F314D8">
        <w:rPr>
          <w:lang w:val="fr-CH"/>
        </w:rPr>
        <w:t>,</w:t>
      </w:r>
      <w:r w:rsidR="009244FD" w:rsidRPr="00730563">
        <w:rPr>
          <w:lang w:val="fr-CH"/>
        </w:rPr>
        <w:t>4 GHz</w:t>
      </w:r>
      <w:r w:rsidR="009244FD">
        <w:rPr>
          <w:color w:val="000000"/>
        </w:rPr>
        <w:t>, compte tenu du numéro</w:t>
      </w:r>
      <w:r w:rsidR="003228B3">
        <w:rPr>
          <w:lang w:val="fr-CH"/>
        </w:rPr>
        <w:t xml:space="preserve"> </w:t>
      </w:r>
      <w:r w:rsidRPr="00730563">
        <w:rPr>
          <w:rStyle w:val="Artdef"/>
          <w:lang w:val="fr-CH"/>
        </w:rPr>
        <w:t>5.556</w:t>
      </w:r>
      <w:r w:rsidRPr="00BB138D">
        <w:rPr>
          <w:rStyle w:val="Artdef"/>
          <w:b w:val="0"/>
          <w:lang w:val="fr-CH"/>
        </w:rPr>
        <w:t>;</w:t>
      </w:r>
    </w:p>
    <w:p w:rsidR="00A846F5" w:rsidRPr="00730563" w:rsidRDefault="00A846F5" w:rsidP="00F314D8">
      <w:pPr>
        <w:rPr>
          <w:lang w:val="fr-CH"/>
        </w:rPr>
      </w:pPr>
      <w:r w:rsidRPr="00730563">
        <w:rPr>
          <w:lang w:val="fr-CH"/>
        </w:rPr>
        <w:t>2</w:t>
      </w:r>
      <w:r w:rsidRPr="00730563">
        <w:rPr>
          <w:lang w:val="fr-CH"/>
        </w:rPr>
        <w:tab/>
        <w:t xml:space="preserve"> </w:t>
      </w:r>
      <w:r w:rsidR="009244FD">
        <w:rPr>
          <w:color w:val="000000"/>
        </w:rPr>
        <w:t>à mener, et à achever à temps pour la</w:t>
      </w:r>
      <w:r w:rsidR="009244FD" w:rsidRPr="00730563">
        <w:rPr>
          <w:lang w:val="fr-CH"/>
        </w:rPr>
        <w:t xml:space="preserve"> </w:t>
      </w:r>
      <w:r w:rsidR="00F50032">
        <w:rPr>
          <w:lang w:val="fr-CH"/>
        </w:rPr>
        <w:t>CMR</w:t>
      </w:r>
      <w:r w:rsidRPr="00730563">
        <w:rPr>
          <w:lang w:val="fr-CH"/>
        </w:rPr>
        <w:t xml:space="preserve">-19, </w:t>
      </w:r>
      <w:r w:rsidR="009244FD" w:rsidRPr="00730563">
        <w:rPr>
          <w:lang w:val="fr-CH"/>
        </w:rPr>
        <w:t>les études nécessaires sur les mesures transitoires à prendre en vue de la suppression éventuelle de</w:t>
      </w:r>
      <w:r w:rsidR="003228B3">
        <w:rPr>
          <w:lang w:val="fr-CH"/>
        </w:rPr>
        <w:t xml:space="preserve"> </w:t>
      </w:r>
      <w:r w:rsidR="009244FD" w:rsidRPr="00730563">
        <w:rPr>
          <w:lang w:val="fr-CH"/>
        </w:rPr>
        <w:t>l</w:t>
      </w:r>
      <w:r w:rsidR="00B979D7">
        <w:rPr>
          <w:lang w:val="fr-CH"/>
        </w:rPr>
        <w:t>'</w:t>
      </w:r>
      <w:r w:rsidR="009244FD" w:rsidRPr="00730563">
        <w:rPr>
          <w:lang w:val="fr-CH"/>
        </w:rPr>
        <w:t>attribution au SFS dans la bande de fréquences</w:t>
      </w:r>
      <w:r w:rsidR="003228B3">
        <w:rPr>
          <w:lang w:val="fr-CH"/>
        </w:rPr>
        <w:t xml:space="preserve"> </w:t>
      </w:r>
      <w:r w:rsidRPr="00730563">
        <w:rPr>
          <w:lang w:val="fr-CH"/>
        </w:rPr>
        <w:t>42</w:t>
      </w:r>
      <w:r w:rsidR="00F314D8">
        <w:rPr>
          <w:lang w:val="fr-CH"/>
        </w:rPr>
        <w:t>,</w:t>
      </w:r>
      <w:r w:rsidRPr="00730563">
        <w:rPr>
          <w:lang w:val="fr-CH"/>
        </w:rPr>
        <w:t>5-43</w:t>
      </w:r>
      <w:r w:rsidR="00F314D8">
        <w:rPr>
          <w:lang w:val="fr-CH"/>
        </w:rPr>
        <w:t>,</w:t>
      </w:r>
      <w:r w:rsidRPr="00730563">
        <w:rPr>
          <w:lang w:val="fr-CH"/>
        </w:rPr>
        <w:t>5 GHz;</w:t>
      </w:r>
    </w:p>
    <w:p w:rsidR="00A846F5" w:rsidRPr="00730563" w:rsidRDefault="00A846F5" w:rsidP="00F314D8">
      <w:pPr>
        <w:rPr>
          <w:lang w:val="fr-CH"/>
        </w:rPr>
      </w:pPr>
      <w:r w:rsidRPr="00730563">
        <w:rPr>
          <w:lang w:val="fr-CH"/>
        </w:rPr>
        <w:t xml:space="preserve">3 </w:t>
      </w:r>
      <w:r w:rsidRPr="00730563">
        <w:rPr>
          <w:lang w:val="fr-CH"/>
        </w:rPr>
        <w:tab/>
      </w:r>
      <w:r w:rsidR="009244FD" w:rsidRPr="00730563">
        <w:rPr>
          <w:lang w:val="fr-CH"/>
        </w:rPr>
        <w:t>à étudier et à élaborer d</w:t>
      </w:r>
      <w:r w:rsidR="00B979D7">
        <w:rPr>
          <w:lang w:val="fr-CH"/>
        </w:rPr>
        <w:t>'</w:t>
      </w:r>
      <w:r w:rsidR="009244FD" w:rsidRPr="00730563">
        <w:rPr>
          <w:lang w:val="fr-CH"/>
        </w:rPr>
        <w:t>éventuelles dispositions techniques et réglementaires de remplacement applicables</w:t>
      </w:r>
      <w:r w:rsidR="009244FD" w:rsidRPr="009244FD">
        <w:rPr>
          <w:color w:val="000000"/>
        </w:rPr>
        <w:t xml:space="preserve"> </w:t>
      </w:r>
      <w:r w:rsidR="009244FD">
        <w:rPr>
          <w:color w:val="000000"/>
        </w:rPr>
        <w:t>aux systèmes à satellites non OSG du SFS susceptibles d'être exploités dans les bandes de fréquences</w:t>
      </w:r>
      <w:r w:rsidR="003228B3">
        <w:rPr>
          <w:lang w:val="fr-CH"/>
        </w:rPr>
        <w:t xml:space="preserve"> </w:t>
      </w:r>
      <w:r w:rsidRPr="00730563">
        <w:rPr>
          <w:lang w:val="fr-CH"/>
        </w:rPr>
        <w:t>37</w:t>
      </w:r>
      <w:r w:rsidR="00F314D8">
        <w:rPr>
          <w:lang w:val="fr-CH"/>
        </w:rPr>
        <w:t>,</w:t>
      </w:r>
      <w:r w:rsidRPr="00730563">
        <w:rPr>
          <w:lang w:val="fr-CH"/>
        </w:rPr>
        <w:t>5-42</w:t>
      </w:r>
      <w:r w:rsidR="00F314D8">
        <w:rPr>
          <w:lang w:val="fr-CH"/>
        </w:rPr>
        <w:t>,</w:t>
      </w:r>
      <w:r w:rsidRPr="00730563">
        <w:rPr>
          <w:lang w:val="fr-CH"/>
        </w:rPr>
        <w:t xml:space="preserve">5 GHz </w:t>
      </w:r>
      <w:r w:rsidR="009244FD">
        <w:rPr>
          <w:color w:val="000000"/>
        </w:rPr>
        <w:t>(espace vers Terre</w:t>
      </w:r>
      <w:r w:rsidR="00BF2826">
        <w:rPr>
          <w:color w:val="000000"/>
        </w:rPr>
        <w:t>)</w:t>
      </w:r>
      <w:r w:rsidR="00FD175A">
        <w:rPr>
          <w:color w:val="000000"/>
        </w:rPr>
        <w:t xml:space="preserve"> </w:t>
      </w:r>
      <w:r w:rsidR="009244FD" w:rsidRPr="00730563">
        <w:rPr>
          <w:lang w:val="fr-CH"/>
        </w:rPr>
        <w:t xml:space="preserve">et </w:t>
      </w:r>
      <w:r w:rsidR="00BB138D">
        <w:rPr>
          <w:lang w:val="fr-CH"/>
        </w:rPr>
        <w:t>47</w:t>
      </w:r>
      <w:r w:rsidR="00F314D8">
        <w:rPr>
          <w:lang w:val="fr-CH"/>
        </w:rPr>
        <w:t>,</w:t>
      </w:r>
      <w:r w:rsidR="00BB138D">
        <w:rPr>
          <w:lang w:val="fr-CH"/>
        </w:rPr>
        <w:t>2-50</w:t>
      </w:r>
      <w:r w:rsidR="00F314D8">
        <w:rPr>
          <w:lang w:val="fr-CH"/>
        </w:rPr>
        <w:t>,</w:t>
      </w:r>
      <w:r w:rsidR="00BB138D">
        <w:rPr>
          <w:lang w:val="fr-CH"/>
        </w:rPr>
        <w:t>2 GHz, 50</w:t>
      </w:r>
      <w:r w:rsidR="00F314D8">
        <w:rPr>
          <w:lang w:val="fr-CH"/>
        </w:rPr>
        <w:t>,</w:t>
      </w:r>
      <w:r w:rsidR="00BB138D">
        <w:rPr>
          <w:lang w:val="fr-CH"/>
        </w:rPr>
        <w:t>4-51</w:t>
      </w:r>
      <w:r w:rsidR="00F314D8">
        <w:rPr>
          <w:lang w:val="fr-CH"/>
        </w:rPr>
        <w:t>,</w:t>
      </w:r>
      <w:r w:rsidR="00BB138D">
        <w:rPr>
          <w:lang w:val="fr-CH"/>
        </w:rPr>
        <w:t>4 GHz</w:t>
      </w:r>
      <w:r w:rsidR="009244FD" w:rsidRPr="00730563">
        <w:rPr>
          <w:lang w:val="fr-CH"/>
        </w:rPr>
        <w:t xml:space="preserve"> et</w:t>
      </w:r>
      <w:r w:rsidR="003228B3">
        <w:rPr>
          <w:lang w:val="fr-CH"/>
        </w:rPr>
        <w:t xml:space="preserve"> </w:t>
      </w:r>
      <w:r w:rsidRPr="00730563">
        <w:rPr>
          <w:lang w:val="fr-CH"/>
        </w:rPr>
        <w:t>51</w:t>
      </w:r>
      <w:r w:rsidR="00F314D8">
        <w:rPr>
          <w:lang w:val="fr-CH"/>
        </w:rPr>
        <w:t>,</w:t>
      </w:r>
      <w:r w:rsidRPr="00730563">
        <w:rPr>
          <w:lang w:val="fr-CH"/>
        </w:rPr>
        <w:t>4-52</w:t>
      </w:r>
      <w:r w:rsidR="00F314D8">
        <w:rPr>
          <w:lang w:val="fr-CH"/>
        </w:rPr>
        <w:t>,</w:t>
      </w:r>
      <w:r w:rsidRPr="00730563">
        <w:rPr>
          <w:lang w:val="fr-CH"/>
        </w:rPr>
        <w:t xml:space="preserve">4 GHz </w:t>
      </w:r>
      <w:r w:rsidR="009244FD">
        <w:rPr>
          <w:color w:val="000000"/>
        </w:rPr>
        <w:t>(Terre vers espace), ou dans des parties de ces bandes, afin de garantir une protection adéquate des réseaux à satellite OSG du SFS, du SMS et</w:t>
      </w:r>
      <w:r w:rsidR="003228B3">
        <w:rPr>
          <w:color w:val="000000"/>
        </w:rPr>
        <w:t xml:space="preserve"> </w:t>
      </w:r>
      <w:r w:rsidR="009244FD">
        <w:rPr>
          <w:color w:val="000000"/>
        </w:rPr>
        <w:t xml:space="preserve">du SRS, sans pour autant limiter le développement futur des réseaux OSG dans </w:t>
      </w:r>
      <w:r w:rsidR="00BB138D">
        <w:rPr>
          <w:color w:val="000000"/>
        </w:rPr>
        <w:t>ces bandes</w:t>
      </w:r>
      <w:r w:rsidR="009244FD">
        <w:rPr>
          <w:color w:val="000000"/>
        </w:rPr>
        <w:t>, ni lui imposer de contraintes excessives</w:t>
      </w:r>
      <w:r w:rsidR="003228B3">
        <w:rPr>
          <w:color w:val="000000"/>
        </w:rPr>
        <w:t>;</w:t>
      </w:r>
    </w:p>
    <w:p w:rsidR="00A846F5" w:rsidRPr="00730563" w:rsidRDefault="00A846F5" w:rsidP="00425FA3">
      <w:pPr>
        <w:rPr>
          <w:lang w:val="fr-CH"/>
        </w:rPr>
      </w:pPr>
      <w:r w:rsidRPr="00730563">
        <w:rPr>
          <w:lang w:val="fr-CH"/>
        </w:rPr>
        <w:t>4</w:t>
      </w:r>
      <w:r w:rsidRPr="00730563">
        <w:rPr>
          <w:lang w:val="fr-CH"/>
        </w:rPr>
        <w:tab/>
      </w:r>
      <w:r w:rsidR="009244FD" w:rsidRPr="00730563">
        <w:rPr>
          <w:lang w:val="fr-CH"/>
        </w:rPr>
        <w:t>à privilégier de préférence, lorsqu</w:t>
      </w:r>
      <w:r w:rsidR="00B979D7">
        <w:rPr>
          <w:lang w:val="fr-CH"/>
        </w:rPr>
        <w:t>'</w:t>
      </w:r>
      <w:r w:rsidR="009244FD" w:rsidRPr="00730563">
        <w:rPr>
          <w:lang w:val="fr-CH"/>
        </w:rPr>
        <w:t>il procédera aux études visées au point</w:t>
      </w:r>
      <w:r w:rsidR="003228B3">
        <w:rPr>
          <w:lang w:val="fr-CH"/>
        </w:rPr>
        <w:t xml:space="preserve"> </w:t>
      </w:r>
      <w:r w:rsidR="009244FD" w:rsidRPr="00730563">
        <w:rPr>
          <w:lang w:val="fr-CH"/>
        </w:rPr>
        <w:t xml:space="preserve">3 du </w:t>
      </w:r>
      <w:r w:rsidR="009244FD" w:rsidRPr="00FD175A">
        <w:rPr>
          <w:i/>
          <w:iCs/>
          <w:lang w:val="fr-CH"/>
        </w:rPr>
        <w:t>décide</w:t>
      </w:r>
      <w:r w:rsidR="009244FD" w:rsidRPr="00730563">
        <w:rPr>
          <w:lang w:val="fr-CH"/>
        </w:rPr>
        <w:t>,</w:t>
      </w:r>
      <w:r w:rsidR="003228B3">
        <w:rPr>
          <w:lang w:val="fr-CH"/>
        </w:rPr>
        <w:t xml:space="preserve"> </w:t>
      </w:r>
      <w:r w:rsidR="009244FD" w:rsidRPr="00730563">
        <w:rPr>
          <w:lang w:val="fr-CH"/>
        </w:rPr>
        <w:t>l</w:t>
      </w:r>
      <w:r w:rsidR="00B979D7">
        <w:rPr>
          <w:lang w:val="fr-CH"/>
        </w:rPr>
        <w:t>'</w:t>
      </w:r>
      <w:r w:rsidR="009244FD" w:rsidRPr="00730563">
        <w:rPr>
          <w:lang w:val="fr-CH"/>
        </w:rPr>
        <w:t>élaboration de limites de puissance surfacique équivalente produites en tout point de l</w:t>
      </w:r>
      <w:r w:rsidR="00B979D7">
        <w:rPr>
          <w:lang w:val="fr-CH"/>
        </w:rPr>
        <w:t>'</w:t>
      </w:r>
      <w:r w:rsidR="009244FD" w:rsidRPr="00730563">
        <w:rPr>
          <w:lang w:val="fr-CH"/>
        </w:rPr>
        <w:t>OSG par les émissions provenant de toutes les stations terriennes d</w:t>
      </w:r>
      <w:r w:rsidR="00B979D7">
        <w:rPr>
          <w:lang w:val="fr-CH"/>
        </w:rPr>
        <w:t>'</w:t>
      </w:r>
      <w:r w:rsidR="009244FD" w:rsidRPr="00730563">
        <w:rPr>
          <w:lang w:val="fr-CH"/>
        </w:rPr>
        <w:t>un système non OSG du service fixe par satellite</w:t>
      </w:r>
      <w:r w:rsidR="00335850" w:rsidRPr="00730563">
        <w:rPr>
          <w:lang w:val="fr-CH"/>
        </w:rPr>
        <w:t xml:space="preserve">, ou vers toute station terrienne </w:t>
      </w:r>
      <w:r w:rsidR="00BB138D">
        <w:rPr>
          <w:color w:val="000000"/>
        </w:rPr>
        <w:t>d'un système</w:t>
      </w:r>
      <w:r w:rsidR="00335850" w:rsidRPr="00335850">
        <w:rPr>
          <w:color w:val="000000"/>
        </w:rPr>
        <w:t xml:space="preserve"> </w:t>
      </w:r>
      <w:r w:rsidR="00335850">
        <w:rPr>
          <w:color w:val="000000"/>
        </w:rPr>
        <w:t>géostationnaire</w:t>
      </w:r>
      <w:r w:rsidR="00335850" w:rsidRPr="00730563">
        <w:rPr>
          <w:lang w:val="fr-CH"/>
        </w:rPr>
        <w:t xml:space="preserve"> du service fixe par satellite</w:t>
      </w:r>
      <w:r w:rsidR="003228B3">
        <w:rPr>
          <w:lang w:val="fr-CH"/>
        </w:rPr>
        <w:t>,</w:t>
      </w:r>
      <w:r w:rsidR="00335850" w:rsidRPr="00730563">
        <w:rPr>
          <w:lang w:val="fr-CH"/>
        </w:rPr>
        <w:t xml:space="preserve"> selon le cas</w:t>
      </w:r>
      <w:r w:rsidR="003228B3">
        <w:rPr>
          <w:lang w:val="fr-CH"/>
        </w:rPr>
        <w:t>;</w:t>
      </w:r>
    </w:p>
    <w:p w:rsidR="00A846F5" w:rsidRPr="00730563" w:rsidRDefault="00A846F5" w:rsidP="00F314D8">
      <w:pPr>
        <w:rPr>
          <w:lang w:val="fr-CH"/>
        </w:rPr>
      </w:pPr>
      <w:r w:rsidRPr="00730563">
        <w:rPr>
          <w:lang w:val="fr-CH"/>
        </w:rPr>
        <w:t>5</w:t>
      </w:r>
      <w:r w:rsidRPr="00730563">
        <w:rPr>
          <w:lang w:val="fr-CH"/>
        </w:rPr>
        <w:tab/>
      </w:r>
      <w:r w:rsidR="00335850" w:rsidRPr="00730563">
        <w:rPr>
          <w:lang w:val="fr-CH"/>
        </w:rPr>
        <w:t>à étudier et à élaborer les dispositions réglementaires appropriées applicables aux systèmes non OSG, afin de limiter l</w:t>
      </w:r>
      <w:r w:rsidR="00B979D7">
        <w:rPr>
          <w:lang w:val="fr-CH"/>
        </w:rPr>
        <w:t>'</w:t>
      </w:r>
      <w:r w:rsidR="00335850" w:rsidRPr="00730563">
        <w:rPr>
          <w:lang w:val="fr-CH"/>
        </w:rPr>
        <w:t>utilisation de la bande</w:t>
      </w:r>
      <w:r w:rsidR="00674DB5">
        <w:rPr>
          <w:lang w:val="fr-CH"/>
        </w:rPr>
        <w:t xml:space="preserve"> </w:t>
      </w:r>
      <w:r w:rsidR="00335850" w:rsidRPr="00730563">
        <w:rPr>
          <w:lang w:val="fr-CH"/>
        </w:rPr>
        <w:t>47</w:t>
      </w:r>
      <w:r w:rsidR="00F314D8">
        <w:rPr>
          <w:lang w:val="fr-CH"/>
        </w:rPr>
        <w:t>,</w:t>
      </w:r>
      <w:r w:rsidR="00335850" w:rsidRPr="00730563">
        <w:rPr>
          <w:lang w:val="fr-CH"/>
        </w:rPr>
        <w:t>2-48</w:t>
      </w:r>
      <w:r w:rsidR="00F314D8">
        <w:rPr>
          <w:lang w:val="fr-CH"/>
        </w:rPr>
        <w:t>,</w:t>
      </w:r>
      <w:r w:rsidR="00335850" w:rsidRPr="00730563">
        <w:rPr>
          <w:lang w:val="fr-CH"/>
        </w:rPr>
        <w:t>9 GHz par ces systèmes aux liaisons de connexion</w:t>
      </w:r>
      <w:r w:rsidR="003228B3">
        <w:rPr>
          <w:lang w:val="fr-CH"/>
        </w:rPr>
        <w:t xml:space="preserve"> </w:t>
      </w:r>
      <w:r w:rsidR="00335850" w:rsidRPr="00730563">
        <w:rPr>
          <w:lang w:val="fr-CH"/>
        </w:rPr>
        <w:t>seulement</w:t>
      </w:r>
      <w:r w:rsidR="003228B3">
        <w:rPr>
          <w:lang w:val="fr-CH"/>
        </w:rPr>
        <w:t>;</w:t>
      </w:r>
    </w:p>
    <w:p w:rsidR="00A846F5" w:rsidRPr="00730563" w:rsidRDefault="00A846F5" w:rsidP="00425FA3">
      <w:pPr>
        <w:rPr>
          <w:lang w:val="fr-CH"/>
        </w:rPr>
      </w:pPr>
      <w:r w:rsidRPr="00730563">
        <w:rPr>
          <w:lang w:val="fr-CH"/>
        </w:rPr>
        <w:lastRenderedPageBreak/>
        <w:t xml:space="preserve">6 </w:t>
      </w:r>
      <w:r w:rsidRPr="00730563">
        <w:rPr>
          <w:lang w:val="fr-CH"/>
        </w:rPr>
        <w:tab/>
      </w:r>
      <w:r w:rsidR="00335850" w:rsidRPr="00730563">
        <w:rPr>
          <w:lang w:val="fr-CH"/>
        </w:rPr>
        <w:t xml:space="preserve">à étudier et à définir les conditions dans lesquelles différents systèmes non OSG du SFS peuvent fonctionner dans les bandes énumérées au point 3 du </w:t>
      </w:r>
      <w:r w:rsidR="00335850" w:rsidRPr="00F314D8">
        <w:rPr>
          <w:i/>
          <w:iCs/>
          <w:lang w:val="fr-CH"/>
        </w:rPr>
        <w:t>décide</w:t>
      </w:r>
      <w:r w:rsidR="00335850" w:rsidRPr="00730563">
        <w:rPr>
          <w:lang w:val="fr-CH"/>
        </w:rPr>
        <w:t xml:space="preserve"> ci-dessus</w:t>
      </w:r>
      <w:r w:rsidR="003228B3">
        <w:rPr>
          <w:lang w:val="fr-CH"/>
        </w:rPr>
        <w:t>;</w:t>
      </w:r>
    </w:p>
    <w:p w:rsidR="00A846F5" w:rsidRPr="00730563" w:rsidRDefault="00A846F5" w:rsidP="00F314D8">
      <w:pPr>
        <w:rPr>
          <w:lang w:val="fr-CH"/>
        </w:rPr>
      </w:pPr>
      <w:r w:rsidRPr="00730563">
        <w:rPr>
          <w:lang w:val="fr-CH"/>
        </w:rPr>
        <w:t>7</w:t>
      </w:r>
      <w:r w:rsidRPr="00730563">
        <w:rPr>
          <w:lang w:val="fr-CH"/>
        </w:rPr>
        <w:tab/>
      </w:r>
      <w:r w:rsidR="00335850" w:rsidRPr="00730563">
        <w:rPr>
          <w:lang w:val="fr-CH"/>
        </w:rPr>
        <w:t>à étudier et à élaborer des dispositions en vue de modifier éventuellement la Résolution</w:t>
      </w:r>
      <w:r w:rsidR="003228B3">
        <w:rPr>
          <w:lang w:val="fr-CH"/>
        </w:rPr>
        <w:t xml:space="preserve"> </w:t>
      </w:r>
      <w:r w:rsidRPr="00730563">
        <w:rPr>
          <w:rStyle w:val="Artdef"/>
          <w:lang w:val="fr-CH"/>
        </w:rPr>
        <w:t>750 (</w:t>
      </w:r>
      <w:r w:rsidR="00F10722">
        <w:rPr>
          <w:rStyle w:val="Artdef"/>
          <w:lang w:val="fr-CH"/>
        </w:rPr>
        <w:t>Rév</w:t>
      </w:r>
      <w:r w:rsidRPr="00730563">
        <w:rPr>
          <w:rStyle w:val="Artdef"/>
          <w:lang w:val="fr-CH"/>
        </w:rPr>
        <w:t>.</w:t>
      </w:r>
      <w:r w:rsidR="00F50032">
        <w:rPr>
          <w:rStyle w:val="Artdef"/>
          <w:lang w:val="fr-CH"/>
        </w:rPr>
        <w:t>CMR</w:t>
      </w:r>
      <w:r w:rsidRPr="00730563">
        <w:rPr>
          <w:rStyle w:val="Artdef"/>
          <w:lang w:val="fr-CH"/>
        </w:rPr>
        <w:t>-12)</w:t>
      </w:r>
      <w:r w:rsidR="003228B3">
        <w:rPr>
          <w:lang w:val="fr-CH"/>
        </w:rPr>
        <w:t>,</w:t>
      </w:r>
      <w:r w:rsidR="00335850" w:rsidRPr="00730563">
        <w:rPr>
          <w:lang w:val="fr-CH"/>
        </w:rPr>
        <w:t xml:space="preserve"> afin que les systèmes fonctionnant dans les bandes passives au-dessus de</w:t>
      </w:r>
      <w:r w:rsidR="003228B3">
        <w:rPr>
          <w:lang w:val="fr-CH"/>
        </w:rPr>
        <w:t xml:space="preserve"> </w:t>
      </w:r>
      <w:r w:rsidRPr="00730563">
        <w:rPr>
          <w:lang w:val="fr-CH"/>
        </w:rPr>
        <w:t>52</w:t>
      </w:r>
      <w:r w:rsidR="00F314D8">
        <w:rPr>
          <w:lang w:val="fr-CH"/>
        </w:rPr>
        <w:t>,</w:t>
      </w:r>
      <w:r w:rsidRPr="00730563">
        <w:rPr>
          <w:lang w:val="fr-CH"/>
        </w:rPr>
        <w:t>6</w:t>
      </w:r>
      <w:r w:rsidR="00F314D8">
        <w:rPr>
          <w:lang w:val="fr-CH"/>
        </w:rPr>
        <w:t> </w:t>
      </w:r>
      <w:r w:rsidRPr="00730563">
        <w:rPr>
          <w:lang w:val="fr-CH"/>
        </w:rPr>
        <w:t xml:space="preserve">GHz </w:t>
      </w:r>
      <w:r w:rsidR="00335850" w:rsidRPr="00730563">
        <w:rPr>
          <w:lang w:val="fr-CH"/>
        </w:rPr>
        <w:t>continuent de bénéficier d</w:t>
      </w:r>
      <w:r w:rsidR="00B979D7">
        <w:rPr>
          <w:lang w:val="fr-CH"/>
        </w:rPr>
        <w:t>'</w:t>
      </w:r>
      <w:r w:rsidR="00335850" w:rsidRPr="00730563">
        <w:rPr>
          <w:lang w:val="fr-CH"/>
        </w:rPr>
        <w:t>une protection et</w:t>
      </w:r>
      <w:r w:rsidR="00674DB5">
        <w:rPr>
          <w:lang w:val="fr-CH"/>
        </w:rPr>
        <w:t xml:space="preserve"> à</w:t>
      </w:r>
      <w:r w:rsidR="00CB559D" w:rsidRPr="00730563">
        <w:rPr>
          <w:lang w:val="fr-CH"/>
        </w:rPr>
        <w:t xml:space="preserve"> déterminer, dans le cadre des études visées dans le </w:t>
      </w:r>
      <w:r w:rsidR="00CB559D" w:rsidRPr="0081024B">
        <w:rPr>
          <w:i/>
          <w:iCs/>
          <w:lang w:val="fr-CH"/>
        </w:rPr>
        <w:t>décide</w:t>
      </w:r>
      <w:r w:rsidR="00CB559D" w:rsidRPr="00730563">
        <w:rPr>
          <w:lang w:val="fr-CH"/>
        </w:rPr>
        <w:t xml:space="preserve"> ci-dessus, si les limites des émissions hors bande imposées au SFS dans le Tableau</w:t>
      </w:r>
      <w:r w:rsidR="00F314D8">
        <w:rPr>
          <w:lang w:val="fr-CH"/>
        </w:rPr>
        <w:t> </w:t>
      </w:r>
      <w:r w:rsidR="00CB559D" w:rsidRPr="00730563">
        <w:rPr>
          <w:lang w:val="fr-CH"/>
        </w:rPr>
        <w:t>1</w:t>
      </w:r>
      <w:r w:rsidR="00F314D8">
        <w:rPr>
          <w:lang w:val="fr-CH"/>
        </w:rPr>
        <w:noBreakHyphen/>
      </w:r>
      <w:r w:rsidR="00CB559D" w:rsidRPr="00730563">
        <w:rPr>
          <w:lang w:val="fr-CH"/>
        </w:rPr>
        <w:t xml:space="preserve">1 de la </w:t>
      </w:r>
      <w:r w:rsidR="00BB138D">
        <w:rPr>
          <w:lang w:val="fr-CH"/>
        </w:rPr>
        <w:t>Résolution</w:t>
      </w:r>
      <w:r w:rsidR="00CB559D" w:rsidRPr="00730563">
        <w:rPr>
          <w:lang w:val="fr-CH"/>
        </w:rPr>
        <w:t xml:space="preserve"> </w:t>
      </w:r>
      <w:r w:rsidR="00CB559D" w:rsidRPr="00730563">
        <w:rPr>
          <w:rStyle w:val="Artdef"/>
          <w:lang w:val="fr-CH"/>
        </w:rPr>
        <w:t>750 (</w:t>
      </w:r>
      <w:r w:rsidR="00F10722">
        <w:rPr>
          <w:rStyle w:val="Artdef"/>
          <w:lang w:val="fr-CH"/>
        </w:rPr>
        <w:t>Rév</w:t>
      </w:r>
      <w:r w:rsidR="00CB559D" w:rsidRPr="00730563">
        <w:rPr>
          <w:rStyle w:val="Artdef"/>
          <w:lang w:val="fr-CH"/>
        </w:rPr>
        <w:t>.</w:t>
      </w:r>
      <w:r w:rsidR="00F50032">
        <w:rPr>
          <w:rStyle w:val="Artdef"/>
          <w:lang w:val="fr-CH"/>
        </w:rPr>
        <w:t>CMR</w:t>
      </w:r>
      <w:r w:rsidR="00CB559D" w:rsidRPr="00730563">
        <w:rPr>
          <w:rStyle w:val="Artdef"/>
          <w:lang w:val="fr-CH"/>
        </w:rPr>
        <w:t>-12</w:t>
      </w:r>
      <w:r w:rsidR="00BF2826">
        <w:rPr>
          <w:rStyle w:val="Artdef"/>
          <w:lang w:val="fr-CH"/>
        </w:rPr>
        <w:t>)</w:t>
      </w:r>
      <w:r w:rsidR="00CB559D" w:rsidRPr="00730563">
        <w:rPr>
          <w:lang w:val="fr-CH"/>
        </w:rPr>
        <w:t>vis-à-vis</w:t>
      </w:r>
      <w:r w:rsidR="003228B3">
        <w:rPr>
          <w:lang w:val="fr-CH"/>
        </w:rPr>
        <w:t xml:space="preserve"> </w:t>
      </w:r>
      <w:r w:rsidR="00CB559D" w:rsidRPr="00730563">
        <w:rPr>
          <w:lang w:val="fr-CH"/>
        </w:rPr>
        <w:t>de la bande passive</w:t>
      </w:r>
      <w:r w:rsidR="003228B3">
        <w:rPr>
          <w:lang w:val="fr-CH"/>
        </w:rPr>
        <w:t xml:space="preserve"> </w:t>
      </w:r>
      <w:r w:rsidRPr="00730563">
        <w:rPr>
          <w:lang w:val="fr-CH"/>
        </w:rPr>
        <w:t>50</w:t>
      </w:r>
      <w:r w:rsidR="00F314D8">
        <w:rPr>
          <w:lang w:val="fr-CH"/>
        </w:rPr>
        <w:t>,</w:t>
      </w:r>
      <w:r w:rsidRPr="00730563">
        <w:rPr>
          <w:lang w:val="fr-CH"/>
        </w:rPr>
        <w:t>2-50</w:t>
      </w:r>
      <w:r w:rsidR="00F314D8">
        <w:rPr>
          <w:lang w:val="fr-CH"/>
        </w:rPr>
        <w:t>,</w:t>
      </w:r>
      <w:r w:rsidRPr="00730563">
        <w:rPr>
          <w:lang w:val="fr-CH"/>
        </w:rPr>
        <w:t xml:space="preserve">4 GHz </w:t>
      </w:r>
      <w:r w:rsidR="00CB559D" w:rsidRPr="00730563">
        <w:rPr>
          <w:lang w:val="fr-CH"/>
        </w:rPr>
        <w:t>sont toujours approprié</w:t>
      </w:r>
      <w:r w:rsidR="00674DB5">
        <w:rPr>
          <w:lang w:val="fr-CH"/>
        </w:rPr>
        <w:t>e</w:t>
      </w:r>
      <w:r w:rsidR="00CB559D" w:rsidRPr="00730563">
        <w:rPr>
          <w:lang w:val="fr-CH"/>
        </w:rPr>
        <w:t xml:space="preserve">s, </w:t>
      </w:r>
      <w:r w:rsidR="00CB559D">
        <w:rPr>
          <w:color w:val="000000"/>
        </w:rPr>
        <w:t xml:space="preserve">compte tenu des renseignements actualisés relatifs aux systèmes à satellites </w:t>
      </w:r>
      <w:r w:rsidR="00CB559D" w:rsidRPr="00730563">
        <w:rPr>
          <w:lang w:val="fr-CH"/>
        </w:rPr>
        <w:t>OSG</w:t>
      </w:r>
      <w:r w:rsidR="003228B3">
        <w:rPr>
          <w:lang w:val="fr-CH"/>
        </w:rPr>
        <w:t xml:space="preserve"> </w:t>
      </w:r>
      <w:r w:rsidR="00CB559D" w:rsidRPr="00730563">
        <w:rPr>
          <w:lang w:val="fr-CH"/>
        </w:rPr>
        <w:t xml:space="preserve">et </w:t>
      </w:r>
      <w:r w:rsidR="00CB559D">
        <w:rPr>
          <w:color w:val="000000"/>
        </w:rPr>
        <w:t>non OSG</w:t>
      </w:r>
      <w:r w:rsidR="003228B3">
        <w:rPr>
          <w:lang w:val="fr-CH"/>
        </w:rPr>
        <w:t>;</w:t>
      </w:r>
    </w:p>
    <w:p w:rsidR="00A846F5" w:rsidRPr="00730563" w:rsidRDefault="00A846F5" w:rsidP="00F314D8">
      <w:pPr>
        <w:rPr>
          <w:lang w:val="fr-CH"/>
        </w:rPr>
      </w:pPr>
      <w:r w:rsidRPr="00730563">
        <w:rPr>
          <w:lang w:val="fr-CH"/>
        </w:rPr>
        <w:t>8</w:t>
      </w:r>
      <w:r w:rsidRPr="00730563">
        <w:rPr>
          <w:lang w:val="fr-CH"/>
        </w:rPr>
        <w:tab/>
      </w:r>
      <w:r w:rsidR="00CB559D" w:rsidRPr="00730563">
        <w:rPr>
          <w:lang w:val="fr-CH"/>
        </w:rPr>
        <w:t>à faire en sorte que, lorsque les études seront effectuées, les dispositions énon</w:t>
      </w:r>
      <w:r w:rsidR="00674DB5">
        <w:rPr>
          <w:lang w:val="fr-CH"/>
        </w:rPr>
        <w:t>cées dans l</w:t>
      </w:r>
      <w:r w:rsidR="00B979D7">
        <w:rPr>
          <w:lang w:val="fr-CH"/>
        </w:rPr>
        <w:t>'</w:t>
      </w:r>
      <w:r w:rsidR="00674DB5">
        <w:rPr>
          <w:lang w:val="fr-CH"/>
        </w:rPr>
        <w:t>Article 21 ne soient pas</w:t>
      </w:r>
      <w:r w:rsidR="00CB559D" w:rsidRPr="00730563">
        <w:rPr>
          <w:lang w:val="fr-CH"/>
        </w:rPr>
        <w:t xml:space="preserve"> prises en compte</w:t>
      </w:r>
      <w:r w:rsidR="00FC70B5" w:rsidRPr="00730563">
        <w:rPr>
          <w:lang w:val="fr-CH"/>
        </w:rPr>
        <w:t xml:space="preserve"> aux fins de modification</w:t>
      </w:r>
      <w:r w:rsidR="00BF2826">
        <w:rPr>
          <w:lang w:val="fr-CH"/>
        </w:rPr>
        <w:t>,</w:t>
      </w:r>
    </w:p>
    <w:p w:rsidR="00A846F5" w:rsidRPr="00730563" w:rsidRDefault="00FC70B5" w:rsidP="00425FA3">
      <w:pPr>
        <w:pStyle w:val="Call"/>
        <w:rPr>
          <w:lang w:val="fr-CH"/>
        </w:rPr>
      </w:pPr>
      <w:r w:rsidRPr="00730563">
        <w:rPr>
          <w:lang w:val="fr-CH"/>
        </w:rPr>
        <w:t>décide en outre d</w:t>
      </w:r>
      <w:r w:rsidR="00B979D7">
        <w:rPr>
          <w:lang w:val="fr-CH"/>
        </w:rPr>
        <w:t>'</w:t>
      </w:r>
      <w:r w:rsidRPr="00730563">
        <w:rPr>
          <w:lang w:val="fr-CH"/>
        </w:rPr>
        <w:t xml:space="preserve">inviter la </w:t>
      </w:r>
      <w:r w:rsidR="00F50032">
        <w:rPr>
          <w:lang w:val="fr-CH"/>
        </w:rPr>
        <w:t>CMR</w:t>
      </w:r>
      <w:r w:rsidR="00674DB5">
        <w:rPr>
          <w:lang w:val="fr-CH"/>
        </w:rPr>
        <w:t>-19</w:t>
      </w:r>
    </w:p>
    <w:p w:rsidR="00A846F5" w:rsidRPr="00730563" w:rsidRDefault="00CB559D" w:rsidP="00425FA3">
      <w:pPr>
        <w:rPr>
          <w:lang w:val="fr-CH"/>
        </w:rPr>
      </w:pPr>
      <w:r>
        <w:rPr>
          <w:color w:val="000000"/>
        </w:rPr>
        <w:t>à examiner les résultats des études susmentionnées et à prendre les mesures appropriées</w:t>
      </w:r>
      <w:r w:rsidR="00BF2826">
        <w:rPr>
          <w:color w:val="000000"/>
        </w:rPr>
        <w:t>,</w:t>
      </w:r>
    </w:p>
    <w:p w:rsidR="00A846F5" w:rsidRPr="00730563" w:rsidRDefault="00A846F5" w:rsidP="00425FA3">
      <w:pPr>
        <w:pStyle w:val="Call"/>
        <w:rPr>
          <w:lang w:val="fr-CH"/>
        </w:rPr>
      </w:pPr>
      <w:r w:rsidRPr="00730563">
        <w:rPr>
          <w:lang w:val="fr-CH"/>
        </w:rPr>
        <w:t>invite</w:t>
      </w:r>
      <w:r w:rsidR="003228B3">
        <w:rPr>
          <w:lang w:val="fr-CH"/>
        </w:rPr>
        <w:t xml:space="preserve"> </w:t>
      </w:r>
      <w:r w:rsidR="00FC70B5" w:rsidRPr="00730563">
        <w:rPr>
          <w:lang w:val="fr-CH"/>
        </w:rPr>
        <w:t xml:space="preserve">les </w:t>
      </w:r>
      <w:r w:rsidRPr="00730563">
        <w:rPr>
          <w:lang w:val="fr-CH"/>
        </w:rPr>
        <w:t>administrations</w:t>
      </w:r>
    </w:p>
    <w:p w:rsidR="00A846F5" w:rsidRDefault="00FC70B5" w:rsidP="00425FA3">
      <w:pPr>
        <w:rPr>
          <w:lang w:val="fr-CH"/>
        </w:rPr>
      </w:pPr>
      <w:r w:rsidRPr="00730563">
        <w:rPr>
          <w:lang w:val="fr-CH"/>
        </w:rPr>
        <w:t>à participer aux études en soumettant des contributions à l</w:t>
      </w:r>
      <w:r w:rsidR="00B979D7">
        <w:rPr>
          <w:lang w:val="fr-CH"/>
        </w:rPr>
        <w:t>'</w:t>
      </w:r>
      <w:r w:rsidRPr="00730563">
        <w:rPr>
          <w:lang w:val="fr-CH"/>
        </w:rPr>
        <w:t>UIT-</w:t>
      </w:r>
      <w:r w:rsidR="00BF2826" w:rsidRPr="00730563">
        <w:rPr>
          <w:lang w:val="fr-CH"/>
        </w:rPr>
        <w:t>R.</w:t>
      </w:r>
    </w:p>
    <w:p w:rsidR="00EE5360" w:rsidRPr="00730563" w:rsidRDefault="00EE5360" w:rsidP="00EE5360">
      <w:pPr>
        <w:pStyle w:val="Reasons"/>
        <w:rPr>
          <w:lang w:val="fr-CH"/>
        </w:rPr>
      </w:pPr>
    </w:p>
    <w:p w:rsidR="00F97D03" w:rsidRPr="00730563" w:rsidRDefault="00F97D03" w:rsidP="00425FA3">
      <w:pPr>
        <w:tabs>
          <w:tab w:val="clear" w:pos="1134"/>
          <w:tab w:val="clear" w:pos="1871"/>
          <w:tab w:val="clear" w:pos="2268"/>
        </w:tabs>
        <w:overflowPunct/>
        <w:autoSpaceDE/>
        <w:autoSpaceDN/>
        <w:adjustRightInd/>
        <w:spacing w:before="0"/>
        <w:textAlignment w:val="auto"/>
        <w:rPr>
          <w:lang w:val="fr-CH"/>
        </w:rPr>
      </w:pPr>
      <w:r w:rsidRPr="00730563">
        <w:rPr>
          <w:lang w:val="fr-CH"/>
        </w:rPr>
        <w:br w:type="page"/>
      </w:r>
    </w:p>
    <w:p w:rsidR="00DE627D" w:rsidRPr="00730563" w:rsidRDefault="00DE627D" w:rsidP="00425FA3">
      <w:pPr>
        <w:pStyle w:val="Appendixtitle"/>
        <w:rPr>
          <w:rFonts w:eastAsiaTheme="minorEastAsia"/>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de l</w:t>
      </w:r>
      <w:r w:rsidR="00B979D7">
        <w:rPr>
          <w:lang w:val="fr-CH"/>
        </w:rPr>
        <w:t>'</w:t>
      </w:r>
      <w:r w:rsidRPr="00730563">
        <w:rPr>
          <w:lang w:val="fr-CH"/>
        </w:rPr>
        <w:t xml:space="preserve">ordre du jour de la </w:t>
      </w:r>
      <w:r w:rsidR="00F50032">
        <w:rPr>
          <w:lang w:val="fr-CH"/>
        </w:rPr>
        <w:t>CMR</w:t>
      </w:r>
      <w:r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FD175A" w:rsidTr="004E10E0">
        <w:tc>
          <w:tcPr>
            <w:tcW w:w="1418" w:type="dxa"/>
            <w:tcBorders>
              <w:top w:val="nil"/>
              <w:left w:val="nil"/>
              <w:bottom w:val="nil"/>
              <w:right w:val="nil"/>
            </w:tcBorders>
          </w:tcPr>
          <w:p w:rsidR="00FD175A" w:rsidRPr="00FD175A" w:rsidRDefault="00FD175A" w:rsidP="004E10E0">
            <w:pPr>
              <w:tabs>
                <w:tab w:val="clear" w:pos="1871"/>
                <w:tab w:val="clear" w:pos="2268"/>
                <w:tab w:val="left" w:pos="6123"/>
              </w:tabs>
              <w:rPr>
                <w:b/>
                <w:bCs/>
                <w:i/>
                <w:iCs/>
                <w:lang w:val="fr-CH"/>
              </w:rPr>
            </w:pPr>
            <w:r w:rsidRPr="00FD175A">
              <w:rPr>
                <w:b/>
                <w:bCs/>
                <w:i/>
                <w:iCs/>
                <w:lang w:val="fr-CH"/>
              </w:rPr>
              <w:t>Objet:</w:t>
            </w:r>
          </w:p>
        </w:tc>
        <w:tc>
          <w:tcPr>
            <w:tcW w:w="8221" w:type="dxa"/>
            <w:gridSpan w:val="2"/>
            <w:tcBorders>
              <w:top w:val="nil"/>
              <w:left w:val="nil"/>
              <w:bottom w:val="nil"/>
              <w:right w:val="nil"/>
            </w:tcBorders>
          </w:tcPr>
          <w:p w:rsidR="00FD175A" w:rsidRDefault="00FD175A" w:rsidP="00FD175A">
            <w:pPr>
              <w:tabs>
                <w:tab w:val="clear" w:pos="1871"/>
                <w:tab w:val="clear" w:pos="2268"/>
                <w:tab w:val="left" w:pos="6123"/>
              </w:tabs>
              <w:rPr>
                <w:b/>
                <w:bCs/>
                <w:i/>
                <w:iCs/>
                <w:lang w:val="fr-CH"/>
              </w:rPr>
            </w:pPr>
            <w:r w:rsidRPr="00730563">
              <w:rPr>
                <w:rStyle w:val="BRNormal"/>
                <w:lang w:val="fr-CH"/>
              </w:rPr>
              <w:t>Attribution</w:t>
            </w:r>
            <w:r>
              <w:rPr>
                <w:rStyle w:val="BRNormal"/>
                <w:lang w:val="fr-CH"/>
              </w:rPr>
              <w:t xml:space="preserve"> </w:t>
            </w:r>
            <w:r w:rsidRPr="00730563">
              <w:rPr>
                <w:rStyle w:val="BRNormal"/>
                <w:lang w:val="fr-CH"/>
              </w:rPr>
              <w:t>additionnelle</w:t>
            </w:r>
            <w:r>
              <w:rPr>
                <w:rStyle w:val="BRNormal"/>
                <w:lang w:val="fr-CH"/>
              </w:rPr>
              <w:t xml:space="preserve"> </w:t>
            </w:r>
            <w:r w:rsidRPr="00730563">
              <w:rPr>
                <w:rStyle w:val="BRNormal"/>
                <w:lang w:val="fr-CH"/>
              </w:rPr>
              <w:t>à titre primaire au service fixe par satellite (Terre vers espace</w:t>
            </w:r>
            <w:r>
              <w:rPr>
                <w:rStyle w:val="BRNormal"/>
                <w:lang w:val="fr-CH"/>
              </w:rPr>
              <w:t>)</w:t>
            </w:r>
            <w:r w:rsidR="00EE5360">
              <w:rPr>
                <w:rStyle w:val="BRNormal"/>
                <w:lang w:val="fr-CH"/>
              </w:rPr>
              <w:t xml:space="preserve"> </w:t>
            </w:r>
            <w:r w:rsidRPr="00730563">
              <w:rPr>
                <w:rStyle w:val="BRNormal"/>
                <w:lang w:val="fr-CH"/>
              </w:rPr>
              <w:t>dans la bande de fréquences</w:t>
            </w:r>
            <w:r>
              <w:rPr>
                <w:rStyle w:val="BRNormal"/>
                <w:lang w:val="fr-CH"/>
              </w:rPr>
              <w:t xml:space="preserve"> </w:t>
            </w:r>
            <w:r w:rsidRPr="00730563">
              <w:rPr>
                <w:rStyle w:val="BRNormal"/>
                <w:lang w:val="fr-CH"/>
              </w:rPr>
              <w:t>51</w:t>
            </w:r>
            <w:r>
              <w:rPr>
                <w:rStyle w:val="BRNormal"/>
                <w:lang w:val="fr-CH"/>
              </w:rPr>
              <w:t>,</w:t>
            </w:r>
            <w:r w:rsidRPr="00730563">
              <w:rPr>
                <w:rStyle w:val="BRNormal"/>
                <w:lang w:val="fr-CH"/>
              </w:rPr>
              <w:t>4-52</w:t>
            </w:r>
            <w:r>
              <w:rPr>
                <w:rStyle w:val="BRNormal"/>
                <w:lang w:val="fr-CH"/>
              </w:rPr>
              <w:t>,</w:t>
            </w:r>
            <w:r w:rsidRPr="00730563">
              <w:rPr>
                <w:rStyle w:val="BRNormal"/>
                <w:lang w:val="fr-CH"/>
              </w:rPr>
              <w:t>4 GHz et cadre</w:t>
            </w:r>
            <w:r>
              <w:rPr>
                <w:rStyle w:val="BRNormal"/>
                <w:lang w:val="fr-CH"/>
              </w:rPr>
              <w:t xml:space="preserve"> </w:t>
            </w:r>
            <w:r w:rsidRPr="00730563">
              <w:rPr>
                <w:rStyle w:val="BRNormal"/>
                <w:lang w:val="fr-CH"/>
              </w:rPr>
              <w:t>réglementaire</w:t>
            </w:r>
            <w:r>
              <w:rPr>
                <w:rStyle w:val="BRNormal"/>
                <w:lang w:val="fr-CH"/>
              </w:rPr>
              <w:t xml:space="preserve"> </w:t>
            </w:r>
            <w:r w:rsidRPr="00730563">
              <w:rPr>
                <w:rStyle w:val="BRNormal"/>
                <w:lang w:val="fr-CH"/>
              </w:rPr>
              <w:t>et conditions de partage dans les bandes</w:t>
            </w:r>
            <w:r>
              <w:rPr>
                <w:rStyle w:val="BRNormal"/>
                <w:lang w:val="fr-CH"/>
              </w:rPr>
              <w:t xml:space="preserve"> </w:t>
            </w:r>
            <w:r w:rsidRPr="00730563">
              <w:rPr>
                <w:rStyle w:val="BRNormal"/>
                <w:lang w:val="fr-CH"/>
              </w:rPr>
              <w:t>de la gamme</w:t>
            </w:r>
            <w:r>
              <w:rPr>
                <w:rStyle w:val="BRNormal"/>
                <w:lang w:val="fr-CH"/>
              </w:rPr>
              <w:t xml:space="preserve"> </w:t>
            </w:r>
            <w:r w:rsidRPr="00730563">
              <w:rPr>
                <w:rStyle w:val="BRNormal"/>
                <w:lang w:val="fr-CH"/>
              </w:rPr>
              <w:t>37</w:t>
            </w:r>
            <w:r>
              <w:rPr>
                <w:rStyle w:val="BRNormal"/>
                <w:lang w:val="fr-CH"/>
              </w:rPr>
              <w:t>,</w:t>
            </w:r>
            <w:r w:rsidRPr="00730563">
              <w:rPr>
                <w:rStyle w:val="BRNormal"/>
                <w:lang w:val="fr-CH"/>
              </w:rPr>
              <w:t>5-52</w:t>
            </w:r>
            <w:r>
              <w:rPr>
                <w:rStyle w:val="BRNormal"/>
                <w:lang w:val="fr-CH"/>
              </w:rPr>
              <w:t>,</w:t>
            </w:r>
            <w:r w:rsidRPr="00730563">
              <w:rPr>
                <w:rStyle w:val="BRNormal"/>
                <w:lang w:val="fr-CH"/>
              </w:rPr>
              <w:t>4 GHz entre les réseaux géostationnaires du service fixe par satellite et les systèmes à satellites non géostationnaires du service fixe par satellite</w:t>
            </w:r>
          </w:p>
        </w:tc>
      </w:tr>
      <w:tr w:rsidR="00FD175A" w:rsidTr="004E10E0">
        <w:tc>
          <w:tcPr>
            <w:tcW w:w="1418" w:type="dxa"/>
            <w:tcBorders>
              <w:top w:val="nil"/>
              <w:left w:val="nil"/>
              <w:bottom w:val="single" w:sz="4" w:space="0" w:color="auto"/>
              <w:right w:val="nil"/>
            </w:tcBorders>
          </w:tcPr>
          <w:p w:rsidR="00FD175A" w:rsidRPr="00FD175A" w:rsidRDefault="00FD175A" w:rsidP="00EE5360">
            <w:pPr>
              <w:tabs>
                <w:tab w:val="clear" w:pos="1871"/>
                <w:tab w:val="clear" w:pos="2268"/>
                <w:tab w:val="left" w:pos="6123"/>
              </w:tabs>
              <w:spacing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FD175A" w:rsidRDefault="00FD175A" w:rsidP="004E10E0">
            <w:pPr>
              <w:tabs>
                <w:tab w:val="clear" w:pos="1871"/>
                <w:tab w:val="clear" w:pos="2268"/>
                <w:tab w:val="left" w:pos="6123"/>
              </w:tabs>
              <w:rPr>
                <w:b/>
                <w:bCs/>
                <w:i/>
                <w:iCs/>
                <w:lang w:val="fr-CH"/>
              </w:rPr>
            </w:pPr>
            <w:r w:rsidRPr="00393191">
              <w:rPr>
                <w:lang w:val="en-US"/>
              </w:rPr>
              <w:t>CEPT</w:t>
            </w:r>
          </w:p>
        </w:tc>
      </w:tr>
      <w:tr w:rsidR="00FD175A" w:rsidRPr="00E83D60" w:rsidTr="004E10E0">
        <w:tc>
          <w:tcPr>
            <w:tcW w:w="9639" w:type="dxa"/>
            <w:gridSpan w:val="3"/>
            <w:tcBorders>
              <w:top w:val="single" w:sz="4" w:space="0" w:color="auto"/>
              <w:left w:val="nil"/>
              <w:bottom w:val="single" w:sz="4" w:space="0" w:color="auto"/>
              <w:right w:val="nil"/>
            </w:tcBorders>
          </w:tcPr>
          <w:p w:rsidR="00FD175A" w:rsidRPr="00730563" w:rsidRDefault="00FD175A" w:rsidP="004E10E0">
            <w:pPr>
              <w:rPr>
                <w:lang w:val="fr-CH"/>
              </w:rPr>
            </w:pPr>
            <w:r w:rsidRPr="00730563">
              <w:rPr>
                <w:b/>
                <w:bCs/>
                <w:i/>
                <w:iCs/>
                <w:lang w:val="fr-CH"/>
              </w:rPr>
              <w:t>Proposition:</w:t>
            </w:r>
          </w:p>
          <w:p w:rsidR="00FD175A" w:rsidRPr="00730563" w:rsidRDefault="00FD175A" w:rsidP="00EE5360">
            <w:pPr>
              <w:spacing w:after="40"/>
              <w:rPr>
                <w:b/>
                <w:i/>
                <w:lang w:val="fr-CH"/>
              </w:rPr>
            </w:pPr>
            <w:r w:rsidRPr="00730563">
              <w:rPr>
                <w:rStyle w:val="BRNormal"/>
                <w:lang w:val="fr-CH"/>
              </w:rPr>
              <w:t>Faire une attribution additionnelle à titre primaire au service fixe par satellite (Terre vers espace</w:t>
            </w:r>
            <w:r>
              <w:rPr>
                <w:rStyle w:val="BRNormal"/>
                <w:lang w:val="fr-CH"/>
              </w:rPr>
              <w:t>)</w:t>
            </w:r>
            <w:r w:rsidR="00F932E9">
              <w:rPr>
                <w:rStyle w:val="BRNormal"/>
                <w:lang w:val="fr-CH"/>
              </w:rPr>
              <w:t xml:space="preserve"> </w:t>
            </w:r>
            <w:r w:rsidRPr="00730563">
              <w:rPr>
                <w:rStyle w:val="BRNormal"/>
                <w:lang w:val="fr-CH"/>
              </w:rPr>
              <w:t>dans la bande de fréquences 51</w:t>
            </w:r>
            <w:r w:rsidR="00F932E9">
              <w:rPr>
                <w:rStyle w:val="BRNormal"/>
                <w:lang w:val="fr-CH"/>
              </w:rPr>
              <w:t>,</w:t>
            </w:r>
            <w:r w:rsidRPr="00730563">
              <w:rPr>
                <w:rStyle w:val="BRNormal"/>
                <w:lang w:val="fr-CH"/>
              </w:rPr>
              <w:t>4-52</w:t>
            </w:r>
            <w:r w:rsidR="00F932E9">
              <w:rPr>
                <w:rStyle w:val="BRNormal"/>
                <w:lang w:val="fr-CH"/>
              </w:rPr>
              <w:t>,</w:t>
            </w:r>
            <w:r w:rsidRPr="00730563">
              <w:rPr>
                <w:rStyle w:val="BRNormal"/>
                <w:lang w:val="fr-CH"/>
              </w:rPr>
              <w:t>4 GHz et élaborer un cadre réglementaire et définir des conditions de partage dans les bandes de la gamme 37</w:t>
            </w:r>
            <w:r w:rsidR="00F932E9">
              <w:rPr>
                <w:rStyle w:val="BRNormal"/>
                <w:lang w:val="fr-CH"/>
              </w:rPr>
              <w:t>,</w:t>
            </w:r>
            <w:r w:rsidRPr="00730563">
              <w:rPr>
                <w:rStyle w:val="BRNormal"/>
                <w:lang w:val="fr-CH"/>
              </w:rPr>
              <w:t>5-52</w:t>
            </w:r>
            <w:r w:rsidR="00F932E9">
              <w:rPr>
                <w:rStyle w:val="BRNormal"/>
                <w:lang w:val="fr-CH"/>
              </w:rPr>
              <w:t>,</w:t>
            </w:r>
            <w:r w:rsidRPr="00730563">
              <w:rPr>
                <w:rStyle w:val="BRNormal"/>
                <w:lang w:val="fr-CH"/>
              </w:rPr>
              <w:t>4 GHz entre les réseaux géostationnaires du service fixe par satellite et les systèmes non géostationnaires du service fixe par satellite, conformément à la Résolution</w:t>
            </w:r>
            <w:r>
              <w:rPr>
                <w:rStyle w:val="BRNormal"/>
                <w:lang w:val="fr-CH"/>
              </w:rPr>
              <w:t xml:space="preserve"> </w:t>
            </w:r>
            <w:r w:rsidRPr="00730563">
              <w:rPr>
                <w:rStyle w:val="Artdef"/>
                <w:lang w:val="fr-CH"/>
              </w:rPr>
              <w:t>[EUR-F10-5] (</w:t>
            </w:r>
            <w:r>
              <w:rPr>
                <w:rStyle w:val="Artdef"/>
                <w:lang w:val="fr-CH"/>
              </w:rPr>
              <w:t>CMR-15</w:t>
            </w:r>
            <w:r w:rsidRPr="00730563">
              <w:rPr>
                <w:rStyle w:val="Artdef"/>
                <w:lang w:val="fr-CH"/>
              </w:rPr>
              <w:t>)</w:t>
            </w:r>
            <w:r>
              <w:rPr>
                <w:rStyle w:val="BRNormal"/>
              </w:rPr>
              <w:t>.</w:t>
            </w:r>
          </w:p>
        </w:tc>
      </w:tr>
      <w:tr w:rsidR="00FD175A" w:rsidRPr="00714540" w:rsidTr="004E10E0">
        <w:tc>
          <w:tcPr>
            <w:tcW w:w="9639" w:type="dxa"/>
            <w:gridSpan w:val="3"/>
            <w:tcBorders>
              <w:top w:val="single" w:sz="4" w:space="0" w:color="auto"/>
              <w:left w:val="nil"/>
              <w:bottom w:val="single" w:sz="4" w:space="0" w:color="auto"/>
              <w:right w:val="nil"/>
            </w:tcBorders>
          </w:tcPr>
          <w:p w:rsidR="00FD175A" w:rsidRPr="00730563" w:rsidRDefault="00FD175A" w:rsidP="004E10E0">
            <w:pPr>
              <w:rPr>
                <w:b/>
                <w:bCs/>
                <w:i/>
                <w:iCs/>
                <w:lang w:val="fr-CH"/>
              </w:rPr>
            </w:pPr>
            <w:r w:rsidRPr="00730563">
              <w:rPr>
                <w:b/>
                <w:bCs/>
                <w:i/>
                <w:iCs/>
                <w:lang w:val="fr-CH"/>
              </w:rPr>
              <w:t>Contexte/motif:</w:t>
            </w:r>
          </w:p>
          <w:p w:rsidR="00FD175A" w:rsidRPr="00730563" w:rsidRDefault="00FD175A" w:rsidP="00EE5360">
            <w:pPr>
              <w:rPr>
                <w:lang w:val="fr-CH"/>
              </w:rPr>
            </w:pPr>
            <w:r w:rsidRPr="00730563">
              <w:rPr>
                <w:lang w:val="fr-CH"/>
              </w:rPr>
              <w:t>Dans les bandes Q/V</w:t>
            </w:r>
            <w:r>
              <w:rPr>
                <w:lang w:val="fr-CH"/>
              </w:rPr>
              <w:t>,</w:t>
            </w:r>
            <w:r w:rsidRPr="00730563">
              <w:rPr>
                <w:lang w:val="fr-CH"/>
              </w:rPr>
              <w:t xml:space="preserve"> la bande 42</w:t>
            </w:r>
            <w:r w:rsidR="00F932E9">
              <w:rPr>
                <w:lang w:val="fr-CH"/>
              </w:rPr>
              <w:t>,</w:t>
            </w:r>
            <w:r w:rsidRPr="00730563">
              <w:rPr>
                <w:lang w:val="fr-CH"/>
              </w:rPr>
              <w:t>5-43</w:t>
            </w:r>
            <w:r w:rsidR="00F932E9">
              <w:rPr>
                <w:lang w:val="fr-CH"/>
              </w:rPr>
              <w:t>,</w:t>
            </w:r>
            <w:r w:rsidRPr="00730563">
              <w:rPr>
                <w:lang w:val="fr-CH"/>
              </w:rPr>
              <w:t>5 GHz est attribuée au service fixe par satellite (Terre vers espace), mais n</w:t>
            </w:r>
            <w:r>
              <w:rPr>
                <w:lang w:val="fr-CH"/>
              </w:rPr>
              <w:t>'</w:t>
            </w:r>
            <w:r w:rsidRPr="00730563">
              <w:rPr>
                <w:lang w:val="fr-CH"/>
              </w:rPr>
              <w:t>est pas facile à utiliser du point de vue technique, étant donné que la bande contiguë au-dessous de 42</w:t>
            </w:r>
            <w:r w:rsidR="00F932E9">
              <w:rPr>
                <w:lang w:val="fr-CH"/>
              </w:rPr>
              <w:t>,</w:t>
            </w:r>
            <w:r w:rsidRPr="00730563">
              <w:rPr>
                <w:lang w:val="fr-CH"/>
              </w:rPr>
              <w:t>5 GHz est attribuée au service fixe par satellite (espace vers Terre</w:t>
            </w:r>
            <w:r>
              <w:rPr>
                <w:lang w:val="fr-CH"/>
              </w:rPr>
              <w:t>). E</w:t>
            </w:r>
            <w:r w:rsidRPr="00730563">
              <w:rPr>
                <w:lang w:val="fr-CH"/>
              </w:rPr>
              <w:t>tant donné que l</w:t>
            </w:r>
            <w:r>
              <w:rPr>
                <w:lang w:val="fr-CH"/>
              </w:rPr>
              <w:t>'</w:t>
            </w:r>
            <w:r w:rsidRPr="00730563">
              <w:rPr>
                <w:lang w:val="fr-CH"/>
              </w:rPr>
              <w:t>utilisation de la bande de fréquences</w:t>
            </w:r>
            <w:r>
              <w:rPr>
                <w:lang w:val="fr-CH"/>
              </w:rPr>
              <w:t xml:space="preserve"> </w:t>
            </w:r>
            <w:r w:rsidRPr="00730563">
              <w:rPr>
                <w:lang w:val="fr-CH"/>
              </w:rPr>
              <w:t>51</w:t>
            </w:r>
            <w:r w:rsidR="00F932E9">
              <w:rPr>
                <w:lang w:val="fr-CH"/>
              </w:rPr>
              <w:t>,</w:t>
            </w:r>
            <w:r w:rsidRPr="00730563">
              <w:rPr>
                <w:lang w:val="fr-CH"/>
              </w:rPr>
              <w:t>4-52</w:t>
            </w:r>
            <w:r w:rsidR="00F932E9">
              <w:rPr>
                <w:lang w:val="fr-CH"/>
              </w:rPr>
              <w:t>,</w:t>
            </w:r>
            <w:r w:rsidRPr="00730563">
              <w:rPr>
                <w:lang w:val="fr-CH"/>
              </w:rPr>
              <w:t>4 GHz pour permettre la mise en œuvre des systèmes à satellites à haut débit (HTS</w:t>
            </w:r>
            <w:r>
              <w:rPr>
                <w:lang w:val="fr-CH"/>
              </w:rPr>
              <w:t>)</w:t>
            </w:r>
            <w:r w:rsidR="00EE5360">
              <w:rPr>
                <w:lang w:val="fr-CH"/>
              </w:rPr>
              <w:t xml:space="preserve"> </w:t>
            </w:r>
            <w:r w:rsidRPr="00730563">
              <w:rPr>
                <w:lang w:val="fr-CH"/>
              </w:rPr>
              <w:t xml:space="preserve">de nouvelle génération suscite </w:t>
            </w:r>
            <w:r>
              <w:rPr>
                <w:lang w:val="fr-CH"/>
              </w:rPr>
              <w:t xml:space="preserve">actuellement </w:t>
            </w:r>
            <w:r w:rsidRPr="00730563">
              <w:rPr>
                <w:lang w:val="fr-CH"/>
              </w:rPr>
              <w:t>de l</w:t>
            </w:r>
            <w:r>
              <w:rPr>
                <w:lang w:val="fr-CH"/>
              </w:rPr>
              <w:t>'</w:t>
            </w:r>
            <w:r w:rsidRPr="00730563">
              <w:rPr>
                <w:lang w:val="fr-CH"/>
              </w:rPr>
              <w:t>intérêt, on pourrait utiliser cette bande en lieu et place de la bande</w:t>
            </w:r>
            <w:r>
              <w:rPr>
                <w:lang w:val="fr-CH"/>
              </w:rPr>
              <w:t xml:space="preserve"> </w:t>
            </w:r>
            <w:r w:rsidRPr="00730563">
              <w:rPr>
                <w:lang w:val="fr-CH"/>
              </w:rPr>
              <w:t>42</w:t>
            </w:r>
            <w:r>
              <w:rPr>
                <w:lang w:val="fr-CH"/>
              </w:rPr>
              <w:t>,</w:t>
            </w:r>
            <w:r w:rsidRPr="00730563">
              <w:rPr>
                <w:lang w:val="fr-CH"/>
              </w:rPr>
              <w:t>5-43</w:t>
            </w:r>
            <w:r>
              <w:rPr>
                <w:lang w:val="fr-CH"/>
              </w:rPr>
              <w:t>,</w:t>
            </w:r>
            <w:r w:rsidRPr="00730563">
              <w:rPr>
                <w:lang w:val="fr-CH"/>
              </w:rPr>
              <w:t>5 GHz</w:t>
            </w:r>
            <w:r>
              <w:rPr>
                <w:lang w:val="fr-CH"/>
              </w:rPr>
              <w:t>.</w:t>
            </w:r>
          </w:p>
          <w:p w:rsidR="00FD175A" w:rsidRPr="00730563" w:rsidRDefault="00FD175A" w:rsidP="00F932E9">
            <w:pPr>
              <w:rPr>
                <w:lang w:val="fr-CH"/>
              </w:rPr>
            </w:pPr>
            <w:r w:rsidRPr="00730563">
              <w:rPr>
                <w:lang w:val="fr-CH"/>
              </w:rPr>
              <w:t>On a élaboré par le passé un cadre réglementaire détaillé pour les bandes des</w:t>
            </w:r>
            <w:r>
              <w:rPr>
                <w:lang w:val="fr-CH"/>
              </w:rPr>
              <w:t xml:space="preserve"> </w:t>
            </w:r>
            <w:r w:rsidRPr="00730563">
              <w:rPr>
                <w:lang w:val="fr-CH"/>
              </w:rPr>
              <w:t xml:space="preserve">4/6 GHz, </w:t>
            </w:r>
            <w:r>
              <w:rPr>
                <w:lang w:val="fr-CH"/>
              </w:rPr>
              <w:t xml:space="preserve">des </w:t>
            </w:r>
            <w:r w:rsidRPr="00730563">
              <w:rPr>
                <w:lang w:val="fr-CH"/>
              </w:rPr>
              <w:t>10/14</w:t>
            </w:r>
            <w:r w:rsidR="00F932E9">
              <w:rPr>
                <w:lang w:val="fr-CH"/>
              </w:rPr>
              <w:t> </w:t>
            </w:r>
            <w:r w:rsidRPr="00730563">
              <w:rPr>
                <w:lang w:val="fr-CH"/>
              </w:rPr>
              <w:t xml:space="preserve">GHz et </w:t>
            </w:r>
            <w:r>
              <w:rPr>
                <w:lang w:val="fr-CH"/>
              </w:rPr>
              <w:t xml:space="preserve">des </w:t>
            </w:r>
            <w:r w:rsidRPr="00730563">
              <w:rPr>
                <w:lang w:val="fr-CH"/>
              </w:rPr>
              <w:t>17/30 GHz attribuées au SFS, ce qui a permis la coexistence opérationnelle entre</w:t>
            </w:r>
            <w:r>
              <w:rPr>
                <w:lang w:val="fr-CH"/>
              </w:rPr>
              <w:t xml:space="preserve"> les </w:t>
            </w:r>
            <w:r w:rsidRPr="00730563">
              <w:rPr>
                <w:lang w:val="fr-CH"/>
              </w:rPr>
              <w:t>systèmes OSG et</w:t>
            </w:r>
            <w:r>
              <w:rPr>
                <w:lang w:val="fr-CH"/>
              </w:rPr>
              <w:t xml:space="preserve"> les </w:t>
            </w:r>
            <w:r w:rsidRPr="00730563">
              <w:rPr>
                <w:lang w:val="fr-CH"/>
              </w:rPr>
              <w:t>systèmes non OSG</w:t>
            </w:r>
            <w:r>
              <w:rPr>
                <w:lang w:val="fr-CH"/>
              </w:rPr>
              <w:t xml:space="preserve"> </w:t>
            </w:r>
            <w:r w:rsidRPr="00730563">
              <w:rPr>
                <w:lang w:val="fr-CH"/>
              </w:rPr>
              <w:t>du SFS</w:t>
            </w:r>
            <w:r>
              <w:rPr>
                <w:lang w:val="fr-CH"/>
              </w:rPr>
              <w:t xml:space="preserve">. </w:t>
            </w:r>
            <w:r w:rsidRPr="00730563">
              <w:rPr>
                <w:lang w:val="fr-CH"/>
              </w:rPr>
              <w:t xml:space="preserve">En </w:t>
            </w:r>
            <w:r>
              <w:rPr>
                <w:lang w:val="fr-CH"/>
              </w:rPr>
              <w:t>rev</w:t>
            </w:r>
            <w:r w:rsidRPr="00730563">
              <w:rPr>
                <w:lang w:val="fr-CH"/>
              </w:rPr>
              <w:t>anche, le cadre réglementaire régissant la coexistence entre systèmes OSG et systèmes non OSG dans les bandes de la gamme 37</w:t>
            </w:r>
            <w:r>
              <w:rPr>
                <w:lang w:val="fr-CH"/>
              </w:rPr>
              <w:t>,</w:t>
            </w:r>
            <w:r w:rsidRPr="00730563">
              <w:rPr>
                <w:lang w:val="fr-CH"/>
              </w:rPr>
              <w:t>5-51</w:t>
            </w:r>
            <w:r>
              <w:rPr>
                <w:lang w:val="fr-CH"/>
              </w:rPr>
              <w:t xml:space="preserve">,4 GHz est principalement définie </w:t>
            </w:r>
            <w:r w:rsidRPr="00730563">
              <w:rPr>
                <w:lang w:val="fr-CH"/>
              </w:rPr>
              <w:t>dans l</w:t>
            </w:r>
            <w:r>
              <w:rPr>
                <w:lang w:val="fr-CH"/>
              </w:rPr>
              <w:t>'</w:t>
            </w:r>
            <w:r w:rsidRPr="00730563">
              <w:rPr>
                <w:lang w:val="fr-CH"/>
              </w:rPr>
              <w:t xml:space="preserve">Article </w:t>
            </w:r>
            <w:r w:rsidRPr="00F932E9">
              <w:rPr>
                <w:rStyle w:val="Artdef"/>
                <w:b w:val="0"/>
                <w:lang w:val="fr-CH"/>
              </w:rPr>
              <w:t>22.2</w:t>
            </w:r>
            <w:r w:rsidRPr="00730563">
              <w:rPr>
                <w:lang w:val="fr-CH"/>
              </w:rPr>
              <w:t xml:space="preserve"> du Règlement des radiocommunications</w:t>
            </w:r>
            <w:r>
              <w:rPr>
                <w:lang w:val="fr-CH"/>
              </w:rPr>
              <w:t>.</w:t>
            </w:r>
          </w:p>
          <w:p w:rsidR="00FD175A" w:rsidRPr="00730563" w:rsidRDefault="00FD175A" w:rsidP="00FD175A">
            <w:pPr>
              <w:rPr>
                <w:lang w:val="fr-CH"/>
              </w:rPr>
            </w:pPr>
            <w:r w:rsidRPr="00730563">
              <w:rPr>
                <w:lang w:val="fr-CH"/>
              </w:rPr>
              <w:t>Bien qu</w:t>
            </w:r>
            <w:r>
              <w:rPr>
                <w:lang w:val="fr-CH"/>
              </w:rPr>
              <w:t>'</w:t>
            </w:r>
            <w:r w:rsidRPr="00730563">
              <w:rPr>
                <w:lang w:val="fr-CH"/>
              </w:rPr>
              <w:t>il soit clairement indiqué, au numéro</w:t>
            </w:r>
            <w:r>
              <w:rPr>
                <w:lang w:val="fr-CH"/>
              </w:rPr>
              <w:t xml:space="preserve"> </w:t>
            </w:r>
            <w:r w:rsidRPr="00730563">
              <w:rPr>
                <w:lang w:val="fr-CH"/>
              </w:rPr>
              <w:t>22.2, que l</w:t>
            </w:r>
            <w:r>
              <w:rPr>
                <w:lang w:val="fr-CH"/>
              </w:rPr>
              <w:t>'</w:t>
            </w:r>
            <w:r w:rsidRPr="00730563">
              <w:rPr>
                <w:lang w:val="fr-CH"/>
              </w:rPr>
              <w:t>exploitation actuelle et future des systèmes OSG dans cette gamme de fréquences doit bénéficier d</w:t>
            </w:r>
            <w:r>
              <w:rPr>
                <w:lang w:val="fr-CH"/>
              </w:rPr>
              <w:t>'</w:t>
            </w:r>
            <w:r w:rsidRPr="00730563">
              <w:rPr>
                <w:lang w:val="fr-CH"/>
              </w:rPr>
              <w:t>une protection, ce numéro n</w:t>
            </w:r>
            <w:r>
              <w:rPr>
                <w:lang w:val="fr-CH"/>
              </w:rPr>
              <w:t xml:space="preserve">e </w:t>
            </w:r>
            <w:r w:rsidR="0081024B">
              <w:rPr>
                <w:lang w:val="fr-CH"/>
              </w:rPr>
              <w:t xml:space="preserve">donne </w:t>
            </w:r>
            <w:r>
              <w:rPr>
                <w:lang w:val="fr-CH"/>
              </w:rPr>
              <w:t>pas d'indications précises quant à</w:t>
            </w:r>
            <w:r w:rsidRPr="00730563">
              <w:rPr>
                <w:lang w:val="fr-CH"/>
              </w:rPr>
              <w:t xml:space="preserve"> la manière dont les systèmes non OSG </w:t>
            </w:r>
            <w:r>
              <w:rPr>
                <w:lang w:val="fr-CH"/>
              </w:rPr>
              <w:t>devraient</w:t>
            </w:r>
            <w:r w:rsidRPr="00730563">
              <w:rPr>
                <w:lang w:val="fr-CH"/>
              </w:rPr>
              <w:t xml:space="preserve"> protéger les réseaux OSG</w:t>
            </w:r>
            <w:r>
              <w:rPr>
                <w:lang w:val="fr-CH"/>
              </w:rPr>
              <w:t>,</w:t>
            </w:r>
            <w:r w:rsidRPr="00730563">
              <w:rPr>
                <w:lang w:val="fr-CH"/>
              </w:rPr>
              <w:t xml:space="preserve"> ce qui risque d</w:t>
            </w:r>
            <w:r>
              <w:rPr>
                <w:lang w:val="fr-CH"/>
              </w:rPr>
              <w:t>'</w:t>
            </w:r>
            <w:r w:rsidRPr="00730563">
              <w:rPr>
                <w:lang w:val="fr-CH"/>
              </w:rPr>
              <w:t>empêcher le déploiement de la gamme complète des technologies satellitaires</w:t>
            </w:r>
            <w:r>
              <w:rPr>
                <w:lang w:val="fr-CH"/>
              </w:rPr>
              <w:t>.</w:t>
            </w:r>
          </w:p>
          <w:p w:rsidR="00FD175A" w:rsidRPr="00FD175A" w:rsidRDefault="00FD175A" w:rsidP="00EE5360">
            <w:pPr>
              <w:spacing w:after="40"/>
              <w:rPr>
                <w:b/>
                <w:i/>
                <w:lang w:val="fr-CH"/>
              </w:rPr>
            </w:pPr>
            <w:r>
              <w:rPr>
                <w:lang w:val="fr-CH"/>
              </w:rPr>
              <w:t>E</w:t>
            </w:r>
            <w:r w:rsidRPr="00730563">
              <w:rPr>
                <w:lang w:val="fr-CH"/>
              </w:rPr>
              <w:t>tant donné que la demande de connectivité large bande</w:t>
            </w:r>
            <w:r>
              <w:rPr>
                <w:lang w:val="fr-CH"/>
              </w:rPr>
              <w:t xml:space="preserve"> </w:t>
            </w:r>
            <w:r w:rsidRPr="00730563">
              <w:rPr>
                <w:lang w:val="fr-CH"/>
              </w:rPr>
              <w:t>ubiquitaire augmente constamment et que l</w:t>
            </w:r>
            <w:r>
              <w:rPr>
                <w:lang w:val="fr-CH"/>
              </w:rPr>
              <w:t>'</w:t>
            </w:r>
            <w:r w:rsidRPr="00730563">
              <w:rPr>
                <w:lang w:val="fr-CH"/>
              </w:rPr>
              <w:t>exploitation des</w:t>
            </w:r>
            <w:r>
              <w:rPr>
                <w:lang w:val="fr-CH"/>
              </w:rPr>
              <w:t xml:space="preserve"> </w:t>
            </w:r>
            <w:r w:rsidRPr="00730563">
              <w:rPr>
                <w:lang w:val="fr-CH"/>
              </w:rPr>
              <w:t xml:space="preserve">systèmes OSG et des systèmes </w:t>
            </w:r>
            <w:r>
              <w:rPr>
                <w:lang w:val="fr-CH"/>
              </w:rPr>
              <w:t xml:space="preserve">non </w:t>
            </w:r>
            <w:r w:rsidRPr="00730563">
              <w:rPr>
                <w:lang w:val="fr-CH"/>
              </w:rPr>
              <w:t>OSG dans la gamme 37</w:t>
            </w:r>
            <w:r>
              <w:rPr>
                <w:lang w:val="fr-CH"/>
              </w:rPr>
              <w:t>,</w:t>
            </w:r>
            <w:r w:rsidRPr="00730563">
              <w:rPr>
                <w:lang w:val="fr-CH"/>
              </w:rPr>
              <w:t>5-51</w:t>
            </w:r>
            <w:r>
              <w:rPr>
                <w:lang w:val="fr-CH"/>
              </w:rPr>
              <w:t>,</w:t>
            </w:r>
            <w:r w:rsidRPr="00730563">
              <w:rPr>
                <w:lang w:val="fr-CH"/>
              </w:rPr>
              <w:t>4 GHz</w:t>
            </w:r>
            <w:r>
              <w:rPr>
                <w:lang w:val="fr-CH"/>
              </w:rPr>
              <w:t xml:space="preserve"> </w:t>
            </w:r>
            <w:r>
              <w:rPr>
                <w:color w:val="000000"/>
              </w:rPr>
              <w:t>en est encore à ses débuts</w:t>
            </w:r>
            <w:r>
              <w:rPr>
                <w:lang w:val="fr-CH"/>
              </w:rPr>
              <w:t>, les administrations voudront</w:t>
            </w:r>
            <w:r w:rsidRPr="00730563">
              <w:rPr>
                <w:lang w:val="fr-CH"/>
              </w:rPr>
              <w:t xml:space="preserve"> peut-être élaborer, à temps pour la </w:t>
            </w:r>
            <w:r>
              <w:rPr>
                <w:lang w:val="fr-CH"/>
              </w:rPr>
              <w:t>CMR</w:t>
            </w:r>
            <w:r>
              <w:rPr>
                <w:lang w:val="fr-CH"/>
              </w:rPr>
              <w:noBreakHyphen/>
              <w:t>19, un</w:t>
            </w:r>
            <w:r w:rsidRPr="00730563">
              <w:rPr>
                <w:lang w:val="fr-CH"/>
              </w:rPr>
              <w:t xml:space="preserve"> cadre réglementaire</w:t>
            </w:r>
            <w:r>
              <w:rPr>
                <w:lang w:val="fr-CH"/>
              </w:rPr>
              <w:t xml:space="preserve"> </w:t>
            </w:r>
            <w:r w:rsidRPr="00730563">
              <w:rPr>
                <w:lang w:val="fr-CH"/>
              </w:rPr>
              <w:t>qui offrirait à terme une plus grande certitude réglementaire aux systèmes non OSG</w:t>
            </w:r>
            <w:r>
              <w:rPr>
                <w:lang w:val="fr-CH"/>
              </w:rPr>
              <w:t>,</w:t>
            </w:r>
            <w:r w:rsidRPr="00730563">
              <w:rPr>
                <w:lang w:val="fr-CH"/>
              </w:rPr>
              <w:t xml:space="preserve"> sans</w:t>
            </w:r>
            <w:r>
              <w:rPr>
                <w:lang w:val="fr-CH"/>
              </w:rPr>
              <w:t xml:space="preserve"> </w:t>
            </w:r>
            <w:r w:rsidRPr="00730563">
              <w:rPr>
                <w:lang w:val="fr-CH"/>
              </w:rPr>
              <w:t>pour autant limiter le développement futur des réseaux OSG dans ces bandes, ni lui imposer des contraintes excessives</w:t>
            </w:r>
            <w:r>
              <w:rPr>
                <w:lang w:val="fr-CH"/>
              </w:rPr>
              <w:t>.</w:t>
            </w:r>
            <w:r w:rsidR="00F932E9" w:rsidRPr="00FD175A">
              <w:rPr>
                <w:b/>
                <w:i/>
                <w:lang w:val="fr-CH"/>
              </w:rPr>
              <w:t xml:space="preserve"> </w:t>
            </w:r>
          </w:p>
        </w:tc>
      </w:tr>
      <w:tr w:rsidR="00FD175A" w:rsidRPr="00714540" w:rsidTr="004E10E0">
        <w:tc>
          <w:tcPr>
            <w:tcW w:w="9639" w:type="dxa"/>
            <w:gridSpan w:val="3"/>
            <w:tcBorders>
              <w:top w:val="single" w:sz="4" w:space="0" w:color="auto"/>
              <w:left w:val="nil"/>
              <w:bottom w:val="single" w:sz="4" w:space="0" w:color="auto"/>
              <w:right w:val="nil"/>
            </w:tcBorders>
          </w:tcPr>
          <w:p w:rsidR="00FD175A" w:rsidRPr="00A31EA2" w:rsidRDefault="00FD175A" w:rsidP="004E10E0">
            <w:r w:rsidRPr="0014454C">
              <w:rPr>
                <w:b/>
                <w:bCs/>
                <w:i/>
                <w:iCs/>
                <w:lang w:val="fr-CH"/>
              </w:rPr>
              <w:t>Services de radiocommunication concernés</w:t>
            </w:r>
            <w:r w:rsidRPr="00A31EA2">
              <w:t>:</w:t>
            </w:r>
          </w:p>
          <w:p w:rsidR="00F932E9" w:rsidRPr="00730563" w:rsidRDefault="00F932E9" w:rsidP="00F932E9">
            <w:pPr>
              <w:keepNext/>
              <w:rPr>
                <w:lang w:val="fr-CH"/>
              </w:rPr>
            </w:pPr>
            <w:r w:rsidRPr="00730563">
              <w:rPr>
                <w:lang w:val="fr-CH"/>
              </w:rPr>
              <w:t>Service d</w:t>
            </w:r>
            <w:r>
              <w:rPr>
                <w:lang w:val="fr-CH"/>
              </w:rPr>
              <w:t>'</w:t>
            </w:r>
            <w:r w:rsidRPr="00730563">
              <w:rPr>
                <w:lang w:val="fr-CH"/>
              </w:rPr>
              <w:t>exploration de la Terre par satellite (passive), et</w:t>
            </w:r>
            <w:r>
              <w:rPr>
                <w:lang w:val="fr-CH"/>
              </w:rPr>
              <w:t xml:space="preserve"> </w:t>
            </w:r>
            <w:r w:rsidRPr="00730563">
              <w:rPr>
                <w:lang w:val="fr-CH"/>
              </w:rPr>
              <w:t>service de recherche spatiale (passive</w:t>
            </w:r>
            <w:r>
              <w:rPr>
                <w:lang w:val="fr-CH"/>
              </w:rPr>
              <w:t>)</w:t>
            </w:r>
            <w:r w:rsidRPr="00730563">
              <w:rPr>
                <w:lang w:val="fr-CH"/>
              </w:rPr>
              <w:t xml:space="preserve"> dans la bande </w:t>
            </w:r>
            <w:r>
              <w:rPr>
                <w:lang w:val="fr-CH"/>
              </w:rPr>
              <w:t>50,2-50,4 GHz</w:t>
            </w:r>
          </w:p>
          <w:p w:rsidR="00EE5360" w:rsidRPr="00714540" w:rsidRDefault="00F932E9" w:rsidP="00EE5360">
            <w:pPr>
              <w:spacing w:after="80"/>
              <w:rPr>
                <w:b/>
                <w:i/>
              </w:rPr>
            </w:pPr>
            <w:r w:rsidRPr="00730563">
              <w:rPr>
                <w:lang w:val="fr-CH"/>
              </w:rPr>
              <w:t>Service</w:t>
            </w:r>
            <w:r>
              <w:rPr>
                <w:lang w:val="fr-CH"/>
              </w:rPr>
              <w:t>s</w:t>
            </w:r>
            <w:r w:rsidRPr="00730563">
              <w:rPr>
                <w:lang w:val="fr-CH"/>
              </w:rPr>
              <w:t xml:space="preserve"> fixe par satellite, mobile par satellite, d</w:t>
            </w:r>
            <w:r>
              <w:rPr>
                <w:lang w:val="fr-CH"/>
              </w:rPr>
              <w:t>'</w:t>
            </w:r>
            <w:r w:rsidRPr="00730563">
              <w:rPr>
                <w:lang w:val="fr-CH"/>
              </w:rPr>
              <w:t>exploration de la Terre par satellite, de recherche spatiale, de radiodiffusion par satellite, fixe, mobile, de radiodiffusion, de radioastronomie</w:t>
            </w:r>
          </w:p>
        </w:tc>
      </w:tr>
      <w:tr w:rsidR="00FD175A" w:rsidRPr="00714540" w:rsidTr="004E10E0">
        <w:tc>
          <w:tcPr>
            <w:tcW w:w="9639" w:type="dxa"/>
            <w:gridSpan w:val="3"/>
            <w:tcBorders>
              <w:top w:val="single" w:sz="4" w:space="0" w:color="auto"/>
              <w:left w:val="nil"/>
              <w:bottom w:val="single" w:sz="4" w:space="0" w:color="auto"/>
              <w:right w:val="nil"/>
            </w:tcBorders>
          </w:tcPr>
          <w:p w:rsidR="00FD175A" w:rsidRPr="00A31EA2" w:rsidRDefault="00FD175A" w:rsidP="00EE5360">
            <w:pPr>
              <w:keepNext/>
              <w:keepLines/>
            </w:pPr>
            <w:r w:rsidRPr="0014454C">
              <w:rPr>
                <w:b/>
                <w:bCs/>
                <w:i/>
                <w:iCs/>
                <w:lang w:val="fr-CH"/>
              </w:rPr>
              <w:lastRenderedPageBreak/>
              <w:t>Indication des difficultés éventuelles</w:t>
            </w:r>
            <w:r w:rsidRPr="0014454C">
              <w:rPr>
                <w:b/>
                <w:bCs/>
                <w:i/>
                <w:iCs/>
              </w:rPr>
              <w:t>:</w:t>
            </w:r>
          </w:p>
          <w:p w:rsidR="00F932E9" w:rsidRPr="00730563" w:rsidRDefault="00F932E9" w:rsidP="00EE5360">
            <w:pPr>
              <w:keepNext/>
              <w:keepLines/>
              <w:rPr>
                <w:lang w:val="fr-CH"/>
              </w:rPr>
            </w:pPr>
            <w:r w:rsidRPr="00730563">
              <w:rPr>
                <w:lang w:val="fr-CH"/>
              </w:rPr>
              <w:t>La bande 51</w:t>
            </w:r>
            <w:r>
              <w:rPr>
                <w:lang w:val="fr-CH"/>
              </w:rPr>
              <w:t>,</w:t>
            </w:r>
            <w:r w:rsidRPr="00730563">
              <w:rPr>
                <w:lang w:val="fr-CH"/>
              </w:rPr>
              <w:t>4-52</w:t>
            </w:r>
            <w:r>
              <w:rPr>
                <w:lang w:val="fr-CH"/>
              </w:rPr>
              <w:t>,</w:t>
            </w:r>
            <w:r w:rsidRPr="00730563">
              <w:rPr>
                <w:lang w:val="fr-CH"/>
              </w:rPr>
              <w:t>4 GHz</w:t>
            </w:r>
            <w:r>
              <w:rPr>
                <w:lang w:val="fr-CH"/>
              </w:rPr>
              <w:t>,</w:t>
            </w:r>
            <w:r w:rsidRPr="00730563">
              <w:rPr>
                <w:lang w:val="fr-CH"/>
              </w:rPr>
              <w:t xml:space="preserve"> actuellement attribuée aux services fixe et mobile, devra bénéficier d</w:t>
            </w:r>
            <w:r>
              <w:rPr>
                <w:lang w:val="fr-CH"/>
              </w:rPr>
              <w:t>'</w:t>
            </w:r>
            <w:r w:rsidRPr="00730563">
              <w:rPr>
                <w:lang w:val="fr-CH"/>
              </w:rPr>
              <w:t>une protection suffisante, compte également tenu</w:t>
            </w:r>
            <w:r>
              <w:rPr>
                <w:lang w:val="fr-CH"/>
              </w:rPr>
              <w:t xml:space="preserve"> </w:t>
            </w:r>
            <w:r w:rsidRPr="00730563">
              <w:rPr>
                <w:lang w:val="fr-CH"/>
              </w:rPr>
              <w:t>du fait que le service fixe dans cette bande est disponi</w:t>
            </w:r>
            <w:r>
              <w:rPr>
                <w:lang w:val="fr-CH"/>
              </w:rPr>
              <w:t>ble pour les applications haute</w:t>
            </w:r>
            <w:r w:rsidRPr="00730563">
              <w:rPr>
                <w:lang w:val="fr-CH"/>
              </w:rPr>
              <w:t xml:space="preserve"> densité, conformément au numéro</w:t>
            </w:r>
            <w:r>
              <w:rPr>
                <w:lang w:val="fr-CH"/>
              </w:rPr>
              <w:t xml:space="preserve"> </w:t>
            </w:r>
            <w:r w:rsidRPr="00730563">
              <w:rPr>
                <w:lang w:val="fr-CH"/>
              </w:rPr>
              <w:t>5.547.</w:t>
            </w:r>
          </w:p>
          <w:p w:rsidR="00F932E9" w:rsidRPr="00730563" w:rsidRDefault="00F932E9" w:rsidP="00F932E9">
            <w:pPr>
              <w:keepNext/>
              <w:rPr>
                <w:lang w:val="fr-CH"/>
              </w:rPr>
            </w:pPr>
            <w:r w:rsidRPr="00730563">
              <w:rPr>
                <w:lang w:val="fr-CH"/>
              </w:rPr>
              <w:t>De plus,</w:t>
            </w:r>
            <w:r>
              <w:rPr>
                <w:lang w:val="fr-CH"/>
              </w:rPr>
              <w:t xml:space="preserve"> </w:t>
            </w:r>
            <w:r w:rsidRPr="00730563">
              <w:rPr>
                <w:lang w:val="fr-CH"/>
              </w:rPr>
              <w:t xml:space="preserve">conformément au numéro </w:t>
            </w:r>
            <w:r w:rsidRPr="0030395A">
              <w:rPr>
                <w:lang w:val="fr-CH"/>
              </w:rPr>
              <w:t>5.556</w:t>
            </w:r>
            <w:r w:rsidRPr="00730563">
              <w:rPr>
                <w:lang w:val="fr-CH"/>
              </w:rPr>
              <w:t xml:space="preserve"> du RR,</w:t>
            </w:r>
            <w:r>
              <w:rPr>
                <w:lang w:val="fr-CH"/>
              </w:rPr>
              <w:t xml:space="preserve"> </w:t>
            </w:r>
            <w:r>
              <w:rPr>
                <w:color w:val="000000"/>
              </w:rPr>
              <w:t>des observations de radioastronomie sont effectuées dans la même bande,</w:t>
            </w:r>
            <w:r>
              <w:rPr>
                <w:lang w:val="fr-CH"/>
              </w:rPr>
              <w:t xml:space="preserve"> </w:t>
            </w:r>
            <w:r w:rsidRPr="00730563">
              <w:rPr>
                <w:lang w:val="fr-CH"/>
              </w:rPr>
              <w:t>si bien qu</w:t>
            </w:r>
            <w:r>
              <w:rPr>
                <w:lang w:val="fr-CH"/>
              </w:rPr>
              <w:t>'</w:t>
            </w:r>
            <w:r w:rsidRPr="00730563">
              <w:rPr>
                <w:lang w:val="fr-CH"/>
              </w:rPr>
              <w:t>il faudra peut-être définir</w:t>
            </w:r>
            <w:r>
              <w:rPr>
                <w:lang w:val="fr-CH"/>
              </w:rPr>
              <w:t xml:space="preserve"> </w:t>
            </w:r>
            <w:r w:rsidRPr="00730563">
              <w:rPr>
                <w:lang w:val="fr-CH"/>
              </w:rPr>
              <w:t>des mesures de limitation des brouillages</w:t>
            </w:r>
            <w:r>
              <w:rPr>
                <w:lang w:val="fr-CH"/>
              </w:rPr>
              <w:t xml:space="preserve"> </w:t>
            </w:r>
            <w:r w:rsidRPr="00730563">
              <w:rPr>
                <w:lang w:val="fr-CH"/>
              </w:rPr>
              <w:t>appropriées</w:t>
            </w:r>
            <w:r>
              <w:rPr>
                <w:lang w:val="fr-CH"/>
              </w:rPr>
              <w:t>.</w:t>
            </w:r>
          </w:p>
          <w:p w:rsidR="00F932E9" w:rsidRPr="00730563" w:rsidRDefault="00F932E9" w:rsidP="00F932E9">
            <w:pPr>
              <w:keepNext/>
              <w:rPr>
                <w:lang w:val="fr-CH"/>
              </w:rPr>
            </w:pPr>
            <w:r>
              <w:rPr>
                <w:lang w:val="fr-CH"/>
              </w:rPr>
              <w:t>P</w:t>
            </w:r>
            <w:r w:rsidRPr="00730563">
              <w:rPr>
                <w:lang w:val="fr-CH"/>
              </w:rPr>
              <w:t>ar ailleurs, la Résolution 750 (</w:t>
            </w:r>
            <w:r>
              <w:rPr>
                <w:lang w:val="fr-CH"/>
              </w:rPr>
              <w:t>Rév</w:t>
            </w:r>
            <w:r w:rsidRPr="00730563">
              <w:rPr>
                <w:lang w:val="fr-CH"/>
              </w:rPr>
              <w:t>.</w:t>
            </w:r>
            <w:r>
              <w:rPr>
                <w:lang w:val="fr-CH"/>
              </w:rPr>
              <w:t>CMR</w:t>
            </w:r>
            <w:r w:rsidRPr="00730563">
              <w:rPr>
                <w:lang w:val="fr-CH"/>
              </w:rPr>
              <w:t>-12</w:t>
            </w:r>
            <w:r>
              <w:rPr>
                <w:lang w:val="fr-CH"/>
              </w:rPr>
              <w:t>)</w:t>
            </w:r>
            <w:r w:rsidRPr="00730563">
              <w:rPr>
                <w:lang w:val="fr-CH"/>
              </w:rPr>
              <w:t xml:space="preserve"> impose des limites de puissance hors bande aux services de Terre, afin de protéger la bande passive au-dessus de 52</w:t>
            </w:r>
            <w:r>
              <w:rPr>
                <w:lang w:val="fr-CH"/>
              </w:rPr>
              <w:t>,</w:t>
            </w:r>
            <w:r w:rsidRPr="00730563">
              <w:rPr>
                <w:lang w:val="fr-CH"/>
              </w:rPr>
              <w:t>6 GHz. Il faudra probablement imposer des limites analogues pour protéger les services passifs au-dessus de 52</w:t>
            </w:r>
            <w:r>
              <w:rPr>
                <w:lang w:val="fr-CH"/>
              </w:rPr>
              <w:t>,</w:t>
            </w:r>
            <w:r w:rsidRPr="00730563">
              <w:rPr>
                <w:lang w:val="fr-CH"/>
              </w:rPr>
              <w:t>6</w:t>
            </w:r>
            <w:r>
              <w:t> </w:t>
            </w:r>
            <w:r w:rsidRPr="00730563">
              <w:rPr>
                <w:lang w:val="fr-CH"/>
              </w:rPr>
              <w:t>GHz. contre les rayonnements non désirés provenant des stations terriennes du SFS</w:t>
            </w:r>
            <w:r w:rsidR="00EE5360">
              <w:rPr>
                <w:lang w:val="fr-CH"/>
              </w:rPr>
              <w:t>.</w:t>
            </w:r>
          </w:p>
          <w:p w:rsidR="00FD175A" w:rsidRPr="00714540" w:rsidRDefault="00F932E9" w:rsidP="00F932E9">
            <w:pPr>
              <w:spacing w:after="40"/>
              <w:rPr>
                <w:b/>
                <w:i/>
              </w:rPr>
            </w:pPr>
            <w:r w:rsidRPr="00730563">
              <w:rPr>
                <w:lang w:val="fr-CH"/>
              </w:rPr>
              <w:t>Enfin, il sera nécessaire de déterminer les dispositions techniques, opérationnelles et réglementaires pour permettre aux systèmes non OSG du SFS d</w:t>
            </w:r>
            <w:r>
              <w:rPr>
                <w:lang w:val="fr-CH"/>
              </w:rPr>
              <w:t>'</w:t>
            </w:r>
            <w:r w:rsidRPr="00730563">
              <w:rPr>
                <w:lang w:val="fr-CH"/>
              </w:rPr>
              <w:t>utiliser en partage les mêmes bandes de fréquences, sans pour auta</w:t>
            </w:r>
            <w:r>
              <w:rPr>
                <w:lang w:val="fr-CH"/>
              </w:rPr>
              <w:t>nt limiter le développement de ces systèmes, ni lui</w:t>
            </w:r>
            <w:r w:rsidRPr="00730563">
              <w:rPr>
                <w:lang w:val="fr-CH"/>
              </w:rPr>
              <w:t xml:space="preserve"> imposer des contraintes excessives,</w:t>
            </w:r>
            <w:r>
              <w:rPr>
                <w:lang w:val="fr-CH"/>
              </w:rPr>
              <w:t xml:space="preserve"> </w:t>
            </w:r>
            <w:r w:rsidRPr="00730563">
              <w:rPr>
                <w:lang w:val="fr-CH"/>
              </w:rPr>
              <w:t>avec les réseaux OSG du SFS et d</w:t>
            </w:r>
            <w:r>
              <w:rPr>
                <w:lang w:val="fr-CH"/>
              </w:rPr>
              <w:t>'</w:t>
            </w:r>
            <w:r w:rsidRPr="00730563">
              <w:rPr>
                <w:lang w:val="fr-CH"/>
              </w:rPr>
              <w:t>autres services</w:t>
            </w:r>
          </w:p>
        </w:tc>
      </w:tr>
      <w:tr w:rsidR="00FD175A" w:rsidRPr="009E4745" w:rsidTr="004E10E0">
        <w:tc>
          <w:tcPr>
            <w:tcW w:w="9639" w:type="dxa"/>
            <w:gridSpan w:val="3"/>
            <w:tcBorders>
              <w:top w:val="single" w:sz="4" w:space="0" w:color="auto"/>
              <w:left w:val="nil"/>
              <w:bottom w:val="single" w:sz="4" w:space="0" w:color="auto"/>
              <w:right w:val="nil"/>
            </w:tcBorders>
          </w:tcPr>
          <w:p w:rsidR="00FD175A" w:rsidRPr="00A31EA2" w:rsidRDefault="00FD175A" w:rsidP="004E10E0">
            <w:r w:rsidRPr="003A2ED4">
              <w:rPr>
                <w:b/>
                <w:bCs/>
                <w:i/>
                <w:iCs/>
                <w:lang w:val="fr-CH"/>
              </w:rPr>
              <w:t>Etudes précédentes ou en cours sur la question</w:t>
            </w:r>
            <w:r w:rsidRPr="003A2ED4">
              <w:rPr>
                <w:b/>
                <w:bCs/>
                <w:i/>
                <w:iCs/>
              </w:rPr>
              <w:t>:</w:t>
            </w:r>
          </w:p>
          <w:p w:rsidR="00F932E9" w:rsidRPr="00730563" w:rsidRDefault="00F932E9" w:rsidP="00F932E9">
            <w:pPr>
              <w:keepNext/>
              <w:rPr>
                <w:lang w:val="fr-CH"/>
              </w:rPr>
            </w:pPr>
            <w:r w:rsidRPr="00730563">
              <w:rPr>
                <w:lang w:val="fr-CH"/>
              </w:rPr>
              <w:t>En ce qui concerne les problèmes de compatibilité entre le service fixe par satellite et le service d</w:t>
            </w:r>
            <w:r>
              <w:rPr>
                <w:lang w:val="fr-CH"/>
              </w:rPr>
              <w:t>'</w:t>
            </w:r>
            <w:r w:rsidRPr="00730563">
              <w:rPr>
                <w:lang w:val="fr-CH"/>
              </w:rPr>
              <w:t>exploration de la Terre par satellite (passive</w:t>
            </w:r>
            <w:r>
              <w:rPr>
                <w:lang w:val="fr-CH"/>
              </w:rPr>
              <w:t xml:space="preserve">) </w:t>
            </w:r>
            <w:r w:rsidRPr="00730563">
              <w:rPr>
                <w:lang w:val="fr-CH"/>
              </w:rPr>
              <w:t xml:space="preserve">et le service de recherche spatiale (passive), les études effectuées avant la </w:t>
            </w:r>
            <w:r>
              <w:rPr>
                <w:lang w:val="fr-CH"/>
              </w:rPr>
              <w:t>CMR-</w:t>
            </w:r>
            <w:r w:rsidRPr="00730563">
              <w:rPr>
                <w:lang w:val="fr-CH"/>
              </w:rPr>
              <w:t>07 ont abouti</w:t>
            </w:r>
            <w:r>
              <w:rPr>
                <w:lang w:val="fr-CH"/>
              </w:rPr>
              <w:t xml:space="preserve"> </w:t>
            </w:r>
            <w:r w:rsidRPr="00730563">
              <w:rPr>
                <w:lang w:val="fr-CH"/>
              </w:rPr>
              <w:t>à la définition de limites des rayonnements non désirés émis par les stations terriennes du SFS dans la bande</w:t>
            </w:r>
            <w:r>
              <w:rPr>
                <w:lang w:val="fr-CH"/>
              </w:rPr>
              <w:t xml:space="preserve"> </w:t>
            </w:r>
            <w:r w:rsidRPr="00730563">
              <w:rPr>
                <w:lang w:val="fr-CH"/>
              </w:rPr>
              <w:t>50</w:t>
            </w:r>
            <w:r>
              <w:rPr>
                <w:lang w:val="fr-CH"/>
              </w:rPr>
              <w:t>,</w:t>
            </w:r>
            <w:r w:rsidRPr="00730563">
              <w:rPr>
                <w:lang w:val="fr-CH"/>
              </w:rPr>
              <w:t>4-50</w:t>
            </w:r>
            <w:r>
              <w:rPr>
                <w:lang w:val="fr-CH"/>
              </w:rPr>
              <w:t>,</w:t>
            </w:r>
            <w:r w:rsidRPr="00730563">
              <w:rPr>
                <w:lang w:val="fr-CH"/>
              </w:rPr>
              <w:t>9 GHz, afin de protéger la bande passive 50</w:t>
            </w:r>
            <w:r>
              <w:rPr>
                <w:lang w:val="fr-CH"/>
              </w:rPr>
              <w:t>,</w:t>
            </w:r>
            <w:r w:rsidRPr="00730563">
              <w:rPr>
                <w:lang w:val="fr-CH"/>
              </w:rPr>
              <w:t>2-50</w:t>
            </w:r>
            <w:r>
              <w:rPr>
                <w:lang w:val="fr-CH"/>
              </w:rPr>
              <w:t>,</w:t>
            </w:r>
            <w:r w:rsidRPr="00730563">
              <w:rPr>
                <w:lang w:val="fr-CH"/>
              </w:rPr>
              <w:t>4 GHz. Pour ce qui est de la bande 52</w:t>
            </w:r>
            <w:r>
              <w:rPr>
                <w:lang w:val="fr-CH"/>
              </w:rPr>
              <w:t>,</w:t>
            </w:r>
            <w:r w:rsidRPr="00730563">
              <w:rPr>
                <w:lang w:val="fr-CH"/>
              </w:rPr>
              <w:t>2-54</w:t>
            </w:r>
            <w:r>
              <w:rPr>
                <w:lang w:val="fr-CH"/>
              </w:rPr>
              <w:t>,</w:t>
            </w:r>
            <w:r w:rsidRPr="00730563">
              <w:rPr>
                <w:lang w:val="fr-CH"/>
              </w:rPr>
              <w:t>25 GHz, il faudra probablement utiliser des dispositions analogues</w:t>
            </w:r>
            <w:r>
              <w:rPr>
                <w:lang w:val="fr-CH"/>
              </w:rPr>
              <w:t>.</w:t>
            </w:r>
          </w:p>
          <w:p w:rsidR="00F932E9" w:rsidRPr="00730563" w:rsidRDefault="00F932E9" w:rsidP="00F932E9">
            <w:pPr>
              <w:keepNext/>
              <w:rPr>
                <w:lang w:val="fr-CH"/>
              </w:rPr>
            </w:pPr>
            <w:r>
              <w:rPr>
                <w:lang w:val="fr-CH"/>
              </w:rPr>
              <w:t>D</w:t>
            </w:r>
            <w:r w:rsidRPr="00730563">
              <w:rPr>
                <w:lang w:val="fr-CH"/>
              </w:rPr>
              <w:t>es études ont été effectuées précédemment, au titre du point 1.29 de l</w:t>
            </w:r>
            <w:r>
              <w:rPr>
                <w:lang w:val="fr-CH"/>
              </w:rPr>
              <w:t>'</w:t>
            </w:r>
            <w:r w:rsidRPr="00730563">
              <w:rPr>
                <w:lang w:val="fr-CH"/>
              </w:rPr>
              <w:t xml:space="preserve">ordre du jour de la </w:t>
            </w:r>
            <w:r>
              <w:rPr>
                <w:lang w:val="fr-CH"/>
              </w:rPr>
              <w:t>CMR</w:t>
            </w:r>
            <w:r>
              <w:rPr>
                <w:lang w:val="fr-CH"/>
              </w:rPr>
              <w:noBreakHyphen/>
            </w:r>
            <w:r w:rsidRPr="00730563">
              <w:rPr>
                <w:lang w:val="fr-CH"/>
              </w:rPr>
              <w:t>03 et de la Résolution 136 (</w:t>
            </w:r>
            <w:r>
              <w:rPr>
                <w:lang w:val="fr-CH"/>
              </w:rPr>
              <w:t>CMR</w:t>
            </w:r>
            <w:r w:rsidRPr="00730563">
              <w:rPr>
                <w:lang w:val="fr-CH"/>
              </w:rPr>
              <w:t>-00</w:t>
            </w:r>
            <w:r>
              <w:rPr>
                <w:lang w:val="fr-CH"/>
              </w:rPr>
              <w:t>)</w:t>
            </w:r>
            <w:r w:rsidRPr="00730563">
              <w:rPr>
                <w:lang w:val="fr-CH"/>
              </w:rPr>
              <w:t xml:space="preserve"> connexe</w:t>
            </w:r>
            <w:r>
              <w:rPr>
                <w:lang w:val="fr-CH"/>
              </w:rPr>
              <w:t xml:space="preserve"> </w:t>
            </w:r>
            <w:r w:rsidRPr="00730563">
              <w:rPr>
                <w:lang w:val="fr-CH"/>
              </w:rPr>
              <w:t>(</w:t>
            </w:r>
            <w:r>
              <w:rPr>
                <w:lang w:val="fr-CH"/>
              </w:rPr>
              <w:t>«</w:t>
            </w:r>
            <w:r w:rsidRPr="00730563">
              <w:rPr>
                <w:lang w:val="fr-CH"/>
              </w:rPr>
              <w:t>Partage des fréquences dans la gamme 37</w:t>
            </w:r>
            <w:r>
              <w:rPr>
                <w:lang w:val="fr-CH"/>
              </w:rPr>
              <w:t>,</w:t>
            </w:r>
            <w:r w:rsidRPr="00730563">
              <w:rPr>
                <w:lang w:val="fr-CH"/>
              </w:rPr>
              <w:t>5-50</w:t>
            </w:r>
            <w:r>
              <w:rPr>
                <w:lang w:val="fr-CH"/>
              </w:rPr>
              <w:t>,</w:t>
            </w:r>
            <w:r w:rsidRPr="00730563">
              <w:rPr>
                <w:lang w:val="fr-CH"/>
              </w:rPr>
              <w:t>2 GHz entre les réseaux géostationnaires du service fixe par satellite et les</w:t>
            </w:r>
            <w:r>
              <w:rPr>
                <w:lang w:val="fr-CH"/>
              </w:rPr>
              <w:t xml:space="preserve"> </w:t>
            </w:r>
            <w:r w:rsidRPr="00730563">
              <w:rPr>
                <w:lang w:val="fr-CH"/>
              </w:rPr>
              <w:t>systèmes non géostationnaires du service fixe par satellite</w:t>
            </w:r>
            <w:r>
              <w:rPr>
                <w:lang w:val="fr-CH"/>
              </w:rPr>
              <w:t>»</w:t>
            </w:r>
            <w:r w:rsidRPr="00730563">
              <w:rPr>
                <w:lang w:val="fr-CH"/>
              </w:rPr>
              <w:t>).</w:t>
            </w:r>
          </w:p>
          <w:p w:rsidR="00F932E9" w:rsidRPr="00730563" w:rsidRDefault="00F932E9" w:rsidP="0041346B">
            <w:pPr>
              <w:keepNext/>
              <w:rPr>
                <w:lang w:val="fr-CH"/>
              </w:rPr>
            </w:pPr>
            <w:r w:rsidRPr="00730563">
              <w:rPr>
                <w:lang w:val="fr-CH"/>
              </w:rPr>
              <w:t>Ces études ont débouché sur</w:t>
            </w:r>
            <w:r>
              <w:rPr>
                <w:lang w:val="fr-CH"/>
              </w:rPr>
              <w:t xml:space="preserve"> </w:t>
            </w:r>
            <w:r w:rsidRPr="00730563">
              <w:rPr>
                <w:lang w:val="fr-CH"/>
              </w:rPr>
              <w:t>une nouvelle version de la Résolution</w:t>
            </w:r>
            <w:r>
              <w:rPr>
                <w:lang w:val="fr-CH"/>
              </w:rPr>
              <w:t xml:space="preserve"> </w:t>
            </w:r>
            <w:r w:rsidRPr="00730563">
              <w:rPr>
                <w:lang w:val="fr-CH"/>
              </w:rPr>
              <w:t>136 (</w:t>
            </w:r>
            <w:r>
              <w:rPr>
                <w:lang w:val="fr-CH"/>
              </w:rPr>
              <w:t>CMR-0</w:t>
            </w:r>
            <w:r w:rsidR="0041346B">
              <w:rPr>
                <w:lang w:val="fr-CH"/>
              </w:rPr>
              <w:t>0</w:t>
            </w:r>
            <w:r>
              <w:rPr>
                <w:lang w:val="fr-CH"/>
              </w:rPr>
              <w:t>)</w:t>
            </w:r>
            <w:r w:rsidRPr="00730563">
              <w:rPr>
                <w:lang w:val="fr-CH"/>
              </w:rPr>
              <w:t xml:space="preserve"> (</w:t>
            </w:r>
            <w:r>
              <w:rPr>
                <w:lang w:val="fr-CH"/>
              </w:rPr>
              <w:t>qui</w:t>
            </w:r>
            <w:r w:rsidRPr="00730563">
              <w:rPr>
                <w:lang w:val="fr-CH"/>
              </w:rPr>
              <w:t xml:space="preserve"> est devenu</w:t>
            </w:r>
            <w:r>
              <w:rPr>
                <w:lang w:val="fr-CH"/>
              </w:rPr>
              <w:t>e</w:t>
            </w:r>
            <w:r w:rsidRPr="00730563">
              <w:rPr>
                <w:lang w:val="fr-CH"/>
              </w:rPr>
              <w:t xml:space="preserve"> la</w:t>
            </w:r>
            <w:r>
              <w:rPr>
                <w:lang w:val="fr-CH"/>
              </w:rPr>
              <w:t xml:space="preserve"> </w:t>
            </w:r>
            <w:r w:rsidRPr="00730563">
              <w:rPr>
                <w:lang w:val="fr-CH"/>
              </w:rPr>
              <w:t>Résolution</w:t>
            </w:r>
            <w:r>
              <w:rPr>
                <w:lang w:val="fr-CH"/>
              </w:rPr>
              <w:t xml:space="preserve"> </w:t>
            </w:r>
            <w:r w:rsidRPr="00730563">
              <w:rPr>
                <w:lang w:val="fr-CH"/>
              </w:rPr>
              <w:t xml:space="preserve">136 </w:t>
            </w:r>
            <w:r>
              <w:rPr>
                <w:lang w:val="fr-CH"/>
              </w:rPr>
              <w:t>«Rév.CMR</w:t>
            </w:r>
            <w:r w:rsidRPr="00730563">
              <w:rPr>
                <w:lang w:val="fr-CH"/>
              </w:rPr>
              <w:t>-03</w:t>
            </w:r>
            <w:r>
              <w:rPr>
                <w:lang w:val="fr-CH"/>
              </w:rPr>
              <w:t>»),</w:t>
            </w:r>
            <w:r w:rsidRPr="00730563">
              <w:rPr>
                <w:lang w:val="fr-CH"/>
              </w:rPr>
              <w:t xml:space="preserve"> préconisant la </w:t>
            </w:r>
            <w:r>
              <w:rPr>
                <w:lang w:val="fr-CH"/>
              </w:rPr>
              <w:t>poursuite des</w:t>
            </w:r>
            <w:r>
              <w:rPr>
                <w:color w:val="000000"/>
              </w:rPr>
              <w:t xml:space="preserve"> études techniques, opérationnelles et réglementaires sur les dispositions de partage</w:t>
            </w:r>
            <w:r w:rsidRPr="00730563">
              <w:rPr>
                <w:lang w:val="fr-CH"/>
              </w:rPr>
              <w:t xml:space="preserve"> à temps pour la </w:t>
            </w:r>
            <w:r>
              <w:rPr>
                <w:lang w:val="fr-CH"/>
              </w:rPr>
              <w:t>CMR</w:t>
            </w:r>
            <w:r w:rsidRPr="00730563">
              <w:rPr>
                <w:lang w:val="fr-CH"/>
              </w:rPr>
              <w:t>-10 (qui a par la suite été reprogrammée en 2012).</w:t>
            </w:r>
          </w:p>
          <w:p w:rsidR="00FD175A" w:rsidRPr="009E4745" w:rsidRDefault="00F932E9" w:rsidP="00F932E9">
            <w:pPr>
              <w:spacing w:after="40"/>
              <w:rPr>
                <w:b/>
                <w:i/>
                <w:lang w:val="fr-CH"/>
              </w:rPr>
            </w:pPr>
            <w:r w:rsidRPr="00730563">
              <w:rPr>
                <w:lang w:val="fr-CH"/>
              </w:rPr>
              <w:t xml:space="preserve">En 2007, </w:t>
            </w:r>
            <w:r>
              <w:rPr>
                <w:lang w:val="fr-CH"/>
              </w:rPr>
              <w:t>lors</w:t>
            </w:r>
            <w:r w:rsidRPr="00730563">
              <w:rPr>
                <w:lang w:val="fr-CH"/>
              </w:rPr>
              <w:t>que l</w:t>
            </w:r>
            <w:r>
              <w:rPr>
                <w:lang w:val="fr-CH"/>
              </w:rPr>
              <w:t>'</w:t>
            </w:r>
            <w:r w:rsidRPr="00730563">
              <w:rPr>
                <w:lang w:val="fr-CH"/>
              </w:rPr>
              <w:t xml:space="preserve">ordre du jour de la </w:t>
            </w:r>
            <w:r>
              <w:rPr>
                <w:lang w:val="fr-CH"/>
              </w:rPr>
              <w:t>CMR-</w:t>
            </w:r>
            <w:r w:rsidRPr="00730563">
              <w:rPr>
                <w:lang w:val="fr-CH"/>
              </w:rPr>
              <w:t xml:space="preserve">12 a été arrêté, </w:t>
            </w:r>
            <w:r>
              <w:rPr>
                <w:lang w:val="fr-CH"/>
              </w:rPr>
              <w:t xml:space="preserve">on a estimé que </w:t>
            </w:r>
            <w:r w:rsidRPr="00730563">
              <w:rPr>
                <w:lang w:val="fr-CH"/>
              </w:rPr>
              <w:t>la situation du développement des systèmes à satellites qu</w:t>
            </w:r>
            <w:r>
              <w:rPr>
                <w:lang w:val="fr-CH"/>
              </w:rPr>
              <w:t>'</w:t>
            </w:r>
            <w:r w:rsidRPr="00730563">
              <w:rPr>
                <w:lang w:val="fr-CH"/>
              </w:rPr>
              <w:t>il était prévu d</w:t>
            </w:r>
            <w:r>
              <w:rPr>
                <w:lang w:val="fr-CH"/>
              </w:rPr>
              <w:t>'</w:t>
            </w:r>
            <w:r w:rsidRPr="00730563">
              <w:rPr>
                <w:lang w:val="fr-CH"/>
              </w:rPr>
              <w:t>exploiter dans la gamme</w:t>
            </w:r>
            <w:r>
              <w:rPr>
                <w:lang w:val="fr-CH"/>
              </w:rPr>
              <w:t xml:space="preserve"> </w:t>
            </w:r>
            <w:r w:rsidRPr="00730563">
              <w:rPr>
                <w:lang w:val="fr-CH"/>
              </w:rPr>
              <w:t>37</w:t>
            </w:r>
            <w:r>
              <w:rPr>
                <w:lang w:val="fr-CH"/>
              </w:rPr>
              <w:t>,</w:t>
            </w:r>
            <w:r w:rsidRPr="00730563">
              <w:rPr>
                <w:lang w:val="fr-CH"/>
              </w:rPr>
              <w:t>5-50</w:t>
            </w:r>
            <w:r>
              <w:rPr>
                <w:lang w:val="fr-CH"/>
              </w:rPr>
              <w:t>,</w:t>
            </w:r>
            <w:r w:rsidRPr="00730563">
              <w:rPr>
                <w:lang w:val="fr-CH"/>
              </w:rPr>
              <w:t>2</w:t>
            </w:r>
            <w:r>
              <w:rPr>
                <w:lang w:val="fr-CH"/>
              </w:rPr>
              <w:t> </w:t>
            </w:r>
            <w:r w:rsidRPr="00730563">
              <w:rPr>
                <w:lang w:val="fr-CH"/>
              </w:rPr>
              <w:t>GHz n</w:t>
            </w:r>
            <w:r>
              <w:rPr>
                <w:lang w:val="fr-CH"/>
              </w:rPr>
              <w:t>'</w:t>
            </w:r>
            <w:r w:rsidRPr="00730563">
              <w:rPr>
                <w:lang w:val="fr-CH"/>
              </w:rPr>
              <w:t>était pas parvenue à</w:t>
            </w:r>
            <w:r>
              <w:rPr>
                <w:lang w:val="fr-CH"/>
              </w:rPr>
              <w:t xml:space="preserve"> </w:t>
            </w:r>
            <w:r w:rsidRPr="00730563">
              <w:rPr>
                <w:lang w:val="fr-CH"/>
              </w:rPr>
              <w:t>un degré</w:t>
            </w:r>
            <w:r>
              <w:rPr>
                <w:lang w:val="fr-CH"/>
              </w:rPr>
              <w:t xml:space="preserve"> </w:t>
            </w:r>
            <w:r w:rsidRPr="00730563">
              <w:rPr>
                <w:lang w:val="fr-CH"/>
              </w:rPr>
              <w:t>de maturité suffisant pour permettre</w:t>
            </w:r>
            <w:r>
              <w:rPr>
                <w:lang w:val="fr-CH"/>
              </w:rPr>
              <w:t xml:space="preserve"> la réalisation des études.</w:t>
            </w:r>
            <w:r w:rsidRPr="00730563">
              <w:rPr>
                <w:lang w:val="fr-CH"/>
              </w:rPr>
              <w:t xml:space="preserve"> En conséquence, il a été décidé de supprimer la</w:t>
            </w:r>
            <w:r>
              <w:rPr>
                <w:lang w:val="fr-CH"/>
              </w:rPr>
              <w:t xml:space="preserve"> Résolution</w:t>
            </w:r>
            <w:r w:rsidRPr="00730563">
              <w:rPr>
                <w:lang w:val="fr-CH"/>
              </w:rPr>
              <w:t xml:space="preserve"> 136 (</w:t>
            </w:r>
            <w:r>
              <w:rPr>
                <w:lang w:val="fr-CH"/>
              </w:rPr>
              <w:t>CMR</w:t>
            </w:r>
            <w:r w:rsidRPr="00730563">
              <w:rPr>
                <w:lang w:val="fr-CH"/>
              </w:rPr>
              <w:t>-00)</w:t>
            </w:r>
            <w:r>
              <w:rPr>
                <w:lang w:val="fr-CH"/>
              </w:rPr>
              <w:t xml:space="preserve">, selon la demande future du </w:t>
            </w:r>
            <w:r w:rsidRPr="00730563">
              <w:rPr>
                <w:lang w:val="fr-CH"/>
              </w:rPr>
              <w:t>secteur des télécommunica</w:t>
            </w:r>
            <w:r>
              <w:rPr>
                <w:lang w:val="fr-CH"/>
              </w:rPr>
              <w:t xml:space="preserve">tions par satellite. </w:t>
            </w:r>
            <w:r w:rsidRPr="00730563">
              <w:rPr>
                <w:lang w:val="fr-CH"/>
              </w:rPr>
              <w:t>La</w:t>
            </w:r>
            <w:r>
              <w:rPr>
                <w:lang w:val="fr-CH"/>
              </w:rPr>
              <w:t xml:space="preserve"> </w:t>
            </w:r>
            <w:r w:rsidRPr="00730563">
              <w:rPr>
                <w:lang w:val="fr-CH"/>
              </w:rPr>
              <w:t>CEPT note qu</w:t>
            </w:r>
            <w:r>
              <w:rPr>
                <w:lang w:val="fr-CH"/>
              </w:rPr>
              <w:t>'</w:t>
            </w:r>
            <w:r w:rsidRPr="00730563">
              <w:rPr>
                <w:lang w:val="fr-CH"/>
              </w:rPr>
              <w:t>une telle demande existe à présent, d</w:t>
            </w:r>
            <w:r>
              <w:rPr>
                <w:lang w:val="fr-CH"/>
              </w:rPr>
              <w:t>'</w:t>
            </w:r>
            <w:r w:rsidRPr="00730563">
              <w:rPr>
                <w:lang w:val="fr-CH"/>
              </w:rPr>
              <w:t>où la présente proposition</w:t>
            </w:r>
            <w:r>
              <w:rPr>
                <w:lang w:val="fr-CH"/>
              </w:rPr>
              <w:t>.</w:t>
            </w:r>
          </w:p>
        </w:tc>
      </w:tr>
      <w:tr w:rsidR="00FD175A" w:rsidRPr="00C81716" w:rsidTr="004E10E0">
        <w:tc>
          <w:tcPr>
            <w:tcW w:w="4539" w:type="dxa"/>
            <w:gridSpan w:val="2"/>
            <w:tcBorders>
              <w:top w:val="single" w:sz="4" w:space="0" w:color="auto"/>
              <w:left w:val="nil"/>
              <w:bottom w:val="single" w:sz="4" w:space="0" w:color="auto"/>
              <w:right w:val="single" w:sz="4" w:space="0" w:color="auto"/>
            </w:tcBorders>
          </w:tcPr>
          <w:p w:rsidR="00FD175A" w:rsidRPr="00A31EA2" w:rsidRDefault="00FD175A" w:rsidP="004E10E0">
            <w:r w:rsidRPr="0014454C">
              <w:rPr>
                <w:b/>
                <w:bCs/>
                <w:i/>
                <w:iCs/>
                <w:lang w:val="fr-CH"/>
              </w:rPr>
              <w:t>Etudes devant être réalisées par</w:t>
            </w:r>
            <w:r w:rsidRPr="0014454C">
              <w:rPr>
                <w:b/>
                <w:bCs/>
                <w:i/>
                <w:iCs/>
              </w:rPr>
              <w:t>:</w:t>
            </w:r>
          </w:p>
          <w:p w:rsidR="00FD175A" w:rsidRPr="009E4745" w:rsidRDefault="00FD175A" w:rsidP="00F932E9">
            <w:pPr>
              <w:rPr>
                <w:b/>
                <w:i/>
                <w:color w:val="000000"/>
                <w:lang w:val="fr-CH"/>
              </w:rPr>
            </w:pPr>
            <w:r>
              <w:rPr>
                <w:color w:val="000000"/>
              </w:rPr>
              <w:t xml:space="preserve">GT </w:t>
            </w:r>
            <w:r w:rsidR="00F932E9">
              <w:rPr>
                <w:color w:val="000000"/>
              </w:rPr>
              <w:t>4</w:t>
            </w:r>
            <w:r>
              <w:rPr>
                <w:color w:val="000000"/>
              </w:rPr>
              <w:t>A</w:t>
            </w:r>
          </w:p>
        </w:tc>
        <w:tc>
          <w:tcPr>
            <w:tcW w:w="5100" w:type="dxa"/>
            <w:tcBorders>
              <w:top w:val="single" w:sz="4" w:space="0" w:color="auto"/>
              <w:left w:val="single" w:sz="4" w:space="0" w:color="auto"/>
              <w:bottom w:val="single" w:sz="4" w:space="0" w:color="auto"/>
              <w:right w:val="nil"/>
            </w:tcBorders>
          </w:tcPr>
          <w:p w:rsidR="00FD175A" w:rsidRPr="00730563" w:rsidRDefault="00FD175A" w:rsidP="004E10E0">
            <w:pPr>
              <w:rPr>
                <w:b/>
                <w:bCs/>
                <w:i/>
                <w:iCs/>
                <w:lang w:val="fr-CH"/>
              </w:rPr>
            </w:pPr>
            <w:r w:rsidRPr="00504217">
              <w:rPr>
                <w:b/>
                <w:bCs/>
                <w:i/>
                <w:iCs/>
              </w:rPr>
              <w:t>avec la participation de</w:t>
            </w:r>
            <w:r w:rsidRPr="00730563">
              <w:rPr>
                <w:b/>
                <w:bCs/>
                <w:i/>
                <w:iCs/>
                <w:lang w:val="fr-CH"/>
              </w:rPr>
              <w:t>:</w:t>
            </w:r>
          </w:p>
          <w:p w:rsidR="00FD175A" w:rsidRPr="00730563" w:rsidRDefault="00F932E9" w:rsidP="0081024B">
            <w:pPr>
              <w:spacing w:after="40"/>
              <w:rPr>
                <w:b/>
                <w:i/>
                <w:color w:val="000000"/>
                <w:lang w:val="fr-CH"/>
              </w:rPr>
            </w:pPr>
            <w:r w:rsidRPr="00730563">
              <w:rPr>
                <w:color w:val="000000"/>
                <w:lang w:val="fr-CH"/>
              </w:rPr>
              <w:t>Administrations et Membres du Secteur de l</w:t>
            </w:r>
            <w:r>
              <w:rPr>
                <w:color w:val="000000"/>
                <w:lang w:val="fr-CH"/>
              </w:rPr>
              <w:t>'</w:t>
            </w:r>
            <w:r w:rsidRPr="00730563">
              <w:rPr>
                <w:color w:val="000000"/>
                <w:lang w:val="fr-CH"/>
              </w:rPr>
              <w:t>UIT</w:t>
            </w:r>
            <w:r>
              <w:rPr>
                <w:color w:val="000000"/>
                <w:lang w:val="fr-CH"/>
              </w:rPr>
              <w:noBreakHyphen/>
            </w:r>
            <w:r w:rsidRPr="00730563">
              <w:rPr>
                <w:color w:val="000000"/>
                <w:lang w:val="fr-CH"/>
              </w:rPr>
              <w:t>R. Les contributions du</w:t>
            </w:r>
            <w:r>
              <w:rPr>
                <w:color w:val="000000"/>
                <w:lang w:val="fr-CH"/>
              </w:rPr>
              <w:t xml:space="preserve"> </w:t>
            </w:r>
            <w:r>
              <w:rPr>
                <w:color w:val="000000"/>
              </w:rPr>
              <w:t xml:space="preserve">secteur des télécommunications spatiales </w:t>
            </w:r>
            <w:r w:rsidRPr="00730563">
              <w:rPr>
                <w:color w:val="000000"/>
                <w:lang w:val="fr-CH"/>
              </w:rPr>
              <w:t>(</w:t>
            </w:r>
            <w:r>
              <w:rPr>
                <w:color w:val="000000"/>
                <w:lang w:val="fr-CH"/>
              </w:rPr>
              <w:t>sur les systèmes</w:t>
            </w:r>
            <w:r w:rsidRPr="00730563">
              <w:rPr>
                <w:color w:val="000000"/>
                <w:lang w:val="fr-CH"/>
              </w:rPr>
              <w:t xml:space="preserve"> </w:t>
            </w:r>
            <w:r>
              <w:rPr>
                <w:color w:val="000000"/>
                <w:lang w:val="fr-CH"/>
              </w:rPr>
              <w:t>OSG</w:t>
            </w:r>
            <w:r w:rsidRPr="00730563">
              <w:rPr>
                <w:color w:val="000000"/>
                <w:lang w:val="fr-CH"/>
              </w:rPr>
              <w:t>/non OSG</w:t>
            </w:r>
            <w:r>
              <w:rPr>
                <w:color w:val="000000"/>
                <w:lang w:val="fr-CH"/>
              </w:rPr>
              <w:t>) et</w:t>
            </w:r>
            <w:r w:rsidRPr="00730563">
              <w:rPr>
                <w:color w:val="000000"/>
                <w:lang w:val="fr-CH"/>
              </w:rPr>
              <w:t xml:space="preserve"> des services de Terre devraient permettre de déterminer des conditions de partage appropriées</w:t>
            </w:r>
            <w:r>
              <w:rPr>
                <w:color w:val="000000"/>
                <w:lang w:val="fr-CH"/>
              </w:rPr>
              <w:br/>
            </w:r>
          </w:p>
        </w:tc>
      </w:tr>
      <w:tr w:rsidR="00FD175A" w:rsidRPr="009E4745" w:rsidTr="004E10E0">
        <w:tc>
          <w:tcPr>
            <w:tcW w:w="9639" w:type="dxa"/>
            <w:gridSpan w:val="3"/>
            <w:tcBorders>
              <w:top w:val="single" w:sz="4" w:space="0" w:color="auto"/>
              <w:left w:val="nil"/>
              <w:bottom w:val="single" w:sz="4" w:space="0" w:color="auto"/>
              <w:right w:val="nil"/>
            </w:tcBorders>
          </w:tcPr>
          <w:p w:rsidR="00FD175A" w:rsidRPr="00A31EA2" w:rsidRDefault="00FD175A" w:rsidP="00F932E9">
            <w:pPr>
              <w:spacing w:before="200"/>
            </w:pPr>
            <w:r w:rsidRPr="0014454C">
              <w:rPr>
                <w:b/>
                <w:bCs/>
                <w:i/>
                <w:iCs/>
                <w:lang w:val="fr-CH"/>
              </w:rPr>
              <w:lastRenderedPageBreak/>
              <w:t>Commissions d'études de l'UIT-R concernées</w:t>
            </w:r>
            <w:r w:rsidRPr="00A31EA2">
              <w:rPr>
                <w:b/>
                <w:bCs/>
                <w:i/>
                <w:iCs/>
              </w:rPr>
              <w:t>:</w:t>
            </w:r>
          </w:p>
          <w:p w:rsidR="00FD175A" w:rsidRPr="009E4745" w:rsidRDefault="00F932E9" w:rsidP="00F932E9">
            <w:pPr>
              <w:rPr>
                <w:b/>
                <w:i/>
                <w:lang w:val="fr-CH"/>
              </w:rPr>
            </w:pPr>
            <w:r w:rsidRPr="00730563">
              <w:rPr>
                <w:lang w:val="fr-CH"/>
              </w:rPr>
              <w:t>CE</w:t>
            </w:r>
            <w:r>
              <w:rPr>
                <w:lang w:val="fr-CH"/>
              </w:rPr>
              <w:t xml:space="preserve"> </w:t>
            </w:r>
            <w:r w:rsidRPr="00730563">
              <w:rPr>
                <w:lang w:val="fr-CH"/>
              </w:rPr>
              <w:t>4 (GT 4C), CE</w:t>
            </w:r>
            <w:r>
              <w:rPr>
                <w:lang w:val="fr-CH"/>
              </w:rPr>
              <w:t xml:space="preserve"> </w:t>
            </w:r>
            <w:r w:rsidRPr="00730563">
              <w:rPr>
                <w:lang w:val="fr-CH"/>
              </w:rPr>
              <w:t>5 (5A, 5C), CE 7 (GT 7B, 7C, 7D)</w:t>
            </w:r>
          </w:p>
        </w:tc>
      </w:tr>
      <w:tr w:rsidR="00FD175A" w:rsidRPr="00C81716" w:rsidTr="004E10E0">
        <w:tc>
          <w:tcPr>
            <w:tcW w:w="9639" w:type="dxa"/>
            <w:gridSpan w:val="3"/>
            <w:tcBorders>
              <w:top w:val="single" w:sz="4" w:space="0" w:color="auto"/>
              <w:left w:val="nil"/>
              <w:bottom w:val="single" w:sz="4" w:space="0" w:color="auto"/>
              <w:right w:val="nil"/>
            </w:tcBorders>
          </w:tcPr>
          <w:p w:rsidR="00FD175A" w:rsidRPr="00A31EA2" w:rsidRDefault="00FD175A" w:rsidP="004E10E0">
            <w:r w:rsidRPr="0014454C">
              <w:rPr>
                <w:b/>
                <w:bCs/>
                <w:i/>
                <w:iCs/>
              </w:rPr>
              <w:t xml:space="preserve">Répercussions au niveau des ressources de l'UIT, y compris incidences financières </w:t>
            </w:r>
            <w:r w:rsidRPr="0014454C">
              <w:rPr>
                <w:b/>
                <w:bCs/>
                <w:i/>
                <w:iCs/>
              </w:rPr>
              <w:br/>
              <w:t>(voir le numéro 126 de la Convention):</w:t>
            </w:r>
          </w:p>
          <w:p w:rsidR="00FD175A" w:rsidRPr="00730563" w:rsidRDefault="00F932E9" w:rsidP="004E10E0">
            <w:pPr>
              <w:rPr>
                <w:b/>
                <w:i/>
                <w:lang w:val="fr-CH"/>
              </w:rPr>
            </w:pPr>
            <w:r>
              <w:rPr>
                <w:color w:val="000000"/>
              </w:rPr>
              <w:t>Ce point proposé de l'ordre du jour sera étudié conformément aux procédures normales ainsi qu'au budget prévu de l'UIT-R</w:t>
            </w:r>
          </w:p>
        </w:tc>
      </w:tr>
      <w:tr w:rsidR="00FD175A" w:rsidRPr="009E4745" w:rsidTr="004E10E0">
        <w:tc>
          <w:tcPr>
            <w:tcW w:w="4539" w:type="dxa"/>
            <w:gridSpan w:val="2"/>
            <w:tcBorders>
              <w:top w:val="single" w:sz="4" w:space="0" w:color="auto"/>
              <w:left w:val="nil"/>
              <w:bottom w:val="single" w:sz="4" w:space="0" w:color="auto"/>
              <w:right w:val="nil"/>
            </w:tcBorders>
          </w:tcPr>
          <w:p w:rsidR="00FD175A" w:rsidRPr="009E4745" w:rsidRDefault="00FD175A" w:rsidP="004E10E0">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FD175A" w:rsidRPr="00A31EA2" w:rsidRDefault="00FD175A" w:rsidP="004E10E0">
            <w:r w:rsidRPr="00695ABE">
              <w:rPr>
                <w:b/>
                <w:bCs/>
                <w:i/>
                <w:iCs/>
              </w:rPr>
              <w:t>Proposition soumise par plusieurs pays:</w:t>
            </w:r>
            <w:r w:rsidRPr="008C0EDF">
              <w:rPr>
                <w:b/>
                <w:bCs/>
              </w:rPr>
              <w:t xml:space="preserve"> </w:t>
            </w:r>
            <w:r w:rsidRPr="009217A6">
              <w:t>Non</w:t>
            </w:r>
          </w:p>
          <w:p w:rsidR="00FD175A" w:rsidRPr="00BF2826" w:rsidRDefault="00FD175A" w:rsidP="004E10E0">
            <w:r w:rsidRPr="003A2ED4">
              <w:rPr>
                <w:b/>
                <w:bCs/>
                <w:i/>
                <w:iCs/>
                <w:lang w:val="fr-CH"/>
              </w:rPr>
              <w:t>Nombre de pays:</w:t>
            </w:r>
          </w:p>
        </w:tc>
      </w:tr>
      <w:tr w:rsidR="00FD175A" w:rsidRPr="00714540" w:rsidTr="004E10E0">
        <w:tc>
          <w:tcPr>
            <w:tcW w:w="9639" w:type="dxa"/>
            <w:gridSpan w:val="3"/>
            <w:tcBorders>
              <w:top w:val="single" w:sz="4" w:space="0" w:color="auto"/>
              <w:left w:val="nil"/>
              <w:bottom w:val="nil"/>
              <w:right w:val="nil"/>
            </w:tcBorders>
          </w:tcPr>
          <w:p w:rsidR="00FD175A" w:rsidRPr="00A31EA2" w:rsidRDefault="00FD175A" w:rsidP="004E10E0">
            <w:r w:rsidRPr="003A2ED4">
              <w:rPr>
                <w:b/>
                <w:bCs/>
                <w:i/>
                <w:iCs/>
              </w:rPr>
              <w:t>Observations</w:t>
            </w:r>
          </w:p>
          <w:p w:rsidR="00FD175A" w:rsidRPr="00714540" w:rsidRDefault="00FD175A" w:rsidP="004E10E0">
            <w:pPr>
              <w:rPr>
                <w:b/>
                <w:i/>
              </w:rPr>
            </w:pPr>
            <w:r>
              <w:t xml:space="preserve">Néant </w:t>
            </w:r>
          </w:p>
        </w:tc>
      </w:tr>
    </w:tbl>
    <w:p w:rsidR="00FD175A" w:rsidRDefault="00FD175A" w:rsidP="00425FA3">
      <w:pPr>
        <w:rPr>
          <w:b/>
          <w:bCs/>
          <w:lang w:val="fr-CH"/>
        </w:rPr>
      </w:pPr>
    </w:p>
    <w:p w:rsidR="00F97D03" w:rsidRPr="00543A08" w:rsidRDefault="00F97D03" w:rsidP="00425FA3">
      <w:pPr>
        <w:tabs>
          <w:tab w:val="clear" w:pos="1134"/>
          <w:tab w:val="clear" w:pos="1871"/>
          <w:tab w:val="clear" w:pos="2268"/>
        </w:tabs>
        <w:overflowPunct/>
        <w:autoSpaceDE/>
        <w:autoSpaceDN/>
        <w:adjustRightInd/>
        <w:spacing w:before="0"/>
        <w:textAlignment w:val="auto"/>
        <w:rPr>
          <w:lang w:val="fr-CH"/>
        </w:rPr>
      </w:pPr>
      <w:r>
        <w:rPr>
          <w:lang w:val="fr-CH"/>
        </w:rPr>
        <w:br w:type="page"/>
      </w:r>
    </w:p>
    <w:p w:rsidR="006B1FD4" w:rsidRDefault="00A846F5" w:rsidP="00425FA3">
      <w:pPr>
        <w:pStyle w:val="Proposal"/>
        <w:keepNext w:val="0"/>
        <w:rPr>
          <w:lang w:val="en-US"/>
        </w:rPr>
      </w:pPr>
      <w:r w:rsidRPr="00B65685">
        <w:rPr>
          <w:lang w:val="en-US"/>
        </w:rPr>
        <w:lastRenderedPageBreak/>
        <w:t>ADD</w:t>
      </w:r>
      <w:r w:rsidRPr="00B65685">
        <w:rPr>
          <w:lang w:val="en-US"/>
        </w:rPr>
        <w:tab/>
        <w:t>EUR/9A25/8</w:t>
      </w:r>
    </w:p>
    <w:p w:rsidR="003C7289" w:rsidRPr="003C7289" w:rsidRDefault="00A500DC" w:rsidP="00425FA3">
      <w:pPr>
        <w:pStyle w:val="ResNo"/>
        <w:keepNext w:val="0"/>
        <w:keepLines w:val="0"/>
      </w:pPr>
      <w:r w:rsidRPr="00730563">
        <w:rPr>
          <w:lang w:val="fr-CH"/>
        </w:rPr>
        <w:t xml:space="preserve">Projet de nouvelle </w:t>
      </w:r>
      <w:r w:rsidR="00BB138D">
        <w:rPr>
          <w:lang w:val="fr-CH"/>
        </w:rPr>
        <w:t>RÉSOLUTION</w:t>
      </w:r>
      <w:r w:rsidR="003C7289" w:rsidRPr="00730563">
        <w:rPr>
          <w:lang w:val="fr-CH"/>
        </w:rPr>
        <w:t xml:space="preserve"> [EUR-G10-6] (</w:t>
      </w:r>
      <w:r w:rsidR="003228B3">
        <w:rPr>
          <w:lang w:val="fr-CH"/>
        </w:rPr>
        <w:t>CMR-15</w:t>
      </w:r>
      <w:r w:rsidR="003C7289" w:rsidRPr="00730563">
        <w:rPr>
          <w:lang w:val="fr-CH"/>
        </w:rPr>
        <w:t>)</w:t>
      </w:r>
    </w:p>
    <w:p w:rsidR="003C7289" w:rsidRPr="00730563" w:rsidRDefault="00F932E9" w:rsidP="00C07A4D">
      <w:pPr>
        <w:pStyle w:val="Restitle"/>
        <w:rPr>
          <w:lang w:val="fr-CH"/>
        </w:rPr>
      </w:pPr>
      <w:r>
        <w:rPr>
          <w:lang w:val="fr-CH"/>
        </w:rPr>
        <w:t>E</w:t>
      </w:r>
      <w:r w:rsidR="00A70AFE">
        <w:rPr>
          <w:lang w:val="fr-CH"/>
        </w:rPr>
        <w:t>tablissement</w:t>
      </w:r>
      <w:r w:rsidR="00A500DC" w:rsidRPr="00730563">
        <w:rPr>
          <w:lang w:val="fr-CH"/>
        </w:rPr>
        <w:t xml:space="preserve"> de limites de puissance dans le service mobile par satellite, le </w:t>
      </w:r>
      <w:r w:rsidR="00EC7B7C" w:rsidRPr="00730563">
        <w:rPr>
          <w:lang w:val="fr-CH"/>
        </w:rPr>
        <w:t>service de météorologie par satellite ou le service d</w:t>
      </w:r>
      <w:r w:rsidR="00B979D7">
        <w:rPr>
          <w:lang w:val="fr-CH"/>
        </w:rPr>
        <w:t>'</w:t>
      </w:r>
      <w:r w:rsidR="00EC7B7C" w:rsidRPr="00730563">
        <w:rPr>
          <w:lang w:val="fr-CH"/>
        </w:rPr>
        <w:t xml:space="preserve">exploration de la Terre </w:t>
      </w:r>
      <w:r w:rsidR="00C07A4D">
        <w:rPr>
          <w:lang w:val="fr-CH"/>
        </w:rPr>
        <w:br/>
      </w:r>
      <w:r w:rsidR="00EC7B7C" w:rsidRPr="00730563">
        <w:rPr>
          <w:lang w:val="fr-CH"/>
        </w:rPr>
        <w:t xml:space="preserve">par satellite dans le sens </w:t>
      </w:r>
      <w:r w:rsidR="00A500DC" w:rsidRPr="00730563">
        <w:rPr>
          <w:lang w:val="fr-CH"/>
        </w:rPr>
        <w:t>Terre vers espace</w:t>
      </w:r>
      <w:r w:rsidR="003228B3">
        <w:rPr>
          <w:lang w:val="fr-CH"/>
        </w:rPr>
        <w:t xml:space="preserve"> </w:t>
      </w:r>
      <w:r w:rsidR="00A500DC" w:rsidRPr="00730563">
        <w:rPr>
          <w:lang w:val="fr-CH"/>
        </w:rPr>
        <w:t xml:space="preserve">dans les bandes de </w:t>
      </w:r>
      <w:r w:rsidR="00C07A4D">
        <w:rPr>
          <w:lang w:val="fr-CH"/>
        </w:rPr>
        <w:br/>
      </w:r>
      <w:r w:rsidR="00A500DC" w:rsidRPr="00730563">
        <w:rPr>
          <w:lang w:val="fr-CH"/>
        </w:rPr>
        <w:t>fréquences</w:t>
      </w:r>
      <w:r w:rsidR="003228B3">
        <w:rPr>
          <w:lang w:val="fr-CH"/>
        </w:rPr>
        <w:t xml:space="preserve"> </w:t>
      </w:r>
      <w:r w:rsidR="003C7289" w:rsidRPr="00730563">
        <w:rPr>
          <w:lang w:val="fr-CH"/>
        </w:rPr>
        <w:t xml:space="preserve">401-403 MHz </w:t>
      </w:r>
      <w:r w:rsidR="00A500DC" w:rsidRPr="00730563">
        <w:rPr>
          <w:lang w:val="fr-CH"/>
        </w:rPr>
        <w:t xml:space="preserve">et </w:t>
      </w:r>
      <w:r w:rsidR="003C7289" w:rsidRPr="00730563">
        <w:rPr>
          <w:lang w:val="fr-CH"/>
        </w:rPr>
        <w:t>399</w:t>
      </w:r>
      <w:r w:rsidR="00C07A4D">
        <w:rPr>
          <w:lang w:val="fr-CH"/>
        </w:rPr>
        <w:t>,</w:t>
      </w:r>
      <w:r w:rsidR="003C7289" w:rsidRPr="00730563">
        <w:rPr>
          <w:lang w:val="fr-CH"/>
        </w:rPr>
        <w:t>9-400</w:t>
      </w:r>
      <w:r w:rsidR="00C07A4D">
        <w:rPr>
          <w:lang w:val="fr-CH"/>
        </w:rPr>
        <w:t>,</w:t>
      </w:r>
      <w:r w:rsidR="003C7289" w:rsidRPr="00730563">
        <w:rPr>
          <w:lang w:val="fr-CH"/>
        </w:rPr>
        <w:t>05 MHz</w:t>
      </w:r>
      <w:r w:rsidR="003228B3">
        <w:rPr>
          <w:lang w:val="fr-CH"/>
        </w:rPr>
        <w:t xml:space="preserve"> </w:t>
      </w:r>
    </w:p>
    <w:p w:rsidR="003C7289" w:rsidRPr="00730563" w:rsidRDefault="001261B0" w:rsidP="00425FA3">
      <w:pPr>
        <w:pStyle w:val="Normalaftertitle"/>
        <w:rPr>
          <w:lang w:val="fr-CH"/>
        </w:rPr>
      </w:pPr>
      <w:r w:rsidRPr="00730563">
        <w:rPr>
          <w:lang w:val="fr-CH"/>
        </w:rPr>
        <w:t xml:space="preserve">La Conférence mondiale des radiocommunications </w:t>
      </w:r>
      <w:r w:rsidR="003C7289" w:rsidRPr="00730563">
        <w:rPr>
          <w:lang w:val="fr-CH"/>
        </w:rPr>
        <w:t>(</w:t>
      </w:r>
      <w:r w:rsidRPr="00730563">
        <w:rPr>
          <w:lang w:val="fr-CH"/>
        </w:rPr>
        <w:t>Genève</w:t>
      </w:r>
      <w:r w:rsidR="003228B3">
        <w:rPr>
          <w:lang w:val="fr-CH"/>
        </w:rPr>
        <w:t>,</w:t>
      </w:r>
      <w:r w:rsidR="003C7289" w:rsidRPr="00730563">
        <w:rPr>
          <w:lang w:val="fr-CH"/>
        </w:rPr>
        <w:t xml:space="preserve"> 2015),</w:t>
      </w:r>
    </w:p>
    <w:p w:rsidR="003C7289" w:rsidRPr="00730563" w:rsidRDefault="00071B1B" w:rsidP="00425FA3">
      <w:pPr>
        <w:pStyle w:val="Call"/>
        <w:rPr>
          <w:lang w:val="fr-CH"/>
        </w:rPr>
      </w:pPr>
      <w:r w:rsidRPr="00730563">
        <w:rPr>
          <w:lang w:val="fr-CH"/>
        </w:rPr>
        <w:t xml:space="preserve">considérant </w:t>
      </w:r>
    </w:p>
    <w:p w:rsidR="003C7289" w:rsidRPr="00730563" w:rsidRDefault="003C7289" w:rsidP="00C07A4D">
      <w:pPr>
        <w:rPr>
          <w:lang w:val="fr-CH"/>
        </w:rPr>
      </w:pPr>
      <w:r w:rsidRPr="00C07A4D">
        <w:rPr>
          <w:i/>
          <w:iCs/>
          <w:lang w:val="fr-CH"/>
        </w:rPr>
        <w:t>a)</w:t>
      </w:r>
      <w:r w:rsidRPr="00730563">
        <w:rPr>
          <w:lang w:val="fr-CH"/>
        </w:rPr>
        <w:tab/>
      </w:r>
      <w:r w:rsidR="00BF109A" w:rsidRPr="00730563">
        <w:rPr>
          <w:lang w:val="fr-CH"/>
        </w:rPr>
        <w:t>que les systèmes du service d</w:t>
      </w:r>
      <w:r w:rsidR="00B979D7">
        <w:rPr>
          <w:lang w:val="fr-CH"/>
        </w:rPr>
        <w:t>'</w:t>
      </w:r>
      <w:r w:rsidR="00BF109A" w:rsidRPr="00730563">
        <w:rPr>
          <w:lang w:val="fr-CH"/>
        </w:rPr>
        <w:t>exploration de la Terre par satellite (SETS</w:t>
      </w:r>
      <w:r w:rsidR="00BF2826">
        <w:rPr>
          <w:lang w:val="fr-CH"/>
        </w:rPr>
        <w:t>)</w:t>
      </w:r>
      <w:r w:rsidR="00C07A4D">
        <w:rPr>
          <w:lang w:val="fr-CH"/>
        </w:rPr>
        <w:t xml:space="preserve"> </w:t>
      </w:r>
      <w:r w:rsidR="00BF109A" w:rsidRPr="00730563">
        <w:rPr>
          <w:lang w:val="fr-CH"/>
        </w:rPr>
        <w:t>et du service de météor</w:t>
      </w:r>
      <w:r w:rsidR="003228B3">
        <w:rPr>
          <w:lang w:val="fr-CH"/>
        </w:rPr>
        <w:t>ologie par satellite (METSAT</w:t>
      </w:r>
      <w:r w:rsidR="00BF2826">
        <w:rPr>
          <w:lang w:val="fr-CH"/>
        </w:rPr>
        <w:t>)</w:t>
      </w:r>
      <w:r w:rsidR="00C07A4D">
        <w:rPr>
          <w:lang w:val="fr-CH"/>
        </w:rPr>
        <w:t xml:space="preserve"> </w:t>
      </w:r>
      <w:r w:rsidR="003228B3">
        <w:rPr>
          <w:lang w:val="fr-CH"/>
        </w:rPr>
        <w:t>(</w:t>
      </w:r>
      <w:r w:rsidR="00BF109A" w:rsidRPr="00730563">
        <w:rPr>
          <w:lang w:val="fr-CH"/>
        </w:rPr>
        <w:t>Terre vers espace</w:t>
      </w:r>
      <w:r w:rsidR="00BF2826">
        <w:rPr>
          <w:lang w:val="fr-CH"/>
        </w:rPr>
        <w:t>)</w:t>
      </w:r>
      <w:r w:rsidR="00C07A4D">
        <w:rPr>
          <w:lang w:val="fr-CH"/>
        </w:rPr>
        <w:t xml:space="preserve"> </w:t>
      </w:r>
      <w:r w:rsidR="00BF109A" w:rsidRPr="00730563">
        <w:rPr>
          <w:lang w:val="fr-CH"/>
        </w:rPr>
        <w:t>déployés dans la bande de fréquences</w:t>
      </w:r>
      <w:r w:rsidR="003228B3">
        <w:rPr>
          <w:lang w:val="fr-CH"/>
        </w:rPr>
        <w:t xml:space="preserve"> </w:t>
      </w:r>
      <w:r w:rsidR="00BF109A" w:rsidRPr="00730563">
        <w:rPr>
          <w:lang w:val="fr-CH"/>
        </w:rPr>
        <w:t>401-403 MHz</w:t>
      </w:r>
      <w:r w:rsidR="003228B3">
        <w:rPr>
          <w:lang w:val="fr-CH"/>
        </w:rPr>
        <w:t>,</w:t>
      </w:r>
      <w:r w:rsidR="00BF109A" w:rsidRPr="00730563">
        <w:rPr>
          <w:lang w:val="fr-CH"/>
        </w:rPr>
        <w:t xml:space="preserve"> et du service mobile par satellite (SMS</w:t>
      </w:r>
      <w:r w:rsidR="00BF2826">
        <w:rPr>
          <w:lang w:val="fr-CH"/>
        </w:rPr>
        <w:t>)</w:t>
      </w:r>
      <w:r w:rsidR="00C07A4D">
        <w:rPr>
          <w:lang w:val="fr-CH"/>
        </w:rPr>
        <w:t xml:space="preserve"> </w:t>
      </w:r>
      <w:r w:rsidR="00BF109A" w:rsidRPr="00730563">
        <w:rPr>
          <w:lang w:val="fr-CH"/>
        </w:rPr>
        <w:t>(Terre vers espace</w:t>
      </w:r>
      <w:r w:rsidR="00BF2826">
        <w:rPr>
          <w:lang w:val="fr-CH"/>
        </w:rPr>
        <w:t>)</w:t>
      </w:r>
      <w:r w:rsidR="00C07A4D">
        <w:rPr>
          <w:lang w:val="fr-CH"/>
        </w:rPr>
        <w:t xml:space="preserve"> </w:t>
      </w:r>
      <w:r w:rsidR="00BF109A" w:rsidRPr="00730563">
        <w:rPr>
          <w:lang w:val="fr-CH"/>
        </w:rPr>
        <w:t>dans la bande de fréquences 399</w:t>
      </w:r>
      <w:r w:rsidR="00C07A4D">
        <w:rPr>
          <w:lang w:val="fr-CH"/>
        </w:rPr>
        <w:t>,</w:t>
      </w:r>
      <w:r w:rsidR="00BF109A" w:rsidRPr="00730563">
        <w:rPr>
          <w:lang w:val="fr-CH"/>
        </w:rPr>
        <w:t>9-400</w:t>
      </w:r>
      <w:r w:rsidR="00C07A4D">
        <w:rPr>
          <w:lang w:val="fr-CH"/>
        </w:rPr>
        <w:t>,</w:t>
      </w:r>
      <w:r w:rsidR="00BF109A" w:rsidRPr="00730563">
        <w:rPr>
          <w:lang w:val="fr-CH"/>
        </w:rPr>
        <w:t xml:space="preserve">05 MHz, sont actuellement utilisés par des plates-formes de collecte de données exploitées par des agences spatiales et des </w:t>
      </w:r>
      <w:r w:rsidR="00BF109A">
        <w:rPr>
          <w:color w:val="000000"/>
        </w:rPr>
        <w:t>instituts météorologiques</w:t>
      </w:r>
      <w:r w:rsidR="003228B3">
        <w:rPr>
          <w:lang w:val="fr-CH"/>
        </w:rPr>
        <w:t>;</w:t>
      </w:r>
    </w:p>
    <w:p w:rsidR="003C7289" w:rsidRPr="00730563" w:rsidRDefault="003C7289" w:rsidP="00425FA3">
      <w:pPr>
        <w:rPr>
          <w:lang w:val="fr-CH"/>
        </w:rPr>
      </w:pPr>
      <w:r w:rsidRPr="00C07A4D">
        <w:rPr>
          <w:i/>
          <w:iCs/>
          <w:lang w:val="fr-CH"/>
        </w:rPr>
        <w:t>b)</w:t>
      </w:r>
      <w:r w:rsidRPr="00730563">
        <w:rPr>
          <w:lang w:val="fr-CH"/>
        </w:rPr>
        <w:tab/>
      </w:r>
      <w:r w:rsidR="00BF109A" w:rsidRPr="00730563">
        <w:rPr>
          <w:lang w:val="fr-CH"/>
        </w:rPr>
        <w:t>que ces systèmes utilisent généralement des niveaux de puissance faibles à modérés</w:t>
      </w:r>
      <w:r w:rsidR="003228B3">
        <w:rPr>
          <w:lang w:val="fr-CH"/>
        </w:rPr>
        <w:t>;</w:t>
      </w:r>
      <w:r w:rsidRPr="00730563">
        <w:rPr>
          <w:lang w:val="fr-CH"/>
        </w:rPr>
        <w:t xml:space="preserve"> </w:t>
      </w:r>
    </w:p>
    <w:p w:rsidR="003C7289" w:rsidRPr="00730563" w:rsidRDefault="003C7289" w:rsidP="00425FA3">
      <w:pPr>
        <w:rPr>
          <w:lang w:val="fr-CH"/>
        </w:rPr>
      </w:pPr>
      <w:r w:rsidRPr="00C07A4D">
        <w:rPr>
          <w:i/>
          <w:iCs/>
          <w:lang w:val="fr-CH"/>
        </w:rPr>
        <w:t>c)</w:t>
      </w:r>
      <w:r w:rsidRPr="00730563">
        <w:rPr>
          <w:lang w:val="fr-CH"/>
        </w:rPr>
        <w:tab/>
      </w:r>
      <w:r w:rsidR="00BF109A" w:rsidRPr="00730563">
        <w:rPr>
          <w:lang w:val="fr-CH"/>
        </w:rPr>
        <w:t xml:space="preserve">que </w:t>
      </w:r>
      <w:r w:rsidR="00A70AFE" w:rsidRPr="00730563">
        <w:rPr>
          <w:lang w:val="fr-CH"/>
        </w:rPr>
        <w:t>l</w:t>
      </w:r>
      <w:r w:rsidR="00B979D7">
        <w:rPr>
          <w:lang w:val="fr-CH"/>
        </w:rPr>
        <w:t>'</w:t>
      </w:r>
      <w:r w:rsidR="00A70AFE" w:rsidRPr="00730563">
        <w:rPr>
          <w:lang w:val="fr-CH"/>
        </w:rPr>
        <w:t>UIT</w:t>
      </w:r>
      <w:r w:rsidR="00A70AFE">
        <w:rPr>
          <w:lang w:val="fr-CH"/>
        </w:rPr>
        <w:t>-</w:t>
      </w:r>
      <w:r w:rsidRPr="00730563">
        <w:rPr>
          <w:lang w:val="fr-CH"/>
        </w:rPr>
        <w:t>R</w:t>
      </w:r>
      <w:r w:rsidR="00BF109A" w:rsidRPr="00730563">
        <w:rPr>
          <w:lang w:val="fr-CH"/>
        </w:rPr>
        <w:t xml:space="preserve"> a élaboré des </w:t>
      </w:r>
      <w:r w:rsidR="000F6489" w:rsidRPr="00730563">
        <w:rPr>
          <w:lang w:val="fr-CH"/>
        </w:rPr>
        <w:t>Recommandations</w:t>
      </w:r>
      <w:r w:rsidR="00BF109A" w:rsidRPr="00730563">
        <w:rPr>
          <w:lang w:val="fr-CH"/>
        </w:rPr>
        <w:t xml:space="preserve"> UIT</w:t>
      </w:r>
      <w:r w:rsidR="00BF2826">
        <w:rPr>
          <w:lang w:val="fr-CH"/>
        </w:rPr>
        <w:t>-</w:t>
      </w:r>
      <w:r w:rsidR="00BF109A" w:rsidRPr="00730563">
        <w:rPr>
          <w:lang w:val="fr-CH"/>
        </w:rPr>
        <w:t>R</w:t>
      </w:r>
      <w:r w:rsidR="000F6489" w:rsidRPr="00730563">
        <w:rPr>
          <w:lang w:val="fr-CH"/>
        </w:rPr>
        <w:t xml:space="preserve"> </w:t>
      </w:r>
      <w:r w:rsidR="00BF109A" w:rsidRPr="00730563">
        <w:rPr>
          <w:lang w:val="fr-CH"/>
        </w:rPr>
        <w:t>indiquant l</w:t>
      </w:r>
      <w:r w:rsidR="00B979D7">
        <w:rPr>
          <w:lang w:val="fr-CH"/>
        </w:rPr>
        <w:t>'</w:t>
      </w:r>
      <w:r w:rsidR="00BF109A" w:rsidRPr="00730563">
        <w:rPr>
          <w:lang w:val="fr-CH"/>
        </w:rPr>
        <w:t>utilisation de ces bandes et fixant également des</w:t>
      </w:r>
      <w:r w:rsidR="00BF109A" w:rsidRPr="00BF109A">
        <w:rPr>
          <w:color w:val="000000"/>
        </w:rPr>
        <w:t xml:space="preserve"> </w:t>
      </w:r>
      <w:r w:rsidR="00BF109A">
        <w:rPr>
          <w:color w:val="000000"/>
        </w:rPr>
        <w:t>seuils de brouillage</w:t>
      </w:r>
      <w:r w:rsidR="003228B3">
        <w:rPr>
          <w:lang w:val="fr-CH"/>
        </w:rPr>
        <w:t>;</w:t>
      </w:r>
    </w:p>
    <w:p w:rsidR="003C7289" w:rsidRPr="00730563" w:rsidRDefault="003C7289" w:rsidP="00425FA3">
      <w:pPr>
        <w:rPr>
          <w:lang w:val="fr-CH"/>
        </w:rPr>
      </w:pPr>
      <w:r w:rsidRPr="00C07A4D">
        <w:rPr>
          <w:i/>
          <w:iCs/>
          <w:lang w:val="fr-CH"/>
        </w:rPr>
        <w:t>d)</w:t>
      </w:r>
      <w:r w:rsidRPr="00730563">
        <w:rPr>
          <w:lang w:val="fr-CH"/>
        </w:rPr>
        <w:tab/>
      </w:r>
      <w:r w:rsidR="00BF109A" w:rsidRPr="00730563">
        <w:rPr>
          <w:lang w:val="fr-CH"/>
        </w:rPr>
        <w:t xml:space="preserve">que la plupart de ces systèmes sont essentiels </w:t>
      </w:r>
      <w:r w:rsidR="00BA4F7B" w:rsidRPr="00730563">
        <w:rPr>
          <w:lang w:val="fr-CH"/>
        </w:rPr>
        <w:t>pour les changements climatiques, la surveillance des océans, les ressources météorologiques et les ressources en eau, la protection de la biodiversité et l</w:t>
      </w:r>
      <w:r w:rsidR="00B979D7">
        <w:rPr>
          <w:lang w:val="fr-CH"/>
        </w:rPr>
        <w:t>'</w:t>
      </w:r>
      <w:r w:rsidR="00BA4F7B" w:rsidRPr="00730563">
        <w:rPr>
          <w:lang w:val="fr-CH"/>
        </w:rPr>
        <w:t>amélioration de la sécurité maritime</w:t>
      </w:r>
      <w:r w:rsidR="003228B3">
        <w:rPr>
          <w:lang w:val="fr-CH"/>
        </w:rPr>
        <w:t>;</w:t>
      </w:r>
    </w:p>
    <w:p w:rsidR="003C7289" w:rsidRPr="00730563" w:rsidRDefault="003C7289" w:rsidP="00425FA3">
      <w:pPr>
        <w:rPr>
          <w:lang w:val="fr-CH"/>
        </w:rPr>
      </w:pPr>
      <w:r w:rsidRPr="00C07A4D">
        <w:rPr>
          <w:i/>
          <w:iCs/>
          <w:lang w:val="fr-CH"/>
        </w:rPr>
        <w:t>e)</w:t>
      </w:r>
      <w:r w:rsidRPr="00730563">
        <w:rPr>
          <w:lang w:val="fr-CH"/>
        </w:rPr>
        <w:tab/>
      </w:r>
      <w:r w:rsidR="00BA4F7B" w:rsidRPr="00730563">
        <w:rPr>
          <w:lang w:val="fr-CH"/>
        </w:rPr>
        <w:t>que de plus en plus d</w:t>
      </w:r>
      <w:r w:rsidR="00B979D7">
        <w:rPr>
          <w:lang w:val="fr-CH"/>
        </w:rPr>
        <w:t>'</w:t>
      </w:r>
      <w:r w:rsidR="00BA4F7B" w:rsidRPr="00730563">
        <w:rPr>
          <w:lang w:val="fr-CH"/>
        </w:rPr>
        <w:t>opérateurs</w:t>
      </w:r>
      <w:r w:rsidR="003228B3">
        <w:rPr>
          <w:lang w:val="fr-CH"/>
        </w:rPr>
        <w:t xml:space="preserve"> </w:t>
      </w:r>
      <w:r w:rsidR="00BA4F7B">
        <w:rPr>
          <w:color w:val="000000"/>
        </w:rPr>
        <w:t>de systèmes à satellites projettent d</w:t>
      </w:r>
      <w:r w:rsidR="00B979D7">
        <w:rPr>
          <w:color w:val="000000"/>
        </w:rPr>
        <w:t>'</w:t>
      </w:r>
      <w:r w:rsidR="00BA4F7B">
        <w:rPr>
          <w:color w:val="000000"/>
        </w:rPr>
        <w:t>utiliser ces bandes de fréquences essentiellement pour la télécommande (Terre vers espace</w:t>
      </w:r>
      <w:r w:rsidR="00A70AFE">
        <w:rPr>
          <w:color w:val="000000"/>
        </w:rPr>
        <w:t>)</w:t>
      </w:r>
      <w:r w:rsidR="00BA4F7B">
        <w:rPr>
          <w:color w:val="000000"/>
        </w:rPr>
        <w:t>, dans le cadre d</w:t>
      </w:r>
      <w:r w:rsidR="00B979D7">
        <w:rPr>
          <w:color w:val="000000"/>
        </w:rPr>
        <w:t>'</w:t>
      </w:r>
      <w:r w:rsidR="00BA4F7B">
        <w:rPr>
          <w:color w:val="000000"/>
        </w:rPr>
        <w:t>attributions</w:t>
      </w:r>
      <w:r w:rsidR="003228B3">
        <w:rPr>
          <w:color w:val="000000"/>
        </w:rPr>
        <w:t xml:space="preserve"> </w:t>
      </w:r>
      <w:r w:rsidR="00BA4F7B">
        <w:rPr>
          <w:color w:val="000000"/>
        </w:rPr>
        <w:t>du SETS</w:t>
      </w:r>
      <w:r w:rsidR="003228B3">
        <w:rPr>
          <w:color w:val="000000"/>
        </w:rPr>
        <w:t>,</w:t>
      </w:r>
      <w:r w:rsidR="00BA4F7B">
        <w:rPr>
          <w:color w:val="000000"/>
        </w:rPr>
        <w:t xml:space="preserve"> du service</w:t>
      </w:r>
      <w:r w:rsidR="00BA4F7B" w:rsidRPr="00730563">
        <w:rPr>
          <w:lang w:val="fr-CH"/>
        </w:rPr>
        <w:t xml:space="preserve"> METSAT ou du SMS et que les réseaux à satellite correspondants concernent généralement de petits satellites</w:t>
      </w:r>
      <w:r w:rsidR="003228B3">
        <w:rPr>
          <w:color w:val="000000"/>
        </w:rPr>
        <w:t>,</w:t>
      </w:r>
    </w:p>
    <w:p w:rsidR="003C7289" w:rsidRPr="00730563" w:rsidRDefault="00071B1B" w:rsidP="00425FA3">
      <w:pPr>
        <w:pStyle w:val="Call"/>
        <w:rPr>
          <w:lang w:val="fr-CH"/>
        </w:rPr>
      </w:pPr>
      <w:r w:rsidRPr="00730563">
        <w:rPr>
          <w:lang w:val="fr-CH"/>
        </w:rPr>
        <w:t>considérant</w:t>
      </w:r>
      <w:r w:rsidR="003228B3">
        <w:rPr>
          <w:lang w:val="fr-CH"/>
        </w:rPr>
        <w:t xml:space="preserve"> </w:t>
      </w:r>
      <w:r w:rsidR="00BA4F7B" w:rsidRPr="00730563">
        <w:rPr>
          <w:lang w:val="fr-CH"/>
        </w:rPr>
        <w:t>en outre</w:t>
      </w:r>
    </w:p>
    <w:p w:rsidR="003C7289" w:rsidRPr="00730563" w:rsidRDefault="003C7289" w:rsidP="00C07A4D">
      <w:pPr>
        <w:rPr>
          <w:lang w:val="fr-CH"/>
        </w:rPr>
      </w:pPr>
      <w:r w:rsidRPr="00C07A4D">
        <w:rPr>
          <w:i/>
          <w:iCs/>
          <w:lang w:val="fr-CH"/>
        </w:rPr>
        <w:t>a)</w:t>
      </w:r>
      <w:r w:rsidRPr="00730563">
        <w:rPr>
          <w:lang w:val="fr-CH"/>
        </w:rPr>
        <w:tab/>
      </w:r>
      <w:r w:rsidR="00BA4F7B" w:rsidRPr="00730563">
        <w:rPr>
          <w:lang w:val="fr-CH"/>
        </w:rPr>
        <w:t>que les niveaux</w:t>
      </w:r>
      <w:r w:rsidR="003228B3">
        <w:rPr>
          <w:lang w:val="fr-CH"/>
        </w:rPr>
        <w:t xml:space="preserve"> </w:t>
      </w:r>
      <w:r w:rsidR="00BA4F7B">
        <w:rPr>
          <w:color w:val="000000"/>
        </w:rPr>
        <w:t xml:space="preserve">de puissance de sortie des réseaux à satellite visés au point </w:t>
      </w:r>
      <w:r w:rsidR="00BA4F7B" w:rsidRPr="00C07A4D">
        <w:rPr>
          <w:i/>
          <w:iCs/>
          <w:lang w:val="fr-CH"/>
        </w:rPr>
        <w:t>e</w:t>
      </w:r>
      <w:r w:rsidR="00BF2826" w:rsidRPr="00C07A4D">
        <w:rPr>
          <w:i/>
          <w:iCs/>
          <w:lang w:val="fr-CH"/>
        </w:rPr>
        <w:t>)</w:t>
      </w:r>
      <w:r w:rsidR="00C07A4D">
        <w:rPr>
          <w:lang w:val="fr-CH"/>
        </w:rPr>
        <w:t xml:space="preserve"> </w:t>
      </w:r>
      <w:r w:rsidR="00BA4F7B">
        <w:rPr>
          <w:color w:val="000000"/>
        </w:rPr>
        <w:t xml:space="preserve">du </w:t>
      </w:r>
      <w:r w:rsidR="00BA4F7B" w:rsidRPr="00C07A4D">
        <w:rPr>
          <w:i/>
          <w:iCs/>
          <w:color w:val="000000"/>
        </w:rPr>
        <w:t>considérant</w:t>
      </w:r>
      <w:r w:rsidR="003228B3">
        <w:rPr>
          <w:color w:val="000000"/>
        </w:rPr>
        <w:t>,</w:t>
      </w:r>
      <w:r w:rsidR="003228B3">
        <w:rPr>
          <w:lang w:val="fr-CH"/>
        </w:rPr>
        <w:t xml:space="preserve"> </w:t>
      </w:r>
      <w:r w:rsidR="00BA4F7B">
        <w:rPr>
          <w:color w:val="000000"/>
        </w:rPr>
        <w:t>à la borne de l'antenne de ces liaisons de télécommande (Terre vers espace)</w:t>
      </w:r>
      <w:r w:rsidR="00252CB9">
        <w:rPr>
          <w:color w:val="000000"/>
        </w:rPr>
        <w:t>,</w:t>
      </w:r>
      <w:r w:rsidR="00BA4F7B">
        <w:rPr>
          <w:color w:val="000000"/>
        </w:rPr>
        <w:t xml:space="preserve"> peuvent être nettement supérieurs aux niveaux de puissance faibles à modérés généralement utilisés</w:t>
      </w:r>
      <w:r w:rsidR="003228B3">
        <w:rPr>
          <w:color w:val="000000"/>
        </w:rPr>
        <w:t xml:space="preserve"> </w:t>
      </w:r>
      <w:r w:rsidR="00A70AFE">
        <w:rPr>
          <w:lang w:val="fr-CH"/>
        </w:rPr>
        <w:t>par les liaisons de service du</w:t>
      </w:r>
      <w:r w:rsidR="003228B3">
        <w:rPr>
          <w:lang w:val="fr-CH"/>
        </w:rPr>
        <w:t xml:space="preserve"> </w:t>
      </w:r>
      <w:r w:rsidR="00BA4F7B" w:rsidRPr="00730563">
        <w:rPr>
          <w:lang w:val="fr-CH"/>
        </w:rPr>
        <w:t>SETS</w:t>
      </w:r>
      <w:r w:rsidR="003228B3">
        <w:rPr>
          <w:lang w:val="fr-CH"/>
        </w:rPr>
        <w:t xml:space="preserve">, </w:t>
      </w:r>
      <w:r w:rsidR="00A70AFE">
        <w:rPr>
          <w:lang w:val="fr-CH"/>
        </w:rPr>
        <w:t xml:space="preserve">du service </w:t>
      </w:r>
      <w:r w:rsidRPr="00730563">
        <w:rPr>
          <w:lang w:val="fr-CH"/>
        </w:rPr>
        <w:t>METSAT</w:t>
      </w:r>
      <w:r w:rsidR="00BA4F7B" w:rsidRPr="00730563">
        <w:rPr>
          <w:lang w:val="fr-CH"/>
        </w:rPr>
        <w:t xml:space="preserve"> ou</w:t>
      </w:r>
      <w:r w:rsidR="003228B3">
        <w:rPr>
          <w:lang w:val="fr-CH"/>
        </w:rPr>
        <w:t xml:space="preserve"> </w:t>
      </w:r>
      <w:r w:rsidR="00A70AFE">
        <w:rPr>
          <w:lang w:val="fr-CH"/>
        </w:rPr>
        <w:t xml:space="preserve">du </w:t>
      </w:r>
      <w:r w:rsidR="00BA4F7B" w:rsidRPr="00730563">
        <w:rPr>
          <w:lang w:val="fr-CH"/>
        </w:rPr>
        <w:t>SMS</w:t>
      </w:r>
      <w:r w:rsidR="003228B3">
        <w:rPr>
          <w:lang w:val="fr-CH"/>
        </w:rPr>
        <w:t>,</w:t>
      </w:r>
      <w:r w:rsidRPr="00730563">
        <w:rPr>
          <w:lang w:val="fr-CH"/>
        </w:rPr>
        <w:t xml:space="preserve"> </w:t>
      </w:r>
      <w:r w:rsidR="00A70AFE">
        <w:rPr>
          <w:lang w:val="fr-CH"/>
        </w:rPr>
        <w:t>mentionnés</w:t>
      </w:r>
      <w:r w:rsidR="00252CB9" w:rsidRPr="00730563">
        <w:rPr>
          <w:lang w:val="fr-CH"/>
        </w:rPr>
        <w:t xml:space="preserve"> </w:t>
      </w:r>
      <w:r w:rsidR="00BA4F7B" w:rsidRPr="00730563">
        <w:rPr>
          <w:lang w:val="fr-CH"/>
        </w:rPr>
        <w:t>au</w:t>
      </w:r>
      <w:r w:rsidR="00252CB9" w:rsidRPr="00730563">
        <w:rPr>
          <w:lang w:val="fr-CH"/>
        </w:rPr>
        <w:t xml:space="preserve"> point </w:t>
      </w:r>
      <w:r w:rsidR="00BA4F7B" w:rsidRPr="00C07A4D">
        <w:rPr>
          <w:i/>
          <w:iCs/>
          <w:lang w:val="fr-CH"/>
        </w:rPr>
        <w:t>a</w:t>
      </w:r>
      <w:r w:rsidR="00BF2826" w:rsidRPr="00C07A4D">
        <w:rPr>
          <w:i/>
          <w:iCs/>
          <w:lang w:val="fr-CH"/>
        </w:rPr>
        <w:t>)</w:t>
      </w:r>
      <w:r w:rsidR="00C07A4D">
        <w:rPr>
          <w:lang w:val="fr-CH"/>
        </w:rPr>
        <w:t xml:space="preserve"> </w:t>
      </w:r>
      <w:r w:rsidR="00BA4F7B" w:rsidRPr="00730563">
        <w:rPr>
          <w:lang w:val="fr-CH"/>
        </w:rPr>
        <w:t xml:space="preserve">du </w:t>
      </w:r>
      <w:r w:rsidR="00BA4F7B" w:rsidRPr="00C07A4D">
        <w:rPr>
          <w:i/>
          <w:iCs/>
          <w:lang w:val="fr-CH"/>
        </w:rPr>
        <w:t>considérant</w:t>
      </w:r>
      <w:r w:rsidR="00BA4F7B" w:rsidRPr="00730563">
        <w:rPr>
          <w:lang w:val="fr-CH"/>
        </w:rPr>
        <w:t xml:space="preserve">, </w:t>
      </w:r>
      <w:r w:rsidR="001F4177" w:rsidRPr="00730563">
        <w:rPr>
          <w:lang w:val="fr-CH"/>
        </w:rPr>
        <w:t>dans les bandes de fréquences</w:t>
      </w:r>
      <w:r w:rsidR="003228B3">
        <w:rPr>
          <w:lang w:val="fr-CH"/>
        </w:rPr>
        <w:t xml:space="preserve"> </w:t>
      </w:r>
      <w:r w:rsidRPr="00730563">
        <w:rPr>
          <w:lang w:val="fr-CH"/>
        </w:rPr>
        <w:t>401-403 MHz</w:t>
      </w:r>
      <w:r w:rsidR="003228B3">
        <w:rPr>
          <w:lang w:val="fr-CH"/>
        </w:rPr>
        <w:t xml:space="preserve"> </w:t>
      </w:r>
      <w:r w:rsidR="001F4177" w:rsidRPr="00730563">
        <w:rPr>
          <w:lang w:val="fr-CH"/>
        </w:rPr>
        <w:t>et</w:t>
      </w:r>
      <w:r w:rsidR="003228B3">
        <w:rPr>
          <w:lang w:val="fr-CH"/>
        </w:rPr>
        <w:t xml:space="preserve"> </w:t>
      </w:r>
      <w:r w:rsidRPr="00730563">
        <w:rPr>
          <w:lang w:val="fr-CH"/>
        </w:rPr>
        <w:t>399</w:t>
      </w:r>
      <w:r w:rsidR="00C07A4D">
        <w:rPr>
          <w:lang w:val="fr-CH"/>
        </w:rPr>
        <w:t>,</w:t>
      </w:r>
      <w:r w:rsidRPr="00730563">
        <w:rPr>
          <w:lang w:val="fr-CH"/>
        </w:rPr>
        <w:t>9-400</w:t>
      </w:r>
      <w:r w:rsidR="00C07A4D">
        <w:rPr>
          <w:lang w:val="fr-CH"/>
        </w:rPr>
        <w:t>,</w:t>
      </w:r>
      <w:r w:rsidRPr="00730563">
        <w:rPr>
          <w:lang w:val="fr-CH"/>
        </w:rPr>
        <w:t>05 MHz;</w:t>
      </w:r>
    </w:p>
    <w:p w:rsidR="003C7289" w:rsidRPr="00730563" w:rsidRDefault="003C7289" w:rsidP="00C07A4D">
      <w:pPr>
        <w:rPr>
          <w:lang w:val="fr-CH"/>
        </w:rPr>
      </w:pPr>
      <w:r w:rsidRPr="00C07A4D">
        <w:rPr>
          <w:i/>
          <w:iCs/>
          <w:lang w:val="fr-CH"/>
        </w:rPr>
        <w:t>b)</w:t>
      </w:r>
      <w:r w:rsidRPr="00730563">
        <w:rPr>
          <w:lang w:val="fr-CH"/>
        </w:rPr>
        <w:tab/>
      </w:r>
      <w:r w:rsidR="001F4177" w:rsidRPr="00730563">
        <w:rPr>
          <w:lang w:val="fr-CH"/>
        </w:rPr>
        <w:t>que, conformément aux Recommandations de l</w:t>
      </w:r>
      <w:r w:rsidR="00B979D7">
        <w:rPr>
          <w:lang w:val="fr-CH"/>
        </w:rPr>
        <w:t>'</w:t>
      </w:r>
      <w:r w:rsidR="001F4177" w:rsidRPr="00730563">
        <w:rPr>
          <w:lang w:val="fr-CH"/>
        </w:rPr>
        <w:t>UIT-R, l</w:t>
      </w:r>
      <w:r w:rsidR="00B979D7">
        <w:rPr>
          <w:lang w:val="fr-CH"/>
        </w:rPr>
        <w:t>'</w:t>
      </w:r>
      <w:r w:rsidR="001F4177" w:rsidRPr="00730563">
        <w:rPr>
          <w:lang w:val="fr-CH"/>
        </w:rPr>
        <w:t xml:space="preserve">utilisation des bandes de fréquences 401-403 MHz </w:t>
      </w:r>
      <w:r w:rsidR="00C07A4D">
        <w:rPr>
          <w:lang w:val="fr-CH"/>
        </w:rPr>
        <w:t>et</w:t>
      </w:r>
      <w:r w:rsidR="001F4177" w:rsidRPr="00730563">
        <w:rPr>
          <w:lang w:val="fr-CH"/>
        </w:rPr>
        <w:t xml:space="preserve"> 399</w:t>
      </w:r>
      <w:r w:rsidR="00C07A4D">
        <w:rPr>
          <w:lang w:val="fr-CH"/>
        </w:rPr>
        <w:t>,</w:t>
      </w:r>
      <w:r w:rsidR="001F4177" w:rsidRPr="00730563">
        <w:rPr>
          <w:lang w:val="fr-CH"/>
        </w:rPr>
        <w:t>9-400</w:t>
      </w:r>
      <w:r w:rsidR="00C07A4D">
        <w:rPr>
          <w:lang w:val="fr-CH"/>
        </w:rPr>
        <w:t>,</w:t>
      </w:r>
      <w:r w:rsidR="001F4177" w:rsidRPr="00730563">
        <w:rPr>
          <w:lang w:val="fr-CH"/>
        </w:rPr>
        <w:t>05 MHz ne comprend pas les opérations de télécommande par satellite</w:t>
      </w:r>
      <w:r w:rsidR="003228B3">
        <w:rPr>
          <w:lang w:val="fr-CH"/>
        </w:rPr>
        <w:t>;</w:t>
      </w:r>
    </w:p>
    <w:p w:rsidR="003C7289" w:rsidRPr="00730563" w:rsidRDefault="003C7289" w:rsidP="003228B3">
      <w:pPr>
        <w:rPr>
          <w:lang w:val="fr-CH"/>
        </w:rPr>
      </w:pPr>
      <w:r w:rsidRPr="00C07A4D">
        <w:rPr>
          <w:i/>
          <w:iCs/>
          <w:lang w:val="fr-CH"/>
        </w:rPr>
        <w:t>c)</w:t>
      </w:r>
      <w:r w:rsidRPr="00730563">
        <w:rPr>
          <w:lang w:val="fr-CH"/>
        </w:rPr>
        <w:tab/>
      </w:r>
      <w:r w:rsidR="001F4177" w:rsidRPr="00730563">
        <w:rPr>
          <w:lang w:val="fr-CH"/>
        </w:rPr>
        <w:t>qu</w:t>
      </w:r>
      <w:r w:rsidR="00B979D7">
        <w:rPr>
          <w:lang w:val="fr-CH"/>
        </w:rPr>
        <w:t>'</w:t>
      </w:r>
      <w:r w:rsidR="001F4177" w:rsidRPr="00730563">
        <w:rPr>
          <w:lang w:val="fr-CH"/>
        </w:rPr>
        <w:t>en conséquence, l</w:t>
      </w:r>
      <w:r w:rsidR="00B979D7">
        <w:rPr>
          <w:lang w:val="fr-CH"/>
        </w:rPr>
        <w:t>'</w:t>
      </w:r>
      <w:r w:rsidR="001F4177" w:rsidRPr="00730563">
        <w:rPr>
          <w:lang w:val="fr-CH"/>
        </w:rPr>
        <w:t>exploitation de ces liaisons de télécommande causerait des brouillages préjudiciables aux récepteurs de satellite p</w:t>
      </w:r>
      <w:r w:rsidR="00A70AFE">
        <w:rPr>
          <w:lang w:val="fr-CH"/>
        </w:rPr>
        <w:t>lacé</w:t>
      </w:r>
      <w:r w:rsidR="001F4177" w:rsidRPr="00730563">
        <w:rPr>
          <w:lang w:val="fr-CH"/>
        </w:rPr>
        <w:t>s</w:t>
      </w:r>
      <w:r w:rsidR="003228B3">
        <w:rPr>
          <w:lang w:val="fr-CH"/>
        </w:rPr>
        <w:t xml:space="preserve"> </w:t>
      </w:r>
      <w:r w:rsidR="001F4177" w:rsidRPr="00730563">
        <w:rPr>
          <w:lang w:val="fr-CH"/>
        </w:rPr>
        <w:t>à bord des satellites du</w:t>
      </w:r>
      <w:r w:rsidR="003228B3">
        <w:rPr>
          <w:lang w:val="fr-CH"/>
        </w:rPr>
        <w:t xml:space="preserve"> </w:t>
      </w:r>
      <w:r w:rsidR="00BA4F7B" w:rsidRPr="00730563">
        <w:rPr>
          <w:lang w:val="fr-CH"/>
        </w:rPr>
        <w:t>SETS</w:t>
      </w:r>
      <w:r w:rsidR="003228B3">
        <w:rPr>
          <w:lang w:val="fr-CH"/>
        </w:rPr>
        <w:t>,</w:t>
      </w:r>
      <w:r w:rsidRPr="00730563">
        <w:rPr>
          <w:lang w:val="fr-CH"/>
        </w:rPr>
        <w:t xml:space="preserve"> </w:t>
      </w:r>
      <w:r w:rsidR="001F4177" w:rsidRPr="00730563">
        <w:rPr>
          <w:lang w:val="fr-CH"/>
        </w:rPr>
        <w:t xml:space="preserve">du service </w:t>
      </w:r>
      <w:r w:rsidRPr="00730563">
        <w:rPr>
          <w:lang w:val="fr-CH"/>
        </w:rPr>
        <w:t>METSAT</w:t>
      </w:r>
      <w:r w:rsidR="001F4177" w:rsidRPr="00730563">
        <w:rPr>
          <w:lang w:val="fr-CH"/>
        </w:rPr>
        <w:t xml:space="preserve"> et du</w:t>
      </w:r>
      <w:r w:rsidR="003228B3">
        <w:rPr>
          <w:lang w:val="fr-CH"/>
        </w:rPr>
        <w:t xml:space="preserve"> </w:t>
      </w:r>
      <w:r w:rsidR="00BF109A" w:rsidRPr="00730563">
        <w:rPr>
          <w:lang w:val="fr-CH"/>
        </w:rPr>
        <w:t>SMS</w:t>
      </w:r>
      <w:r w:rsidR="003228B3">
        <w:rPr>
          <w:lang w:val="fr-CH"/>
        </w:rPr>
        <w:t xml:space="preserve"> </w:t>
      </w:r>
      <w:r w:rsidR="001F4177" w:rsidRPr="00730563">
        <w:rPr>
          <w:lang w:val="fr-CH"/>
        </w:rPr>
        <w:t>visés</w:t>
      </w:r>
      <w:r w:rsidRPr="00730563">
        <w:rPr>
          <w:lang w:val="fr-CH"/>
        </w:rPr>
        <w:t xml:space="preserve"> </w:t>
      </w:r>
      <w:r w:rsidR="001F4177" w:rsidRPr="00730563">
        <w:rPr>
          <w:lang w:val="fr-CH"/>
        </w:rPr>
        <w:t xml:space="preserve">au point </w:t>
      </w:r>
      <w:r w:rsidR="001F4177" w:rsidRPr="00C07A4D">
        <w:rPr>
          <w:i/>
          <w:iCs/>
          <w:lang w:val="fr-CH"/>
        </w:rPr>
        <w:t>a</w:t>
      </w:r>
      <w:r w:rsidR="00BF2826" w:rsidRPr="00C07A4D">
        <w:rPr>
          <w:i/>
          <w:iCs/>
          <w:lang w:val="fr-CH"/>
        </w:rPr>
        <w:t>)</w:t>
      </w:r>
      <w:r w:rsidR="00A70AFE">
        <w:rPr>
          <w:lang w:val="fr-CH"/>
        </w:rPr>
        <w:t xml:space="preserve"> </w:t>
      </w:r>
      <w:r w:rsidR="001F4177" w:rsidRPr="00730563">
        <w:rPr>
          <w:lang w:val="fr-CH"/>
        </w:rPr>
        <w:t xml:space="preserve">du </w:t>
      </w:r>
      <w:r w:rsidR="001F4177" w:rsidRPr="00C07A4D">
        <w:rPr>
          <w:i/>
          <w:iCs/>
          <w:lang w:val="fr-CH"/>
        </w:rPr>
        <w:t>considérant</w:t>
      </w:r>
      <w:r w:rsidRPr="00730563">
        <w:rPr>
          <w:lang w:val="fr-CH"/>
        </w:rPr>
        <w:t>,</w:t>
      </w:r>
    </w:p>
    <w:p w:rsidR="003C7289" w:rsidRDefault="001F4177" w:rsidP="00425FA3">
      <w:pPr>
        <w:pStyle w:val="Call"/>
      </w:pPr>
      <w:r>
        <w:t xml:space="preserve">reconnaissant </w:t>
      </w:r>
    </w:p>
    <w:p w:rsidR="003C7289" w:rsidRPr="00730563" w:rsidRDefault="003C7289" w:rsidP="00425FA3">
      <w:pPr>
        <w:rPr>
          <w:lang w:val="fr-CH"/>
        </w:rPr>
      </w:pPr>
      <w:r w:rsidRPr="0081024B">
        <w:rPr>
          <w:i/>
          <w:iCs/>
          <w:lang w:val="fr-CH"/>
        </w:rPr>
        <w:t>a)</w:t>
      </w:r>
      <w:r w:rsidRPr="00730563">
        <w:rPr>
          <w:lang w:val="fr-CH"/>
        </w:rPr>
        <w:tab/>
      </w:r>
      <w:r w:rsidR="001F4177" w:rsidRPr="00730563">
        <w:rPr>
          <w:lang w:val="fr-CH"/>
        </w:rPr>
        <w:t>qu</w:t>
      </w:r>
      <w:r w:rsidR="00B979D7">
        <w:rPr>
          <w:lang w:val="fr-CH"/>
        </w:rPr>
        <w:t>'</w:t>
      </w:r>
      <w:r w:rsidR="001F4177" w:rsidRPr="00730563">
        <w:rPr>
          <w:lang w:val="fr-CH"/>
        </w:rPr>
        <w:t>il est nécessaire que les opérateurs de satellites du</w:t>
      </w:r>
      <w:r w:rsidR="003228B3">
        <w:rPr>
          <w:lang w:val="fr-CH"/>
        </w:rPr>
        <w:t xml:space="preserve"> </w:t>
      </w:r>
      <w:r w:rsidR="001F4177" w:rsidRPr="00730563">
        <w:rPr>
          <w:lang w:val="fr-CH"/>
        </w:rPr>
        <w:t>SETS</w:t>
      </w:r>
      <w:r w:rsidR="003228B3">
        <w:rPr>
          <w:lang w:val="fr-CH"/>
        </w:rPr>
        <w:t>,</w:t>
      </w:r>
      <w:r w:rsidR="001F4177" w:rsidRPr="00730563">
        <w:rPr>
          <w:lang w:val="fr-CH"/>
        </w:rPr>
        <w:t xml:space="preserve"> du service METSAT et du</w:t>
      </w:r>
      <w:r w:rsidR="003228B3">
        <w:rPr>
          <w:lang w:val="fr-CH"/>
        </w:rPr>
        <w:t xml:space="preserve"> </w:t>
      </w:r>
      <w:r w:rsidR="001F4177" w:rsidRPr="00730563">
        <w:rPr>
          <w:lang w:val="fr-CH"/>
        </w:rPr>
        <w:t xml:space="preserve">SMS, visés au point </w:t>
      </w:r>
      <w:r w:rsidR="001F4177" w:rsidRPr="00C07A4D">
        <w:rPr>
          <w:i/>
          <w:iCs/>
          <w:lang w:val="fr-CH"/>
        </w:rPr>
        <w:t>a</w:t>
      </w:r>
      <w:r w:rsidR="00BF2826" w:rsidRPr="00C07A4D">
        <w:rPr>
          <w:i/>
          <w:iCs/>
          <w:lang w:val="fr-CH"/>
        </w:rPr>
        <w:t>)</w:t>
      </w:r>
      <w:r w:rsidR="00C07A4D">
        <w:rPr>
          <w:lang w:val="fr-CH"/>
        </w:rPr>
        <w:t xml:space="preserve"> </w:t>
      </w:r>
      <w:r w:rsidR="001F4177" w:rsidRPr="00730563">
        <w:rPr>
          <w:lang w:val="fr-CH"/>
        </w:rPr>
        <w:t xml:space="preserve">du </w:t>
      </w:r>
      <w:r w:rsidR="001F4177" w:rsidRPr="00C07A4D">
        <w:rPr>
          <w:i/>
          <w:iCs/>
          <w:lang w:val="fr-CH"/>
        </w:rPr>
        <w:t>considérant</w:t>
      </w:r>
      <w:r w:rsidR="003228B3">
        <w:rPr>
          <w:lang w:val="fr-CH"/>
        </w:rPr>
        <w:t xml:space="preserve">, </w:t>
      </w:r>
      <w:r w:rsidR="001F4177">
        <w:rPr>
          <w:color w:val="000000"/>
        </w:rPr>
        <w:t>disposent d'une réglementation</w:t>
      </w:r>
      <w:r w:rsidR="003228B3">
        <w:rPr>
          <w:color w:val="000000"/>
        </w:rPr>
        <w:t xml:space="preserve"> </w:t>
      </w:r>
      <w:r w:rsidR="00A70AFE">
        <w:rPr>
          <w:color w:val="000000"/>
        </w:rPr>
        <w:t xml:space="preserve">stable et bien établie afin de pouvoir </w:t>
      </w:r>
      <w:r w:rsidR="001F4177">
        <w:rPr>
          <w:color w:val="000000"/>
        </w:rPr>
        <w:t>assurer la continuité à long terme</w:t>
      </w:r>
      <w:r w:rsidR="003228B3">
        <w:rPr>
          <w:color w:val="000000"/>
        </w:rPr>
        <w:t xml:space="preserve"> </w:t>
      </w:r>
      <w:r w:rsidR="001F4177">
        <w:rPr>
          <w:color w:val="000000"/>
        </w:rPr>
        <w:t>de ce</w:t>
      </w:r>
      <w:r w:rsidR="003228B3">
        <w:rPr>
          <w:color w:val="000000"/>
        </w:rPr>
        <w:t xml:space="preserve"> </w:t>
      </w:r>
      <w:r w:rsidR="001F4177">
        <w:rPr>
          <w:color w:val="000000"/>
        </w:rPr>
        <w:t>service</w:t>
      </w:r>
      <w:r w:rsidR="003228B3">
        <w:rPr>
          <w:color w:val="000000"/>
        </w:rPr>
        <w:t xml:space="preserve"> </w:t>
      </w:r>
      <w:r w:rsidR="001F4177">
        <w:rPr>
          <w:color w:val="000000"/>
        </w:rPr>
        <w:t>d</w:t>
      </w:r>
      <w:r w:rsidR="00B979D7">
        <w:rPr>
          <w:color w:val="000000"/>
        </w:rPr>
        <w:t>'</w:t>
      </w:r>
      <w:r w:rsidR="001F4177">
        <w:rPr>
          <w:color w:val="000000"/>
        </w:rPr>
        <w:t>intérêt général</w:t>
      </w:r>
      <w:r w:rsidR="003228B3">
        <w:rPr>
          <w:color w:val="000000"/>
        </w:rPr>
        <w:t>;</w:t>
      </w:r>
    </w:p>
    <w:p w:rsidR="003C7289" w:rsidRPr="00730563" w:rsidRDefault="003C7289" w:rsidP="00A70AFE">
      <w:pPr>
        <w:rPr>
          <w:lang w:val="fr-CH"/>
        </w:rPr>
      </w:pPr>
      <w:r w:rsidRPr="0081024B">
        <w:rPr>
          <w:i/>
          <w:iCs/>
          <w:lang w:val="fr-CH"/>
        </w:rPr>
        <w:lastRenderedPageBreak/>
        <w:t>b)</w:t>
      </w:r>
      <w:r w:rsidRPr="00730563">
        <w:rPr>
          <w:lang w:val="fr-CH"/>
        </w:rPr>
        <w:tab/>
      </w:r>
      <w:r w:rsidR="001F4177" w:rsidRPr="00730563">
        <w:rPr>
          <w:lang w:val="fr-CH"/>
        </w:rPr>
        <w:t>que ces programmes spatiaux représentent des efforts et des investissements à long terme</w:t>
      </w:r>
      <w:r w:rsidR="003228B3">
        <w:rPr>
          <w:lang w:val="fr-CH"/>
        </w:rPr>
        <w:t xml:space="preserve"> </w:t>
      </w:r>
      <w:r w:rsidR="00AD5385" w:rsidRPr="00730563">
        <w:rPr>
          <w:lang w:val="fr-CH"/>
        </w:rPr>
        <w:t>qui s</w:t>
      </w:r>
      <w:r w:rsidR="00B979D7">
        <w:rPr>
          <w:lang w:val="fr-CH"/>
        </w:rPr>
        <w:t>'</w:t>
      </w:r>
      <w:r w:rsidR="00AD5385" w:rsidRPr="00730563">
        <w:rPr>
          <w:lang w:val="fr-CH"/>
        </w:rPr>
        <w:t xml:space="preserve">étendent </w:t>
      </w:r>
      <w:r w:rsidR="001F4177" w:rsidRPr="00730563">
        <w:rPr>
          <w:lang w:val="fr-CH"/>
        </w:rPr>
        <w:t>sur plusieurs</w:t>
      </w:r>
      <w:r w:rsidR="003228B3">
        <w:rPr>
          <w:lang w:val="fr-CH"/>
        </w:rPr>
        <w:t xml:space="preserve"> </w:t>
      </w:r>
      <w:r w:rsidR="001F4177" w:rsidRPr="00730563">
        <w:rPr>
          <w:lang w:val="fr-CH"/>
        </w:rPr>
        <w:t>décennies</w:t>
      </w:r>
      <w:r w:rsidR="00AD5385" w:rsidRPr="00730563">
        <w:rPr>
          <w:lang w:val="fr-CH"/>
        </w:rPr>
        <w:t xml:space="preserve">, entre </w:t>
      </w:r>
      <w:r w:rsidR="00A70AFE">
        <w:rPr>
          <w:lang w:val="fr-CH"/>
        </w:rPr>
        <w:t>le moment où</w:t>
      </w:r>
      <w:r w:rsidR="00AD5385" w:rsidRPr="00730563">
        <w:rPr>
          <w:lang w:val="fr-CH"/>
        </w:rPr>
        <w:t xml:space="preserve"> le programme</w:t>
      </w:r>
      <w:r w:rsidR="001F4177" w:rsidRPr="00730563">
        <w:rPr>
          <w:lang w:val="fr-CH"/>
        </w:rPr>
        <w:t xml:space="preserve"> </w:t>
      </w:r>
      <w:r w:rsidR="00AD5385" w:rsidRPr="00730563">
        <w:rPr>
          <w:lang w:val="fr-CH"/>
        </w:rPr>
        <w:t>est officiellement approuvé et le développement, la phase de lancement et la date à laquelle les satellites correspondants sont</w:t>
      </w:r>
      <w:r w:rsidR="003228B3">
        <w:rPr>
          <w:lang w:val="fr-CH"/>
        </w:rPr>
        <w:t xml:space="preserve"> </w:t>
      </w:r>
      <w:r w:rsidR="00AD5385" w:rsidRPr="00730563">
        <w:rPr>
          <w:lang w:val="fr-CH"/>
        </w:rPr>
        <w:t>en service</w:t>
      </w:r>
      <w:r w:rsidR="003228B3">
        <w:rPr>
          <w:lang w:val="fr-CH"/>
        </w:rPr>
        <w:t>;</w:t>
      </w:r>
    </w:p>
    <w:p w:rsidR="003C7289" w:rsidRPr="00730563" w:rsidRDefault="003C7289" w:rsidP="00425FA3">
      <w:pPr>
        <w:rPr>
          <w:lang w:val="fr-CH"/>
        </w:rPr>
      </w:pPr>
      <w:r w:rsidRPr="0081024B">
        <w:rPr>
          <w:i/>
          <w:iCs/>
          <w:lang w:val="fr-CH"/>
        </w:rPr>
        <w:t>c)</w:t>
      </w:r>
      <w:r w:rsidRPr="00730563">
        <w:rPr>
          <w:lang w:val="fr-CH"/>
        </w:rPr>
        <w:tab/>
      </w:r>
      <w:r w:rsidR="00AD5385" w:rsidRPr="00730563">
        <w:rPr>
          <w:lang w:val="fr-CH"/>
        </w:rPr>
        <w:t>qu</w:t>
      </w:r>
      <w:r w:rsidR="00B979D7">
        <w:rPr>
          <w:lang w:val="fr-CH"/>
        </w:rPr>
        <w:t>'</w:t>
      </w:r>
      <w:r w:rsidR="00AD5385" w:rsidRPr="00730563">
        <w:rPr>
          <w:lang w:val="fr-CH"/>
        </w:rPr>
        <w:t>il est nécessaire de garantir l</w:t>
      </w:r>
      <w:r w:rsidR="00B979D7">
        <w:rPr>
          <w:lang w:val="fr-CH"/>
        </w:rPr>
        <w:t>'</w:t>
      </w:r>
      <w:r w:rsidR="00AD5385" w:rsidRPr="00730563">
        <w:rPr>
          <w:lang w:val="fr-CH"/>
        </w:rPr>
        <w:t>exploitation des systèmes, actuels et futurs, qui utilisent généralement des niveaux de puissance de sortie faible à modérés pour les systèmes du</w:t>
      </w:r>
      <w:r w:rsidR="003228B3">
        <w:rPr>
          <w:lang w:val="fr-CH"/>
        </w:rPr>
        <w:t xml:space="preserve"> </w:t>
      </w:r>
      <w:r w:rsidR="00AD5385" w:rsidRPr="00730563">
        <w:rPr>
          <w:lang w:val="fr-CH"/>
        </w:rPr>
        <w:t>SETS</w:t>
      </w:r>
      <w:r w:rsidR="003228B3">
        <w:rPr>
          <w:lang w:val="fr-CH"/>
        </w:rPr>
        <w:t>,</w:t>
      </w:r>
      <w:r w:rsidR="00AD5385" w:rsidRPr="00730563">
        <w:rPr>
          <w:lang w:val="fr-CH"/>
        </w:rPr>
        <w:t xml:space="preserve"> du service METSAT et du</w:t>
      </w:r>
      <w:r w:rsidR="003228B3">
        <w:rPr>
          <w:lang w:val="fr-CH"/>
        </w:rPr>
        <w:t xml:space="preserve"> </w:t>
      </w:r>
      <w:r w:rsidR="00AD5385" w:rsidRPr="00730563">
        <w:rPr>
          <w:lang w:val="fr-CH"/>
        </w:rPr>
        <w:t>SMS</w:t>
      </w:r>
      <w:r w:rsidR="003228B3">
        <w:rPr>
          <w:lang w:val="fr-CH"/>
        </w:rPr>
        <w:t xml:space="preserve"> </w:t>
      </w:r>
      <w:r w:rsidR="00AD5385" w:rsidRPr="00730563">
        <w:rPr>
          <w:lang w:val="fr-CH"/>
        </w:rPr>
        <w:t xml:space="preserve">visés au point </w:t>
      </w:r>
      <w:r w:rsidR="00AD5385" w:rsidRPr="00C07A4D">
        <w:rPr>
          <w:i/>
          <w:iCs/>
          <w:lang w:val="fr-CH"/>
        </w:rPr>
        <w:t>a</w:t>
      </w:r>
      <w:r w:rsidR="00BF2826" w:rsidRPr="00C07A4D">
        <w:rPr>
          <w:i/>
          <w:iCs/>
          <w:lang w:val="fr-CH"/>
        </w:rPr>
        <w:t>)</w:t>
      </w:r>
      <w:r w:rsidR="00C07A4D">
        <w:rPr>
          <w:lang w:val="fr-CH"/>
        </w:rPr>
        <w:t xml:space="preserve"> </w:t>
      </w:r>
      <w:r w:rsidR="00AD5385" w:rsidRPr="00730563">
        <w:rPr>
          <w:lang w:val="fr-CH"/>
        </w:rPr>
        <w:t xml:space="preserve">du </w:t>
      </w:r>
      <w:r w:rsidR="00AD5385" w:rsidRPr="00C07A4D">
        <w:rPr>
          <w:i/>
          <w:iCs/>
          <w:lang w:val="fr-CH"/>
        </w:rPr>
        <w:t>considérant</w:t>
      </w:r>
      <w:r w:rsidR="00A70AFE">
        <w:rPr>
          <w:lang w:val="fr-CH"/>
        </w:rPr>
        <w:t>;</w:t>
      </w:r>
    </w:p>
    <w:p w:rsidR="003C7289" w:rsidRPr="00730563" w:rsidRDefault="003C7289" w:rsidP="00425FA3">
      <w:pPr>
        <w:rPr>
          <w:lang w:val="fr-CH"/>
        </w:rPr>
      </w:pPr>
      <w:r w:rsidRPr="0081024B">
        <w:rPr>
          <w:i/>
          <w:iCs/>
          <w:lang w:val="fr-CH"/>
        </w:rPr>
        <w:t>d)</w:t>
      </w:r>
      <w:r w:rsidRPr="00730563">
        <w:rPr>
          <w:lang w:val="fr-CH"/>
        </w:rPr>
        <w:tab/>
      </w:r>
      <w:r w:rsidR="00AD5385" w:rsidRPr="00730563">
        <w:rPr>
          <w:lang w:val="fr-CH"/>
        </w:rPr>
        <w:t>que</w:t>
      </w:r>
      <w:r w:rsidR="003A745D" w:rsidRPr="00730563">
        <w:rPr>
          <w:lang w:val="fr-CH"/>
        </w:rPr>
        <w:t xml:space="preserve"> la mise en œuvre de limites de puissance des stations terriennes dans le Règlement des radiocommunications,</w:t>
      </w:r>
      <w:r w:rsidR="003228B3">
        <w:rPr>
          <w:lang w:val="fr-CH"/>
        </w:rPr>
        <w:t xml:space="preserve"> </w:t>
      </w:r>
      <w:r w:rsidR="003A745D" w:rsidRPr="00730563">
        <w:rPr>
          <w:lang w:val="fr-CH"/>
        </w:rPr>
        <w:t>applicables aux</w:t>
      </w:r>
      <w:r w:rsidR="003228B3">
        <w:rPr>
          <w:lang w:val="fr-CH"/>
        </w:rPr>
        <w:t xml:space="preserve"> </w:t>
      </w:r>
      <w:r w:rsidR="003A745D" w:rsidRPr="00730563">
        <w:rPr>
          <w:lang w:val="fr-CH"/>
        </w:rPr>
        <w:t>attributions du</w:t>
      </w:r>
      <w:r w:rsidR="003228B3">
        <w:rPr>
          <w:lang w:val="fr-CH"/>
        </w:rPr>
        <w:t xml:space="preserve"> </w:t>
      </w:r>
      <w:r w:rsidR="00BA4F7B" w:rsidRPr="00730563">
        <w:rPr>
          <w:lang w:val="fr-CH"/>
        </w:rPr>
        <w:t>SETS</w:t>
      </w:r>
      <w:r w:rsidR="003228B3">
        <w:rPr>
          <w:lang w:val="fr-CH"/>
        </w:rPr>
        <w:t>,</w:t>
      </w:r>
      <w:r w:rsidR="003A745D" w:rsidRPr="00730563">
        <w:rPr>
          <w:lang w:val="fr-CH"/>
        </w:rPr>
        <w:t xml:space="preserve"> du service METSAT et du</w:t>
      </w:r>
      <w:r w:rsidR="003228B3">
        <w:rPr>
          <w:lang w:val="fr-CH"/>
        </w:rPr>
        <w:t xml:space="preserve"> </w:t>
      </w:r>
      <w:r w:rsidR="003A745D" w:rsidRPr="00730563">
        <w:rPr>
          <w:lang w:val="fr-CH"/>
        </w:rPr>
        <w:t>SMS,</w:t>
      </w:r>
      <w:r w:rsidR="003228B3">
        <w:rPr>
          <w:lang w:val="fr-CH"/>
        </w:rPr>
        <w:t xml:space="preserve"> </w:t>
      </w:r>
      <w:r w:rsidR="003A745D">
        <w:rPr>
          <w:color w:val="000000"/>
        </w:rPr>
        <w:t xml:space="preserve">donnera aux </w:t>
      </w:r>
      <w:r w:rsidR="003A745D" w:rsidRPr="00730563">
        <w:rPr>
          <w:lang w:val="fr-CH"/>
        </w:rPr>
        <w:t xml:space="preserve">agences spatiales et aux </w:t>
      </w:r>
      <w:r w:rsidR="003A745D">
        <w:rPr>
          <w:color w:val="000000"/>
        </w:rPr>
        <w:t>instituts météorologiques utilisant ces bandes</w:t>
      </w:r>
      <w:r w:rsidR="003228B3">
        <w:rPr>
          <w:lang w:val="fr-CH"/>
        </w:rPr>
        <w:t xml:space="preserve"> </w:t>
      </w:r>
      <w:r w:rsidR="003A745D">
        <w:rPr>
          <w:color w:val="000000"/>
        </w:rPr>
        <w:t>la confiance dont ils ont besoin</w:t>
      </w:r>
      <w:r w:rsidR="003228B3">
        <w:rPr>
          <w:lang w:val="fr-CH"/>
        </w:rPr>
        <w:t>;</w:t>
      </w:r>
    </w:p>
    <w:p w:rsidR="003C7289" w:rsidRPr="00730563" w:rsidRDefault="003C7289" w:rsidP="00C07A4D">
      <w:pPr>
        <w:rPr>
          <w:lang w:val="fr-CH"/>
        </w:rPr>
      </w:pPr>
      <w:r w:rsidRPr="0081024B">
        <w:rPr>
          <w:i/>
          <w:iCs/>
          <w:lang w:val="fr-CH"/>
        </w:rPr>
        <w:t>e)</w:t>
      </w:r>
      <w:r w:rsidRPr="00730563">
        <w:rPr>
          <w:lang w:val="fr-CH"/>
        </w:rPr>
        <w:tab/>
      </w:r>
      <w:r w:rsidR="003A745D" w:rsidRPr="00730563">
        <w:rPr>
          <w:lang w:val="fr-CH"/>
        </w:rPr>
        <w:t>que l</w:t>
      </w:r>
      <w:r w:rsidR="00B979D7">
        <w:rPr>
          <w:lang w:val="fr-CH"/>
        </w:rPr>
        <w:t>'</w:t>
      </w:r>
      <w:r w:rsidRPr="00730563">
        <w:rPr>
          <w:lang w:val="fr-CH"/>
        </w:rPr>
        <w:t xml:space="preserve">Article 21 </w:t>
      </w:r>
      <w:r w:rsidR="003A745D" w:rsidRPr="00730563">
        <w:rPr>
          <w:lang w:val="fr-CH"/>
        </w:rPr>
        <w:t>indique les</w:t>
      </w:r>
      <w:r w:rsidR="003228B3">
        <w:rPr>
          <w:lang w:val="fr-CH"/>
        </w:rPr>
        <w:t xml:space="preserve"> </w:t>
      </w:r>
      <w:r w:rsidR="003A745D" w:rsidRPr="00730563">
        <w:rPr>
          <w:lang w:val="fr-CH"/>
        </w:rPr>
        <w:t>limites de puissance applicables aux stations terriennes au</w:t>
      </w:r>
      <w:r w:rsidR="00C07A4D">
        <w:rPr>
          <w:lang w:val="fr-CH"/>
        </w:rPr>
        <w:noBreakHyphen/>
      </w:r>
      <w:r w:rsidR="003A745D" w:rsidRPr="00730563">
        <w:rPr>
          <w:lang w:val="fr-CH"/>
        </w:rPr>
        <w:t>dessus de</w:t>
      </w:r>
      <w:r w:rsidR="003228B3">
        <w:rPr>
          <w:lang w:val="fr-CH"/>
        </w:rPr>
        <w:t xml:space="preserve"> </w:t>
      </w:r>
      <w:r w:rsidRPr="00730563">
        <w:rPr>
          <w:lang w:val="fr-CH"/>
        </w:rPr>
        <w:t>1 GHz,</w:t>
      </w:r>
    </w:p>
    <w:p w:rsidR="003C7289" w:rsidRPr="00730563" w:rsidRDefault="003C7289" w:rsidP="00425FA3">
      <w:pPr>
        <w:pStyle w:val="Call"/>
        <w:rPr>
          <w:lang w:val="fr-CH"/>
        </w:rPr>
      </w:pPr>
      <w:r w:rsidRPr="00730563">
        <w:rPr>
          <w:lang w:val="fr-CH"/>
        </w:rPr>
        <w:t>invite</w:t>
      </w:r>
      <w:r w:rsidR="003228B3">
        <w:rPr>
          <w:lang w:val="fr-CH"/>
        </w:rPr>
        <w:t xml:space="preserve"> </w:t>
      </w:r>
      <w:r w:rsidR="003A745D" w:rsidRPr="00730563">
        <w:rPr>
          <w:lang w:val="fr-CH"/>
        </w:rPr>
        <w:t>l</w:t>
      </w:r>
      <w:r w:rsidR="00B979D7">
        <w:rPr>
          <w:lang w:val="fr-CH"/>
        </w:rPr>
        <w:t>'</w:t>
      </w:r>
      <w:r w:rsidR="002E2C8C" w:rsidRPr="00730563">
        <w:rPr>
          <w:lang w:val="fr-CH"/>
        </w:rPr>
        <w:t>UIT</w:t>
      </w:r>
      <w:r w:rsidR="00BF2826">
        <w:rPr>
          <w:lang w:val="fr-CH"/>
        </w:rPr>
        <w:t>-</w:t>
      </w:r>
      <w:r w:rsidRPr="00730563">
        <w:rPr>
          <w:lang w:val="fr-CH"/>
        </w:rPr>
        <w:t>R</w:t>
      </w:r>
    </w:p>
    <w:p w:rsidR="003C7289" w:rsidRPr="00730563" w:rsidRDefault="00A70AFE" w:rsidP="00C07A4D">
      <w:pPr>
        <w:rPr>
          <w:lang w:val="fr-CH"/>
        </w:rPr>
      </w:pPr>
      <w:r>
        <w:rPr>
          <w:lang w:val="fr-CH"/>
        </w:rPr>
        <w:t>à effectuer et à ach</w:t>
      </w:r>
      <w:r w:rsidR="003A745D" w:rsidRPr="00730563">
        <w:rPr>
          <w:lang w:val="fr-CH"/>
        </w:rPr>
        <w:t>ever</w:t>
      </w:r>
      <w:r w:rsidR="003228B3">
        <w:rPr>
          <w:lang w:val="fr-CH"/>
        </w:rPr>
        <w:t>,</w:t>
      </w:r>
      <w:r w:rsidR="003A745D" w:rsidRPr="00730563">
        <w:rPr>
          <w:lang w:val="fr-CH"/>
        </w:rPr>
        <w:t xml:space="preserve"> à temps pour la </w:t>
      </w:r>
      <w:r w:rsidR="00F50032">
        <w:rPr>
          <w:lang w:val="fr-CH"/>
        </w:rPr>
        <w:t>CMR</w:t>
      </w:r>
      <w:r>
        <w:rPr>
          <w:lang w:val="fr-CH"/>
        </w:rPr>
        <w:t>-</w:t>
      </w:r>
      <w:r w:rsidR="003A745D" w:rsidRPr="00730563">
        <w:rPr>
          <w:lang w:val="fr-CH"/>
        </w:rPr>
        <w:t>19,</w:t>
      </w:r>
      <w:r w:rsidR="003228B3">
        <w:rPr>
          <w:lang w:val="fr-CH"/>
        </w:rPr>
        <w:t xml:space="preserve"> </w:t>
      </w:r>
      <w:r w:rsidR="003A745D" w:rsidRPr="00730563">
        <w:rPr>
          <w:lang w:val="fr-CH"/>
        </w:rPr>
        <w:t>les études nécessaires sur la possibilité d</w:t>
      </w:r>
      <w:r w:rsidR="00B979D7">
        <w:rPr>
          <w:lang w:val="fr-CH"/>
        </w:rPr>
        <w:t>'</w:t>
      </w:r>
      <w:r w:rsidR="003A745D" w:rsidRPr="00730563">
        <w:rPr>
          <w:lang w:val="fr-CH"/>
        </w:rPr>
        <w:t>assurer la protection des services par satellite en fixant des limites de puissance obligatoires dans la bande de fréquences 401-403 MHz attribuée</w:t>
      </w:r>
      <w:r w:rsidR="003228B3">
        <w:rPr>
          <w:lang w:val="fr-CH"/>
        </w:rPr>
        <w:t xml:space="preserve"> </w:t>
      </w:r>
      <w:r w:rsidR="003A745D" w:rsidRPr="00730563">
        <w:rPr>
          <w:lang w:val="fr-CH"/>
        </w:rPr>
        <w:t xml:space="preserve">au </w:t>
      </w:r>
      <w:r w:rsidR="000F6489" w:rsidRPr="00730563">
        <w:rPr>
          <w:lang w:val="fr-CH"/>
        </w:rPr>
        <w:t>SETS</w:t>
      </w:r>
      <w:r w:rsidR="003228B3">
        <w:rPr>
          <w:lang w:val="fr-CH"/>
        </w:rPr>
        <w:t xml:space="preserve"> </w:t>
      </w:r>
      <w:r w:rsidR="003A745D" w:rsidRPr="00730563">
        <w:rPr>
          <w:lang w:val="fr-CH"/>
        </w:rPr>
        <w:t>et au</w:t>
      </w:r>
      <w:r w:rsidR="003228B3">
        <w:rPr>
          <w:lang w:val="fr-CH"/>
        </w:rPr>
        <w:t xml:space="preserve"> </w:t>
      </w:r>
      <w:r w:rsidR="003A745D" w:rsidRPr="00730563">
        <w:rPr>
          <w:lang w:val="fr-CH"/>
        </w:rPr>
        <w:t>service</w:t>
      </w:r>
      <w:r w:rsidR="003228B3">
        <w:rPr>
          <w:lang w:val="fr-CH"/>
        </w:rPr>
        <w:t xml:space="preserve"> </w:t>
      </w:r>
      <w:r w:rsidR="003C7289" w:rsidRPr="00730563">
        <w:rPr>
          <w:lang w:val="fr-CH"/>
        </w:rPr>
        <w:t>METSAT</w:t>
      </w:r>
      <w:r w:rsidR="003228B3">
        <w:rPr>
          <w:lang w:val="fr-CH"/>
        </w:rPr>
        <w:t>,</w:t>
      </w:r>
      <w:r w:rsidR="003A745D" w:rsidRPr="00730563">
        <w:rPr>
          <w:lang w:val="fr-CH"/>
        </w:rPr>
        <w:t xml:space="preserve"> et dans la bande de fréquences 399</w:t>
      </w:r>
      <w:r w:rsidR="00C07A4D">
        <w:rPr>
          <w:lang w:val="fr-CH"/>
        </w:rPr>
        <w:t>,</w:t>
      </w:r>
      <w:r w:rsidR="003A745D" w:rsidRPr="00730563">
        <w:rPr>
          <w:lang w:val="fr-CH"/>
        </w:rPr>
        <w:t>9-400</w:t>
      </w:r>
      <w:r w:rsidR="00C07A4D">
        <w:rPr>
          <w:lang w:val="fr-CH"/>
        </w:rPr>
        <w:t>,</w:t>
      </w:r>
      <w:r w:rsidR="003A745D" w:rsidRPr="00730563">
        <w:rPr>
          <w:lang w:val="fr-CH"/>
        </w:rPr>
        <w:t>05 MHz attribuée</w:t>
      </w:r>
      <w:r w:rsidR="003228B3">
        <w:rPr>
          <w:lang w:val="fr-CH"/>
        </w:rPr>
        <w:t xml:space="preserve"> </w:t>
      </w:r>
      <w:r w:rsidR="003A745D" w:rsidRPr="00730563">
        <w:rPr>
          <w:lang w:val="fr-CH"/>
        </w:rPr>
        <w:t>au SMS</w:t>
      </w:r>
      <w:r w:rsidR="00C07A4D">
        <w:rPr>
          <w:lang w:val="fr-CH"/>
        </w:rPr>
        <w:t>,</w:t>
      </w:r>
    </w:p>
    <w:p w:rsidR="003C7289" w:rsidRDefault="003A745D" w:rsidP="00425FA3">
      <w:pPr>
        <w:pStyle w:val="Call"/>
      </w:pPr>
      <w:r>
        <w:t>décide d</w:t>
      </w:r>
      <w:r w:rsidR="00B979D7">
        <w:t>'</w:t>
      </w:r>
      <w:r>
        <w:t xml:space="preserve">inviter la </w:t>
      </w:r>
      <w:r w:rsidR="00F50032">
        <w:t>CMR</w:t>
      </w:r>
      <w:r w:rsidR="003C7289">
        <w:t>-19</w:t>
      </w:r>
    </w:p>
    <w:p w:rsidR="003C7289" w:rsidRDefault="003A745D" w:rsidP="0081024B">
      <w:pPr>
        <w:rPr>
          <w:lang w:val="fr-CH"/>
        </w:rPr>
      </w:pPr>
      <w:r w:rsidRPr="00730563">
        <w:rPr>
          <w:lang w:val="fr-CH"/>
        </w:rPr>
        <w:t>à tenir compte des résultats des études de l</w:t>
      </w:r>
      <w:r w:rsidR="00B979D7">
        <w:rPr>
          <w:lang w:val="fr-CH"/>
        </w:rPr>
        <w:t>'</w:t>
      </w:r>
      <w:r w:rsidRPr="00730563">
        <w:rPr>
          <w:lang w:val="fr-CH"/>
        </w:rPr>
        <w:t xml:space="preserve">UIT-R </w:t>
      </w:r>
      <w:r w:rsidR="00A70AFE">
        <w:rPr>
          <w:lang w:val="fr-CH"/>
        </w:rPr>
        <w:t xml:space="preserve">et à </w:t>
      </w:r>
      <w:r w:rsidRPr="00730563">
        <w:rPr>
          <w:lang w:val="fr-CH"/>
        </w:rPr>
        <w:t>envisager</w:t>
      </w:r>
      <w:r w:rsidR="00A70AFE">
        <w:rPr>
          <w:lang w:val="fr-CH"/>
        </w:rPr>
        <w:t xml:space="preserve"> de mettre en œuvre d</w:t>
      </w:r>
      <w:r w:rsidRPr="00730563">
        <w:rPr>
          <w:lang w:val="fr-CH"/>
        </w:rPr>
        <w:t>es limites de puissance obligatoire</w:t>
      </w:r>
      <w:r w:rsidR="00A70AFE">
        <w:rPr>
          <w:lang w:val="fr-CH"/>
        </w:rPr>
        <w:t>s</w:t>
      </w:r>
      <w:r w:rsidR="003C7289" w:rsidRPr="00730563">
        <w:rPr>
          <w:lang w:val="fr-CH"/>
        </w:rPr>
        <w:t xml:space="preserve"> </w:t>
      </w:r>
      <w:r w:rsidR="00DA577B" w:rsidRPr="00730563">
        <w:rPr>
          <w:lang w:val="fr-CH"/>
        </w:rPr>
        <w:t>dans la bande de fréquences 401-403 MHz attribuée</w:t>
      </w:r>
      <w:r w:rsidR="003228B3">
        <w:rPr>
          <w:lang w:val="fr-CH"/>
        </w:rPr>
        <w:t xml:space="preserve"> </w:t>
      </w:r>
      <w:r w:rsidR="00DA577B" w:rsidRPr="00730563">
        <w:rPr>
          <w:lang w:val="fr-CH"/>
        </w:rPr>
        <w:t>au SETS</w:t>
      </w:r>
      <w:r w:rsidR="003228B3">
        <w:rPr>
          <w:lang w:val="fr-CH"/>
        </w:rPr>
        <w:t xml:space="preserve"> </w:t>
      </w:r>
      <w:r w:rsidR="00DA577B" w:rsidRPr="00730563">
        <w:rPr>
          <w:lang w:val="fr-CH"/>
        </w:rPr>
        <w:t>et au</w:t>
      </w:r>
      <w:r w:rsidR="003228B3">
        <w:rPr>
          <w:lang w:val="fr-CH"/>
        </w:rPr>
        <w:t xml:space="preserve"> </w:t>
      </w:r>
      <w:r w:rsidR="00DA577B" w:rsidRPr="00730563">
        <w:rPr>
          <w:lang w:val="fr-CH"/>
        </w:rPr>
        <w:t>service</w:t>
      </w:r>
      <w:r w:rsidR="003228B3">
        <w:rPr>
          <w:lang w:val="fr-CH"/>
        </w:rPr>
        <w:t xml:space="preserve"> </w:t>
      </w:r>
      <w:r w:rsidR="00DA577B" w:rsidRPr="00730563">
        <w:rPr>
          <w:lang w:val="fr-CH"/>
        </w:rPr>
        <w:t>METSAT</w:t>
      </w:r>
      <w:r w:rsidR="003228B3">
        <w:rPr>
          <w:lang w:val="fr-CH"/>
        </w:rPr>
        <w:t>,</w:t>
      </w:r>
      <w:r w:rsidR="00DA577B" w:rsidRPr="00730563">
        <w:rPr>
          <w:lang w:val="fr-CH"/>
        </w:rPr>
        <w:t xml:space="preserve"> et dans la bande de fréquences 399</w:t>
      </w:r>
      <w:r w:rsidR="0081024B">
        <w:rPr>
          <w:lang w:val="fr-CH"/>
        </w:rPr>
        <w:t>,</w:t>
      </w:r>
      <w:r w:rsidR="00DA577B" w:rsidRPr="00730563">
        <w:rPr>
          <w:lang w:val="fr-CH"/>
        </w:rPr>
        <w:t>9-400</w:t>
      </w:r>
      <w:r w:rsidR="0081024B">
        <w:rPr>
          <w:lang w:val="fr-CH"/>
        </w:rPr>
        <w:t>,</w:t>
      </w:r>
      <w:r w:rsidR="00DA577B" w:rsidRPr="00730563">
        <w:rPr>
          <w:lang w:val="fr-CH"/>
        </w:rPr>
        <w:t>05 MHz attribuée</w:t>
      </w:r>
      <w:r w:rsidR="003228B3">
        <w:rPr>
          <w:lang w:val="fr-CH"/>
        </w:rPr>
        <w:t xml:space="preserve"> </w:t>
      </w:r>
      <w:r w:rsidR="00DA577B" w:rsidRPr="00730563">
        <w:rPr>
          <w:lang w:val="fr-CH"/>
        </w:rPr>
        <w:t>au SMS</w:t>
      </w:r>
      <w:r w:rsidR="00A70AFE">
        <w:rPr>
          <w:lang w:val="fr-CH"/>
        </w:rPr>
        <w:t>.</w:t>
      </w:r>
    </w:p>
    <w:p w:rsidR="0041346B" w:rsidRPr="00730563" w:rsidRDefault="0041346B" w:rsidP="0041346B">
      <w:pPr>
        <w:pStyle w:val="Reasons"/>
        <w:rPr>
          <w:lang w:val="fr-CH"/>
        </w:rPr>
      </w:pPr>
    </w:p>
    <w:p w:rsidR="003C7289" w:rsidRPr="00730563" w:rsidRDefault="003C7289" w:rsidP="00425FA3">
      <w:pPr>
        <w:pStyle w:val="Reasons"/>
        <w:rPr>
          <w:lang w:val="fr-CH"/>
        </w:rPr>
      </w:pPr>
      <w:r w:rsidRPr="00730563">
        <w:rPr>
          <w:lang w:val="fr-CH"/>
        </w:rPr>
        <w:br w:type="page"/>
      </w:r>
    </w:p>
    <w:p w:rsidR="00957F5F" w:rsidRPr="00730563" w:rsidRDefault="00957F5F" w:rsidP="00425FA3">
      <w:pPr>
        <w:pStyle w:val="Appendixtitle"/>
        <w:rPr>
          <w:rFonts w:eastAsiaTheme="minorEastAsia"/>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de l</w:t>
      </w:r>
      <w:r w:rsidR="00B979D7">
        <w:rPr>
          <w:lang w:val="fr-CH"/>
        </w:rPr>
        <w:t>'</w:t>
      </w:r>
      <w:r w:rsidRPr="00730563">
        <w:rPr>
          <w:lang w:val="fr-CH"/>
        </w:rPr>
        <w:t xml:space="preserve">ordre du jour de la </w:t>
      </w:r>
      <w:r w:rsidR="00F50032">
        <w:rPr>
          <w:lang w:val="fr-CH"/>
        </w:rPr>
        <w:t>CMR</w:t>
      </w:r>
      <w:r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0"/>
        <w:gridCol w:w="5101"/>
      </w:tblGrid>
      <w:tr w:rsidR="00C07A4D" w:rsidTr="004E10E0">
        <w:tc>
          <w:tcPr>
            <w:tcW w:w="1418" w:type="dxa"/>
            <w:tcBorders>
              <w:top w:val="nil"/>
              <w:left w:val="nil"/>
              <w:bottom w:val="nil"/>
              <w:right w:val="nil"/>
            </w:tcBorders>
          </w:tcPr>
          <w:p w:rsidR="00C07A4D" w:rsidRPr="00FD175A" w:rsidRDefault="00C07A4D" w:rsidP="004E10E0">
            <w:pPr>
              <w:tabs>
                <w:tab w:val="clear" w:pos="1871"/>
                <w:tab w:val="clear" w:pos="2268"/>
                <w:tab w:val="left" w:pos="6123"/>
              </w:tabs>
              <w:rPr>
                <w:b/>
                <w:bCs/>
                <w:i/>
                <w:iCs/>
                <w:lang w:val="fr-CH"/>
              </w:rPr>
            </w:pPr>
            <w:r w:rsidRPr="00FD175A">
              <w:rPr>
                <w:b/>
                <w:bCs/>
                <w:i/>
                <w:iCs/>
                <w:lang w:val="fr-CH"/>
              </w:rPr>
              <w:t>Objet:</w:t>
            </w:r>
          </w:p>
        </w:tc>
        <w:tc>
          <w:tcPr>
            <w:tcW w:w="8221" w:type="dxa"/>
            <w:gridSpan w:val="2"/>
            <w:tcBorders>
              <w:top w:val="nil"/>
              <w:left w:val="nil"/>
              <w:bottom w:val="nil"/>
              <w:right w:val="nil"/>
            </w:tcBorders>
          </w:tcPr>
          <w:p w:rsidR="00C07A4D" w:rsidRDefault="00F81C4E" w:rsidP="00F81C4E">
            <w:pPr>
              <w:tabs>
                <w:tab w:val="clear" w:pos="1871"/>
                <w:tab w:val="clear" w:pos="2268"/>
                <w:tab w:val="left" w:pos="6123"/>
              </w:tabs>
              <w:rPr>
                <w:b/>
                <w:bCs/>
                <w:i/>
                <w:iCs/>
                <w:lang w:val="fr-CH"/>
              </w:rPr>
            </w:pPr>
            <w:r w:rsidRPr="00730563">
              <w:rPr>
                <w:lang w:val="fr-CH"/>
              </w:rPr>
              <w:t>Fixer des limites de puissance dans le</w:t>
            </w:r>
            <w:r>
              <w:rPr>
                <w:b/>
                <w:bCs/>
                <w:lang w:val="fr-CH"/>
              </w:rPr>
              <w:t xml:space="preserve"> </w:t>
            </w:r>
            <w:r w:rsidRPr="00730563">
              <w:rPr>
                <w:lang w:val="fr-CH"/>
              </w:rPr>
              <w:t>SMS</w:t>
            </w:r>
            <w:r>
              <w:rPr>
                <w:lang w:val="fr-CH"/>
              </w:rPr>
              <w:t xml:space="preserve">, </w:t>
            </w:r>
            <w:r w:rsidRPr="00730563">
              <w:rPr>
                <w:lang w:val="fr-CH"/>
              </w:rPr>
              <w:t>le service METSAT</w:t>
            </w:r>
            <w:r>
              <w:rPr>
                <w:lang w:val="fr-CH"/>
              </w:rPr>
              <w:t xml:space="preserve"> </w:t>
            </w:r>
            <w:r w:rsidRPr="00730563">
              <w:rPr>
                <w:lang w:val="fr-CH"/>
              </w:rPr>
              <w:t>ou le SETS dans les bandes de fréquences</w:t>
            </w:r>
            <w:r>
              <w:rPr>
                <w:lang w:val="fr-CH"/>
              </w:rPr>
              <w:t xml:space="preserve"> </w:t>
            </w:r>
            <w:r w:rsidRPr="00730563">
              <w:rPr>
                <w:lang w:val="fr-CH"/>
              </w:rPr>
              <w:t>401-403 MHz</w:t>
            </w:r>
            <w:r>
              <w:rPr>
                <w:lang w:val="fr-CH"/>
              </w:rPr>
              <w:t xml:space="preserve"> </w:t>
            </w:r>
            <w:r w:rsidRPr="00730563">
              <w:rPr>
                <w:lang w:val="fr-CH"/>
              </w:rPr>
              <w:t>et 399</w:t>
            </w:r>
            <w:r>
              <w:rPr>
                <w:lang w:val="fr-CH"/>
              </w:rPr>
              <w:t>,</w:t>
            </w:r>
            <w:r w:rsidRPr="00730563">
              <w:rPr>
                <w:lang w:val="fr-CH"/>
              </w:rPr>
              <w:t>9-400</w:t>
            </w:r>
            <w:r>
              <w:rPr>
                <w:lang w:val="fr-CH"/>
              </w:rPr>
              <w:t>,</w:t>
            </w:r>
            <w:r w:rsidRPr="00730563">
              <w:rPr>
                <w:lang w:val="fr-CH"/>
              </w:rPr>
              <w:t>05 MHz</w:t>
            </w:r>
          </w:p>
        </w:tc>
      </w:tr>
      <w:tr w:rsidR="00C07A4D" w:rsidTr="004E10E0">
        <w:tc>
          <w:tcPr>
            <w:tcW w:w="1418" w:type="dxa"/>
            <w:tcBorders>
              <w:top w:val="nil"/>
              <w:left w:val="nil"/>
              <w:bottom w:val="single" w:sz="4" w:space="0" w:color="auto"/>
              <w:right w:val="nil"/>
            </w:tcBorders>
          </w:tcPr>
          <w:p w:rsidR="00C07A4D" w:rsidRPr="00FD175A" w:rsidRDefault="00C07A4D" w:rsidP="00F81C4E">
            <w:pPr>
              <w:tabs>
                <w:tab w:val="clear" w:pos="1871"/>
                <w:tab w:val="clear" w:pos="2268"/>
                <w:tab w:val="left" w:pos="6123"/>
              </w:tabs>
              <w:spacing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C07A4D" w:rsidRDefault="00C07A4D" w:rsidP="004E10E0">
            <w:pPr>
              <w:tabs>
                <w:tab w:val="clear" w:pos="1871"/>
                <w:tab w:val="clear" w:pos="2268"/>
                <w:tab w:val="left" w:pos="6123"/>
              </w:tabs>
              <w:rPr>
                <w:b/>
                <w:bCs/>
                <w:i/>
                <w:iCs/>
                <w:lang w:val="fr-CH"/>
              </w:rPr>
            </w:pPr>
            <w:r w:rsidRPr="00393191">
              <w:rPr>
                <w:lang w:val="en-US"/>
              </w:rPr>
              <w:t>CEPT</w:t>
            </w:r>
          </w:p>
        </w:tc>
      </w:tr>
      <w:tr w:rsidR="00757AE4" w:rsidRPr="00757AE4" w:rsidTr="00F81C4E">
        <w:tc>
          <w:tcPr>
            <w:tcW w:w="9639" w:type="dxa"/>
            <w:gridSpan w:val="3"/>
            <w:tcBorders>
              <w:top w:val="single" w:sz="4" w:space="0" w:color="auto"/>
              <w:left w:val="nil"/>
              <w:bottom w:val="single" w:sz="4" w:space="0" w:color="auto"/>
              <w:right w:val="nil"/>
            </w:tcBorders>
          </w:tcPr>
          <w:p w:rsidR="00757AE4" w:rsidRPr="00730563" w:rsidRDefault="00757AE4" w:rsidP="00425FA3">
            <w:pPr>
              <w:rPr>
                <w:lang w:val="fr-CH"/>
              </w:rPr>
            </w:pPr>
            <w:r w:rsidRPr="00730563">
              <w:rPr>
                <w:b/>
                <w:bCs/>
                <w:i/>
                <w:iCs/>
                <w:lang w:val="fr-CH"/>
              </w:rPr>
              <w:t>Proposition:</w:t>
            </w:r>
          </w:p>
          <w:p w:rsidR="00757AE4" w:rsidRPr="00730563" w:rsidRDefault="00A70AFE" w:rsidP="00F81C4E">
            <w:pPr>
              <w:spacing w:after="40"/>
              <w:rPr>
                <w:b/>
                <w:i/>
                <w:lang w:val="fr-CH"/>
              </w:rPr>
            </w:pPr>
            <w:r>
              <w:rPr>
                <w:lang w:val="fr-CH"/>
              </w:rPr>
              <w:t>e</w:t>
            </w:r>
            <w:r w:rsidR="00957F5F" w:rsidRPr="00730563">
              <w:rPr>
                <w:lang w:val="fr-CH"/>
              </w:rPr>
              <w:t>nvisager l</w:t>
            </w:r>
            <w:r w:rsidR="00B979D7">
              <w:rPr>
                <w:lang w:val="fr-CH"/>
              </w:rPr>
              <w:t>'</w:t>
            </w:r>
            <w:r w:rsidR="00957F5F" w:rsidRPr="00730563">
              <w:rPr>
                <w:lang w:val="fr-CH"/>
              </w:rPr>
              <w:t>établissement de limites de puissance obligatoire</w:t>
            </w:r>
            <w:r>
              <w:rPr>
                <w:lang w:val="fr-CH"/>
              </w:rPr>
              <w:t>s</w:t>
            </w:r>
            <w:r w:rsidR="00957F5F" w:rsidRPr="00730563">
              <w:rPr>
                <w:lang w:val="fr-CH"/>
              </w:rPr>
              <w:t xml:space="preserve"> dans le SMS</w:t>
            </w:r>
            <w:r w:rsidR="003228B3">
              <w:rPr>
                <w:lang w:val="fr-CH"/>
              </w:rPr>
              <w:t xml:space="preserve">, </w:t>
            </w:r>
            <w:r w:rsidR="00957F5F" w:rsidRPr="00730563">
              <w:rPr>
                <w:lang w:val="fr-CH"/>
              </w:rPr>
              <w:t>le service METSAT</w:t>
            </w:r>
            <w:r w:rsidR="003228B3">
              <w:rPr>
                <w:lang w:val="fr-CH"/>
              </w:rPr>
              <w:t xml:space="preserve"> </w:t>
            </w:r>
            <w:r w:rsidR="00957F5F" w:rsidRPr="00730563">
              <w:rPr>
                <w:lang w:val="fr-CH"/>
              </w:rPr>
              <w:t>ou le SETS</w:t>
            </w:r>
            <w:r w:rsidR="003228B3">
              <w:rPr>
                <w:lang w:val="fr-CH"/>
              </w:rPr>
              <w:t xml:space="preserve"> </w:t>
            </w:r>
            <w:r w:rsidR="00957F5F" w:rsidRPr="00730563">
              <w:rPr>
                <w:lang w:val="fr-CH"/>
              </w:rPr>
              <w:t>dans les bandes de fréquences</w:t>
            </w:r>
            <w:r w:rsidR="003228B3">
              <w:rPr>
                <w:lang w:val="fr-CH"/>
              </w:rPr>
              <w:t xml:space="preserve"> </w:t>
            </w:r>
            <w:r w:rsidR="00957F5F" w:rsidRPr="00730563">
              <w:rPr>
                <w:lang w:val="fr-CH"/>
              </w:rPr>
              <w:t>401-403 MHz</w:t>
            </w:r>
            <w:r w:rsidR="003228B3">
              <w:rPr>
                <w:lang w:val="fr-CH"/>
              </w:rPr>
              <w:t xml:space="preserve"> </w:t>
            </w:r>
            <w:r w:rsidR="00957F5F" w:rsidRPr="00730563">
              <w:rPr>
                <w:lang w:val="fr-CH"/>
              </w:rPr>
              <w:t>et 399</w:t>
            </w:r>
            <w:r w:rsidR="00F81C4E">
              <w:rPr>
                <w:lang w:val="fr-CH"/>
              </w:rPr>
              <w:t>,</w:t>
            </w:r>
            <w:r w:rsidR="00957F5F" w:rsidRPr="00730563">
              <w:rPr>
                <w:lang w:val="fr-CH"/>
              </w:rPr>
              <w:t>9-400</w:t>
            </w:r>
            <w:r w:rsidR="00F81C4E">
              <w:rPr>
                <w:lang w:val="fr-CH"/>
              </w:rPr>
              <w:t>,</w:t>
            </w:r>
            <w:r w:rsidR="00957F5F" w:rsidRPr="00730563">
              <w:rPr>
                <w:lang w:val="fr-CH"/>
              </w:rPr>
              <w:t>05 MHz</w:t>
            </w:r>
            <w:r w:rsidR="003228B3">
              <w:rPr>
                <w:lang w:val="fr-CH"/>
              </w:rPr>
              <w:t>,</w:t>
            </w:r>
            <w:r w:rsidR="00957F5F" w:rsidRPr="00730563">
              <w:rPr>
                <w:lang w:val="fr-CH"/>
              </w:rPr>
              <w:t xml:space="preserve"> conformément à la Résolution</w:t>
            </w:r>
            <w:r w:rsidR="003228B3">
              <w:rPr>
                <w:lang w:val="fr-CH"/>
              </w:rPr>
              <w:t xml:space="preserve"> </w:t>
            </w:r>
            <w:r w:rsidR="00757AE4" w:rsidRPr="00730563">
              <w:rPr>
                <w:rStyle w:val="Artdef"/>
                <w:lang w:val="fr-CH"/>
              </w:rPr>
              <w:t>[EUR-G10-6] (</w:t>
            </w:r>
            <w:r w:rsidR="003228B3">
              <w:rPr>
                <w:rStyle w:val="Artdef"/>
                <w:lang w:val="fr-CH"/>
              </w:rPr>
              <w:t>CMR-15</w:t>
            </w:r>
            <w:r w:rsidR="00757AE4" w:rsidRPr="00730563">
              <w:rPr>
                <w:rStyle w:val="Artdef"/>
                <w:lang w:val="fr-CH"/>
              </w:rPr>
              <w:t>)</w:t>
            </w:r>
            <w:r w:rsidR="00F81C4E">
              <w:rPr>
                <w:rStyle w:val="Artdef"/>
                <w:b w:val="0"/>
                <w:bCs/>
                <w:lang w:val="fr-CH"/>
              </w:rPr>
              <w:t>.</w:t>
            </w:r>
          </w:p>
        </w:tc>
      </w:tr>
      <w:tr w:rsidR="00757AE4" w:rsidRPr="00757AE4" w:rsidTr="00F81C4E">
        <w:tc>
          <w:tcPr>
            <w:tcW w:w="9639" w:type="dxa"/>
            <w:gridSpan w:val="3"/>
            <w:tcBorders>
              <w:top w:val="single" w:sz="4" w:space="0" w:color="auto"/>
              <w:left w:val="nil"/>
              <w:bottom w:val="single" w:sz="4" w:space="0" w:color="auto"/>
              <w:right w:val="nil"/>
            </w:tcBorders>
          </w:tcPr>
          <w:p w:rsidR="00757AE4" w:rsidRPr="00730563" w:rsidRDefault="00757AE4" w:rsidP="00425FA3">
            <w:pPr>
              <w:rPr>
                <w:b/>
                <w:bCs/>
                <w:i/>
                <w:iCs/>
                <w:lang w:val="fr-CH"/>
              </w:rPr>
            </w:pPr>
            <w:r w:rsidRPr="00730563">
              <w:rPr>
                <w:b/>
                <w:bCs/>
                <w:i/>
                <w:iCs/>
                <w:lang w:val="fr-CH"/>
              </w:rPr>
              <w:t>Contexte/motif:</w:t>
            </w:r>
          </w:p>
          <w:p w:rsidR="00757AE4" w:rsidRPr="00730563" w:rsidRDefault="00957F5F" w:rsidP="00425FA3">
            <w:pPr>
              <w:keepNext/>
              <w:rPr>
                <w:lang w:val="fr-CH"/>
              </w:rPr>
            </w:pPr>
            <w:r w:rsidRPr="00730563">
              <w:rPr>
                <w:lang w:val="fr-CH"/>
              </w:rPr>
              <w:t>Dernièrement, un certain nombre de réseaux à satellite utilisant des bandes de fréquences dans le cadre des attributions actuelles du SMS</w:t>
            </w:r>
            <w:r w:rsidR="003228B3">
              <w:rPr>
                <w:lang w:val="fr-CH"/>
              </w:rPr>
              <w:t xml:space="preserve">, </w:t>
            </w:r>
            <w:r w:rsidRPr="00730563">
              <w:rPr>
                <w:lang w:val="fr-CH"/>
              </w:rPr>
              <w:t>du service METSAT</w:t>
            </w:r>
            <w:r w:rsidR="003228B3">
              <w:rPr>
                <w:lang w:val="fr-CH"/>
              </w:rPr>
              <w:t xml:space="preserve"> </w:t>
            </w:r>
            <w:r w:rsidR="00A70AFE">
              <w:rPr>
                <w:lang w:val="fr-CH"/>
              </w:rPr>
              <w:t xml:space="preserve">et </w:t>
            </w:r>
            <w:r w:rsidRPr="00730563">
              <w:rPr>
                <w:lang w:val="fr-CH"/>
              </w:rPr>
              <w:t>du SETS, notamment au-dessous de 1 GHz, ont été notifiés à l</w:t>
            </w:r>
            <w:r w:rsidR="00B979D7">
              <w:rPr>
                <w:lang w:val="fr-CH"/>
              </w:rPr>
              <w:t>'</w:t>
            </w:r>
            <w:r w:rsidRPr="00730563">
              <w:rPr>
                <w:lang w:val="fr-CH"/>
              </w:rPr>
              <w:t>UIT, essentiellement pour des opérations de télécommande</w:t>
            </w:r>
            <w:r w:rsidR="00195224">
              <w:rPr>
                <w:lang w:val="fr-CH"/>
              </w:rPr>
              <w:t>.</w:t>
            </w:r>
          </w:p>
          <w:p w:rsidR="009F19D2" w:rsidRPr="00730563" w:rsidRDefault="00957F5F" w:rsidP="00F81C4E">
            <w:pPr>
              <w:keepNext/>
              <w:rPr>
                <w:lang w:val="fr-CH"/>
              </w:rPr>
            </w:pPr>
            <w:r w:rsidRPr="00730563">
              <w:rPr>
                <w:lang w:val="fr-CH"/>
              </w:rPr>
              <w:t>Dans ces réseaux, la puissance de sortie à la borne de l</w:t>
            </w:r>
            <w:r w:rsidR="00B979D7">
              <w:rPr>
                <w:lang w:val="fr-CH"/>
              </w:rPr>
              <w:t>'</w:t>
            </w:r>
            <w:r w:rsidRPr="00730563">
              <w:rPr>
                <w:lang w:val="fr-CH"/>
              </w:rPr>
              <w:t>antenne de ces liaisons de télécommande émise</w:t>
            </w:r>
            <w:r w:rsidR="003228B3">
              <w:rPr>
                <w:lang w:val="fr-CH"/>
              </w:rPr>
              <w:t xml:space="preserve"> </w:t>
            </w:r>
            <w:r w:rsidR="00B953A7">
              <w:rPr>
                <w:lang w:val="fr-CH"/>
              </w:rPr>
              <w:t>par les stations terriennes vers l</w:t>
            </w:r>
            <w:r w:rsidRPr="00730563">
              <w:rPr>
                <w:lang w:val="fr-CH"/>
              </w:rPr>
              <w:t xml:space="preserve">es satellites peut atteindre </w:t>
            </w:r>
            <w:r w:rsidR="00757AE4" w:rsidRPr="00730563">
              <w:rPr>
                <w:lang w:val="fr-CH"/>
              </w:rPr>
              <w:t>50 W</w:t>
            </w:r>
            <w:r w:rsidR="003228B3">
              <w:rPr>
                <w:lang w:val="fr-CH"/>
              </w:rPr>
              <w:t>,</w:t>
            </w:r>
            <w:r w:rsidRPr="00730563">
              <w:rPr>
                <w:lang w:val="fr-CH"/>
              </w:rPr>
              <w:t xml:space="preserve"> voire</w:t>
            </w:r>
            <w:r w:rsidR="003228B3">
              <w:rPr>
                <w:lang w:val="fr-CH"/>
              </w:rPr>
              <w:t xml:space="preserve"> </w:t>
            </w:r>
            <w:r w:rsidR="00A70AFE" w:rsidRPr="00730563">
              <w:rPr>
                <w:lang w:val="fr-CH"/>
              </w:rPr>
              <w:t>plus</w:t>
            </w:r>
            <w:r w:rsidR="00A70AFE">
              <w:rPr>
                <w:lang w:val="fr-CH"/>
              </w:rPr>
              <w:t xml:space="preserve">. </w:t>
            </w:r>
            <w:r w:rsidRPr="00730563">
              <w:rPr>
                <w:lang w:val="fr-CH"/>
              </w:rPr>
              <w:t xml:space="preserve">Les valeurs de p.i.r.e. correspondantes </w:t>
            </w:r>
            <w:r w:rsidR="006540B6" w:rsidRPr="00730563">
              <w:rPr>
                <w:lang w:val="fr-CH"/>
              </w:rPr>
              <w:t>peuvent atteindre</w:t>
            </w:r>
            <w:r w:rsidR="003228B3">
              <w:rPr>
                <w:lang w:val="fr-CH"/>
              </w:rPr>
              <w:t xml:space="preserve"> </w:t>
            </w:r>
            <w:r w:rsidR="00757AE4" w:rsidRPr="00730563">
              <w:rPr>
                <w:lang w:val="fr-CH"/>
              </w:rPr>
              <w:t xml:space="preserve">27 dBW </w:t>
            </w:r>
            <w:r w:rsidR="00B953A7">
              <w:rPr>
                <w:lang w:val="fr-CH"/>
              </w:rPr>
              <w:t>ou davantage et ces valeurs</w:t>
            </w:r>
            <w:r w:rsidR="006540B6" w:rsidRPr="00730563">
              <w:rPr>
                <w:lang w:val="fr-CH"/>
              </w:rPr>
              <w:t xml:space="preserve"> sont nettement supérieures aux niveaux de puissance faibles à modérés généralement utilisés par les liaisons de service dans ces bandes, notamment dans les bandes de fréquences </w:t>
            </w:r>
            <w:r w:rsidR="00B953A7">
              <w:rPr>
                <w:lang w:val="fr-CH"/>
              </w:rPr>
              <w:t>affectées à</w:t>
            </w:r>
            <w:r w:rsidR="006540B6" w:rsidRPr="00730563">
              <w:rPr>
                <w:lang w:val="fr-CH"/>
              </w:rPr>
              <w:t xml:space="preserve"> la collecte de données par satellite</w:t>
            </w:r>
            <w:r w:rsidR="003228B3">
              <w:rPr>
                <w:lang w:val="fr-CH"/>
              </w:rPr>
              <w:t>,</w:t>
            </w:r>
            <w:r w:rsidR="006540B6" w:rsidRPr="00730563">
              <w:rPr>
                <w:lang w:val="fr-CH"/>
              </w:rPr>
              <w:t xml:space="preserve"> par exemple les bandes</w:t>
            </w:r>
            <w:r w:rsidR="003228B3">
              <w:rPr>
                <w:lang w:val="fr-CH"/>
              </w:rPr>
              <w:t xml:space="preserve"> </w:t>
            </w:r>
            <w:r w:rsidR="00757AE4" w:rsidRPr="00730563">
              <w:rPr>
                <w:lang w:val="fr-CH"/>
              </w:rPr>
              <w:t>401-403 MHz o</w:t>
            </w:r>
            <w:r w:rsidR="006540B6" w:rsidRPr="00730563">
              <w:rPr>
                <w:lang w:val="fr-CH"/>
              </w:rPr>
              <w:t>u</w:t>
            </w:r>
            <w:r w:rsidR="00757AE4" w:rsidRPr="00730563">
              <w:rPr>
                <w:lang w:val="fr-CH"/>
              </w:rPr>
              <w:t xml:space="preserve"> 399</w:t>
            </w:r>
            <w:r w:rsidR="00F81C4E">
              <w:rPr>
                <w:lang w:val="fr-CH"/>
              </w:rPr>
              <w:t>,</w:t>
            </w:r>
            <w:r w:rsidR="00757AE4" w:rsidRPr="00730563">
              <w:rPr>
                <w:lang w:val="fr-CH"/>
              </w:rPr>
              <w:t>9-400</w:t>
            </w:r>
            <w:r w:rsidR="00F81C4E">
              <w:rPr>
                <w:lang w:val="fr-CH"/>
              </w:rPr>
              <w:t>,</w:t>
            </w:r>
            <w:r w:rsidR="00757AE4" w:rsidRPr="00730563">
              <w:rPr>
                <w:lang w:val="fr-CH"/>
              </w:rPr>
              <w:t xml:space="preserve">05 MHz. </w:t>
            </w:r>
            <w:r w:rsidR="006540B6" w:rsidRPr="00730563">
              <w:rPr>
                <w:lang w:val="fr-CH"/>
              </w:rPr>
              <w:t>L</w:t>
            </w:r>
            <w:r w:rsidR="00B979D7">
              <w:rPr>
                <w:lang w:val="fr-CH"/>
              </w:rPr>
              <w:t>'</w:t>
            </w:r>
            <w:r w:rsidR="002E2C8C" w:rsidRPr="00730563">
              <w:rPr>
                <w:lang w:val="fr-CH"/>
              </w:rPr>
              <w:t>UIT</w:t>
            </w:r>
            <w:r w:rsidR="00BF2826">
              <w:rPr>
                <w:lang w:val="fr-CH"/>
              </w:rPr>
              <w:t>-</w:t>
            </w:r>
            <w:r w:rsidR="00757AE4" w:rsidRPr="00730563">
              <w:rPr>
                <w:lang w:val="fr-CH"/>
              </w:rPr>
              <w:t xml:space="preserve">R </w:t>
            </w:r>
            <w:r w:rsidR="006540B6" w:rsidRPr="00730563">
              <w:rPr>
                <w:lang w:val="fr-CH"/>
              </w:rPr>
              <w:t xml:space="preserve">a élaboré des </w:t>
            </w:r>
            <w:r w:rsidR="00B953A7">
              <w:rPr>
                <w:lang w:val="fr-CH"/>
              </w:rPr>
              <w:t>R</w:t>
            </w:r>
            <w:r w:rsidR="00A70AFE" w:rsidRPr="00730563">
              <w:rPr>
                <w:lang w:val="fr-CH"/>
              </w:rPr>
              <w:t>ecommandations</w:t>
            </w:r>
            <w:r w:rsidR="00B953A7">
              <w:rPr>
                <w:lang w:val="fr-CH"/>
              </w:rPr>
              <w:t xml:space="preserve"> UIT-</w:t>
            </w:r>
            <w:r w:rsidR="006540B6" w:rsidRPr="00730563">
              <w:rPr>
                <w:lang w:val="fr-CH"/>
              </w:rPr>
              <w:t>R indiquant l</w:t>
            </w:r>
            <w:r w:rsidR="00B979D7">
              <w:rPr>
                <w:lang w:val="fr-CH"/>
              </w:rPr>
              <w:t>'</w:t>
            </w:r>
            <w:r w:rsidR="006540B6" w:rsidRPr="00730563">
              <w:rPr>
                <w:lang w:val="fr-CH"/>
              </w:rPr>
              <w:t>utilisation de</w:t>
            </w:r>
            <w:r w:rsidR="003228B3">
              <w:rPr>
                <w:lang w:val="fr-CH"/>
              </w:rPr>
              <w:t xml:space="preserve"> </w:t>
            </w:r>
            <w:r w:rsidR="006540B6" w:rsidRPr="00730563">
              <w:rPr>
                <w:lang w:val="fr-CH"/>
              </w:rPr>
              <w:t>ces bandes</w:t>
            </w:r>
            <w:r w:rsidR="003228B3">
              <w:rPr>
                <w:lang w:val="fr-CH"/>
              </w:rPr>
              <w:t xml:space="preserve"> </w:t>
            </w:r>
            <w:r w:rsidR="006540B6" w:rsidRPr="00730563">
              <w:rPr>
                <w:lang w:val="fr-CH"/>
              </w:rPr>
              <w:t xml:space="preserve">et fixant également des seuils de </w:t>
            </w:r>
            <w:r w:rsidR="00A70AFE" w:rsidRPr="00730563">
              <w:rPr>
                <w:lang w:val="fr-CH"/>
              </w:rPr>
              <w:t>brouillage</w:t>
            </w:r>
            <w:r w:rsidR="00A70AFE">
              <w:rPr>
                <w:lang w:val="fr-CH"/>
              </w:rPr>
              <w:t xml:space="preserve">. </w:t>
            </w:r>
            <w:r w:rsidR="00195224">
              <w:rPr>
                <w:lang w:val="fr-CH"/>
              </w:rPr>
              <w:t xml:space="preserve">Il ressort de calculs détaillés </w:t>
            </w:r>
            <w:r w:rsidR="006540B6" w:rsidRPr="00730563">
              <w:rPr>
                <w:lang w:val="fr-CH"/>
              </w:rPr>
              <w:t>au moyen des paramètres de ces</w:t>
            </w:r>
            <w:r w:rsidR="003228B3">
              <w:rPr>
                <w:lang w:val="fr-CH"/>
              </w:rPr>
              <w:t xml:space="preserve"> </w:t>
            </w:r>
            <w:r w:rsidR="006540B6" w:rsidRPr="00730563">
              <w:rPr>
                <w:lang w:val="fr-CH"/>
              </w:rPr>
              <w:t>satellites que ces liaisons de télécommande pourraient entraîner une occultation totale</w:t>
            </w:r>
            <w:r w:rsidR="009F19D2" w:rsidRPr="00730563">
              <w:rPr>
                <w:lang w:val="fr-CH"/>
              </w:rPr>
              <w:t xml:space="preserve">, pendant un laps de temps important, des récepteurs existants </w:t>
            </w:r>
            <w:r w:rsidR="00195224">
              <w:rPr>
                <w:lang w:val="fr-CH"/>
              </w:rPr>
              <w:t>lorsque ceux-ci</w:t>
            </w:r>
            <w:r w:rsidR="00A70AFE" w:rsidRPr="00730563">
              <w:rPr>
                <w:lang w:val="fr-CH"/>
              </w:rPr>
              <w:t xml:space="preserve"> sont</w:t>
            </w:r>
            <w:r w:rsidR="009F19D2" w:rsidRPr="00730563">
              <w:rPr>
                <w:lang w:val="fr-CH"/>
              </w:rPr>
              <w:t xml:space="preserve"> brouillés par les liaisons de télécommande dans la même bande de fréquences</w:t>
            </w:r>
            <w:r w:rsidR="00195224">
              <w:rPr>
                <w:lang w:val="fr-CH"/>
              </w:rPr>
              <w:t>.</w:t>
            </w:r>
          </w:p>
          <w:p w:rsidR="00757AE4" w:rsidRPr="00730563" w:rsidRDefault="009F19D2" w:rsidP="00195224">
            <w:pPr>
              <w:keepNext/>
              <w:rPr>
                <w:lang w:val="fr-CH"/>
              </w:rPr>
            </w:pPr>
            <w:r w:rsidRPr="00730563">
              <w:rPr>
                <w:lang w:val="fr-CH"/>
              </w:rPr>
              <w:t>L</w:t>
            </w:r>
            <w:r w:rsidR="00B979D7">
              <w:rPr>
                <w:lang w:val="fr-CH"/>
              </w:rPr>
              <w:t>'</w:t>
            </w:r>
            <w:r w:rsidRPr="00730563">
              <w:rPr>
                <w:lang w:val="fr-CH"/>
              </w:rPr>
              <w:t>objectif de ce futur point de l</w:t>
            </w:r>
            <w:r w:rsidR="00B979D7">
              <w:rPr>
                <w:lang w:val="fr-CH"/>
              </w:rPr>
              <w:t>'</w:t>
            </w:r>
            <w:r w:rsidRPr="00730563">
              <w:rPr>
                <w:lang w:val="fr-CH"/>
              </w:rPr>
              <w:t>ordre du jour est d</w:t>
            </w:r>
            <w:r w:rsidR="00B979D7">
              <w:rPr>
                <w:lang w:val="fr-CH"/>
              </w:rPr>
              <w:t>'</w:t>
            </w:r>
            <w:r w:rsidRPr="00730563">
              <w:rPr>
                <w:lang w:val="fr-CH"/>
              </w:rPr>
              <w:t xml:space="preserve">établir, dans le </w:t>
            </w:r>
            <w:r w:rsidR="00195224">
              <w:rPr>
                <w:lang w:val="fr-CH"/>
              </w:rPr>
              <w:t>R</w:t>
            </w:r>
            <w:r w:rsidRPr="00730563">
              <w:rPr>
                <w:lang w:val="fr-CH"/>
              </w:rPr>
              <w:t>èglement des radiocommunications, des limite</w:t>
            </w:r>
            <w:r w:rsidR="00195224">
              <w:rPr>
                <w:lang w:val="fr-CH"/>
              </w:rPr>
              <w:t>s de puissance applicables à</w:t>
            </w:r>
            <w:r w:rsidRPr="00730563">
              <w:rPr>
                <w:lang w:val="fr-CH"/>
              </w:rPr>
              <w:t xml:space="preserve"> certaines bandes de fréquences sur les </w:t>
            </w:r>
            <w:r w:rsidR="00195224">
              <w:rPr>
                <w:lang w:val="fr-CH"/>
              </w:rPr>
              <w:t>liaisons montantes de satellite</w:t>
            </w:r>
            <w:r w:rsidRPr="00730563">
              <w:rPr>
                <w:lang w:val="fr-CH"/>
              </w:rPr>
              <w:t xml:space="preserve"> au-dessous de 1 GHz, qui seraient valables pour tout type de satellite</w:t>
            </w:r>
            <w:r w:rsidR="003228B3">
              <w:rPr>
                <w:lang w:val="fr-CH"/>
              </w:rPr>
              <w:t>,</w:t>
            </w:r>
            <w:r w:rsidRPr="00730563">
              <w:rPr>
                <w:lang w:val="fr-CH"/>
              </w:rPr>
              <w:t xml:space="preserve"> afin de garantir l</w:t>
            </w:r>
            <w:r w:rsidR="00B979D7">
              <w:rPr>
                <w:lang w:val="fr-CH"/>
              </w:rPr>
              <w:t>'</w:t>
            </w:r>
            <w:r w:rsidRPr="00730563">
              <w:rPr>
                <w:lang w:val="fr-CH"/>
              </w:rPr>
              <w:t>exploitation des systèmes actuels et futurs mettant généralement en oeuvre</w:t>
            </w:r>
            <w:r w:rsidR="003228B3">
              <w:rPr>
                <w:lang w:val="fr-CH"/>
              </w:rPr>
              <w:t xml:space="preserve"> </w:t>
            </w:r>
            <w:r w:rsidRPr="00730563">
              <w:rPr>
                <w:lang w:val="fr-CH"/>
              </w:rPr>
              <w:t>des niveaux de puissance faibles à modérés</w:t>
            </w:r>
            <w:r w:rsidR="00F81C4E">
              <w:rPr>
                <w:lang w:val="fr-CH"/>
              </w:rPr>
              <w:t>.</w:t>
            </w:r>
          </w:p>
          <w:p w:rsidR="00757AE4" w:rsidRPr="00730563" w:rsidRDefault="009F19D2" w:rsidP="0041346B">
            <w:pPr>
              <w:spacing w:after="40"/>
              <w:rPr>
                <w:b/>
                <w:i/>
                <w:lang w:val="fr-CH"/>
              </w:rPr>
            </w:pPr>
            <w:r w:rsidRPr="00730563">
              <w:rPr>
                <w:lang w:val="fr-CH"/>
              </w:rPr>
              <w:t>Les études détaillées correspondantes peuvent être menées au titre d</w:t>
            </w:r>
            <w:r w:rsidR="00B979D7">
              <w:rPr>
                <w:lang w:val="fr-CH"/>
              </w:rPr>
              <w:t>'</w:t>
            </w:r>
            <w:r w:rsidRPr="00730563">
              <w:rPr>
                <w:lang w:val="fr-CH"/>
              </w:rPr>
              <w:t>un futur point de l</w:t>
            </w:r>
            <w:r w:rsidR="00B979D7">
              <w:rPr>
                <w:lang w:val="fr-CH"/>
              </w:rPr>
              <w:t>'</w:t>
            </w:r>
            <w:r w:rsidRPr="00730563">
              <w:rPr>
                <w:lang w:val="fr-CH"/>
              </w:rPr>
              <w:t xml:space="preserve">ordre du jour de la </w:t>
            </w:r>
            <w:r w:rsidR="00144B80">
              <w:rPr>
                <w:lang w:val="fr-CH"/>
              </w:rPr>
              <w:t>CMR-19</w:t>
            </w:r>
            <w:r w:rsidRPr="00730563">
              <w:rPr>
                <w:lang w:val="fr-CH"/>
              </w:rPr>
              <w:t xml:space="preserve"> et les limites de puissance correspondantes devront être applicables à tout type de satellite</w:t>
            </w:r>
            <w:r w:rsidR="003228B3">
              <w:rPr>
                <w:lang w:val="fr-CH"/>
              </w:rPr>
              <w:t xml:space="preserve"> </w:t>
            </w:r>
            <w:r w:rsidRPr="00730563">
              <w:rPr>
                <w:lang w:val="fr-CH"/>
              </w:rPr>
              <w:t>dans les bandes de fréqu</w:t>
            </w:r>
            <w:r w:rsidR="003228B3">
              <w:rPr>
                <w:lang w:val="fr-CH"/>
              </w:rPr>
              <w:t>ences ci-après</w:t>
            </w:r>
            <w:r w:rsidRPr="00730563">
              <w:rPr>
                <w:lang w:val="fr-CH"/>
              </w:rPr>
              <w:t>:</w:t>
            </w:r>
            <w:r w:rsidR="00757AE4" w:rsidRPr="00730563">
              <w:rPr>
                <w:lang w:val="fr-CH"/>
              </w:rPr>
              <w:t xml:space="preserve"> 399</w:t>
            </w:r>
            <w:r w:rsidR="00F81C4E">
              <w:rPr>
                <w:lang w:val="fr-CH"/>
              </w:rPr>
              <w:t>,</w:t>
            </w:r>
            <w:r w:rsidR="00757AE4" w:rsidRPr="00730563">
              <w:rPr>
                <w:lang w:val="fr-CH"/>
              </w:rPr>
              <w:t>9-400</w:t>
            </w:r>
            <w:r w:rsidR="00F81C4E">
              <w:rPr>
                <w:lang w:val="fr-CH"/>
              </w:rPr>
              <w:t>,</w:t>
            </w:r>
            <w:r w:rsidR="00757AE4" w:rsidRPr="00730563">
              <w:rPr>
                <w:lang w:val="fr-CH"/>
              </w:rPr>
              <w:t xml:space="preserve">05 MHz </w:t>
            </w:r>
            <w:r w:rsidRPr="00730563">
              <w:rPr>
                <w:lang w:val="fr-CH"/>
              </w:rPr>
              <w:t xml:space="preserve">pour le </w:t>
            </w:r>
            <w:r w:rsidR="00BF109A" w:rsidRPr="00730563">
              <w:rPr>
                <w:lang w:val="fr-CH"/>
              </w:rPr>
              <w:t xml:space="preserve">SMS </w:t>
            </w:r>
            <w:r w:rsidR="00757AE4" w:rsidRPr="00730563">
              <w:rPr>
                <w:lang w:val="fr-CH"/>
              </w:rPr>
              <w:t>(</w:t>
            </w:r>
            <w:r w:rsidRPr="00730563">
              <w:rPr>
                <w:lang w:val="fr-CH"/>
              </w:rPr>
              <w:t>Terre vers espace</w:t>
            </w:r>
            <w:r w:rsidR="00757AE4" w:rsidRPr="00730563">
              <w:rPr>
                <w:lang w:val="fr-CH"/>
              </w:rPr>
              <w:t>), 401-403 MHz</w:t>
            </w:r>
            <w:r w:rsidR="003228B3">
              <w:rPr>
                <w:lang w:val="fr-CH"/>
              </w:rPr>
              <w:t xml:space="preserve"> </w:t>
            </w:r>
            <w:r w:rsidRPr="00730563">
              <w:rPr>
                <w:lang w:val="fr-CH"/>
              </w:rPr>
              <w:t xml:space="preserve">pour le </w:t>
            </w:r>
            <w:r w:rsidR="000F6489" w:rsidRPr="00730563">
              <w:rPr>
                <w:lang w:val="fr-CH"/>
              </w:rPr>
              <w:t xml:space="preserve">SETS </w:t>
            </w:r>
            <w:r w:rsidR="00757AE4" w:rsidRPr="00730563">
              <w:rPr>
                <w:lang w:val="fr-CH"/>
              </w:rPr>
              <w:t>(</w:t>
            </w:r>
            <w:r w:rsidRPr="00730563">
              <w:rPr>
                <w:lang w:val="fr-CH"/>
              </w:rPr>
              <w:t>Terre vers espace</w:t>
            </w:r>
            <w:r w:rsidR="00757AE4" w:rsidRPr="00730563">
              <w:rPr>
                <w:lang w:val="fr-CH"/>
              </w:rPr>
              <w:t>).</w:t>
            </w:r>
          </w:p>
        </w:tc>
      </w:tr>
      <w:tr w:rsidR="00757AE4" w:rsidRPr="00714540" w:rsidTr="00F81C4E">
        <w:tc>
          <w:tcPr>
            <w:tcW w:w="9639" w:type="dxa"/>
            <w:gridSpan w:val="3"/>
            <w:tcBorders>
              <w:top w:val="single" w:sz="4" w:space="0" w:color="auto"/>
              <w:left w:val="nil"/>
              <w:bottom w:val="single" w:sz="4" w:space="0" w:color="auto"/>
              <w:right w:val="nil"/>
            </w:tcBorders>
          </w:tcPr>
          <w:p w:rsidR="00757AE4" w:rsidRPr="00A31EA2" w:rsidRDefault="00757AE4" w:rsidP="00425FA3">
            <w:r w:rsidRPr="0014454C">
              <w:rPr>
                <w:b/>
                <w:bCs/>
                <w:i/>
                <w:iCs/>
                <w:lang w:val="fr-CH"/>
              </w:rPr>
              <w:t>Services de radiocommunication concernés</w:t>
            </w:r>
            <w:r w:rsidRPr="00A31EA2">
              <w:t>:</w:t>
            </w:r>
          </w:p>
          <w:p w:rsidR="00757AE4" w:rsidRPr="00714540" w:rsidRDefault="009F19D2" w:rsidP="00F81C4E">
            <w:pPr>
              <w:spacing w:after="40"/>
              <w:rPr>
                <w:b/>
                <w:i/>
              </w:rPr>
            </w:pPr>
            <w:r>
              <w:t>Services de météorologie par satellite, d</w:t>
            </w:r>
            <w:r w:rsidR="00B979D7">
              <w:t>'</w:t>
            </w:r>
            <w:r>
              <w:t>exploration de la Terre par satellite, mobile</w:t>
            </w:r>
            <w:r w:rsidR="003228B3">
              <w:t xml:space="preserve"> </w:t>
            </w:r>
            <w:r w:rsidR="00144B80">
              <w:t>par satellite</w:t>
            </w:r>
          </w:p>
        </w:tc>
      </w:tr>
      <w:tr w:rsidR="00757AE4" w:rsidRPr="00757AE4" w:rsidTr="00F81C4E">
        <w:tc>
          <w:tcPr>
            <w:tcW w:w="9639" w:type="dxa"/>
            <w:gridSpan w:val="3"/>
            <w:tcBorders>
              <w:top w:val="single" w:sz="4" w:space="0" w:color="auto"/>
              <w:left w:val="nil"/>
              <w:bottom w:val="single" w:sz="4" w:space="0" w:color="auto"/>
              <w:right w:val="nil"/>
            </w:tcBorders>
          </w:tcPr>
          <w:p w:rsidR="00757AE4" w:rsidRPr="00730563" w:rsidRDefault="00757AE4" w:rsidP="00425FA3">
            <w:pPr>
              <w:rPr>
                <w:lang w:val="fr-CH"/>
              </w:rPr>
            </w:pPr>
            <w:r w:rsidRPr="00730563">
              <w:rPr>
                <w:b/>
                <w:bCs/>
                <w:i/>
                <w:iCs/>
                <w:lang w:val="fr-CH"/>
              </w:rPr>
              <w:t>Indication des difficultés éventuelles:</w:t>
            </w:r>
          </w:p>
          <w:p w:rsidR="00757AE4" w:rsidRDefault="009F19D2" w:rsidP="00425FA3">
            <w:pPr>
              <w:rPr>
                <w:lang w:val="fr-CH"/>
              </w:rPr>
            </w:pPr>
            <w:r w:rsidRPr="00730563">
              <w:rPr>
                <w:lang w:val="fr-CH"/>
              </w:rPr>
              <w:t>Un grand nombre d</w:t>
            </w:r>
            <w:r w:rsidR="00B979D7">
              <w:rPr>
                <w:lang w:val="fr-CH"/>
              </w:rPr>
              <w:t>'</w:t>
            </w:r>
            <w:r w:rsidRPr="00730563">
              <w:rPr>
                <w:lang w:val="fr-CH"/>
              </w:rPr>
              <w:t>exploitants de services spatiaux utilisent les bandes de fréquences au-dessous de 1 GHz, notamment les agences spatiales et les instituts météorologiques, et il sera primordial de déterminer des limites appropriées pour assurer la protection</w:t>
            </w:r>
            <w:r w:rsidR="003228B3">
              <w:rPr>
                <w:lang w:val="fr-CH"/>
              </w:rPr>
              <w:t xml:space="preserve"> </w:t>
            </w:r>
            <w:r w:rsidRPr="00730563">
              <w:rPr>
                <w:lang w:val="fr-CH"/>
              </w:rPr>
              <w:t>des activités spatiales au titre de ce point de l</w:t>
            </w:r>
            <w:r w:rsidR="00B979D7">
              <w:rPr>
                <w:lang w:val="fr-CH"/>
              </w:rPr>
              <w:t>'</w:t>
            </w:r>
            <w:r w:rsidRPr="00730563">
              <w:rPr>
                <w:lang w:val="fr-CH"/>
              </w:rPr>
              <w:t>ordre du jour</w:t>
            </w:r>
            <w:r w:rsidR="0030395A">
              <w:rPr>
                <w:lang w:val="fr-CH"/>
              </w:rPr>
              <w:t>.</w:t>
            </w:r>
            <w:r w:rsidRPr="00730563">
              <w:rPr>
                <w:lang w:val="fr-CH"/>
              </w:rPr>
              <w:t xml:space="preserve"> </w:t>
            </w:r>
          </w:p>
          <w:p w:rsidR="00F81C4E" w:rsidRDefault="00F81C4E" w:rsidP="00425FA3">
            <w:pPr>
              <w:rPr>
                <w:lang w:val="fr-CH"/>
              </w:rPr>
            </w:pPr>
          </w:p>
          <w:p w:rsidR="00F81C4E" w:rsidRPr="00730563" w:rsidRDefault="00F81C4E" w:rsidP="00425FA3">
            <w:pPr>
              <w:rPr>
                <w:b/>
                <w:i/>
                <w:lang w:val="fr-CH"/>
              </w:rPr>
            </w:pPr>
          </w:p>
        </w:tc>
      </w:tr>
      <w:tr w:rsidR="00757AE4" w:rsidRPr="00757AE4" w:rsidTr="00F81C4E">
        <w:tc>
          <w:tcPr>
            <w:tcW w:w="9639" w:type="dxa"/>
            <w:gridSpan w:val="3"/>
            <w:tcBorders>
              <w:top w:val="single" w:sz="4" w:space="0" w:color="auto"/>
              <w:left w:val="nil"/>
              <w:bottom w:val="single" w:sz="4" w:space="0" w:color="auto"/>
              <w:right w:val="nil"/>
            </w:tcBorders>
          </w:tcPr>
          <w:p w:rsidR="00757AE4" w:rsidRPr="00A31EA2" w:rsidRDefault="00757AE4" w:rsidP="00425FA3">
            <w:r w:rsidRPr="003A2ED4">
              <w:rPr>
                <w:b/>
                <w:bCs/>
                <w:i/>
                <w:iCs/>
                <w:lang w:val="fr-CH"/>
              </w:rPr>
              <w:lastRenderedPageBreak/>
              <w:t>Etudes précédentes ou en cours sur la question</w:t>
            </w:r>
            <w:r w:rsidRPr="003A2ED4">
              <w:rPr>
                <w:b/>
                <w:bCs/>
                <w:i/>
                <w:iCs/>
              </w:rPr>
              <w:t>:</w:t>
            </w:r>
          </w:p>
          <w:p w:rsidR="00757AE4" w:rsidRPr="00730563" w:rsidRDefault="009F19D2" w:rsidP="00425FA3">
            <w:pPr>
              <w:rPr>
                <w:b/>
                <w:i/>
                <w:lang w:val="fr-CH"/>
              </w:rPr>
            </w:pPr>
            <w:r w:rsidRPr="00730563">
              <w:rPr>
                <w:lang w:val="fr-CH"/>
              </w:rPr>
              <w:t>Des études de coordination ont été effectuées précédemment entre les agences spatiales et les instituts météorologiques</w:t>
            </w:r>
            <w:r w:rsidR="00F81C4E">
              <w:rPr>
                <w:lang w:val="fr-CH"/>
              </w:rPr>
              <w:t>,</w:t>
            </w:r>
            <w:r w:rsidRPr="00730563">
              <w:rPr>
                <w:lang w:val="fr-CH"/>
              </w:rPr>
              <w:t xml:space="preserve"> d</w:t>
            </w:r>
            <w:r w:rsidR="00B979D7">
              <w:rPr>
                <w:lang w:val="fr-CH"/>
              </w:rPr>
              <w:t>'</w:t>
            </w:r>
            <w:r w:rsidRPr="00730563">
              <w:rPr>
                <w:lang w:val="fr-CH"/>
              </w:rPr>
              <w:t>une part, et les exploitants de services spatiaux</w:t>
            </w:r>
            <w:r w:rsidR="00F81C4E">
              <w:rPr>
                <w:lang w:val="fr-CH"/>
              </w:rPr>
              <w:t>,</w:t>
            </w:r>
            <w:r w:rsidRPr="00730563">
              <w:rPr>
                <w:lang w:val="fr-CH"/>
              </w:rPr>
              <w:t xml:space="preserve"> d</w:t>
            </w:r>
            <w:r w:rsidR="00B979D7">
              <w:rPr>
                <w:lang w:val="fr-CH"/>
              </w:rPr>
              <w:t>'</w:t>
            </w:r>
            <w:r w:rsidRPr="00730563">
              <w:rPr>
                <w:lang w:val="fr-CH"/>
              </w:rPr>
              <w:t>autre part, pour évaluer et atténuer les brouillages radioélectriques</w:t>
            </w:r>
            <w:r w:rsidR="0030395A">
              <w:rPr>
                <w:lang w:val="fr-CH"/>
              </w:rPr>
              <w:t>.</w:t>
            </w:r>
          </w:p>
        </w:tc>
      </w:tr>
      <w:tr w:rsidR="00757AE4" w:rsidRPr="00757AE4" w:rsidTr="00F81C4E">
        <w:tc>
          <w:tcPr>
            <w:tcW w:w="4538" w:type="dxa"/>
            <w:gridSpan w:val="2"/>
            <w:tcBorders>
              <w:top w:val="single" w:sz="4" w:space="0" w:color="auto"/>
              <w:left w:val="nil"/>
              <w:bottom w:val="single" w:sz="4" w:space="0" w:color="auto"/>
              <w:right w:val="single" w:sz="4" w:space="0" w:color="auto"/>
            </w:tcBorders>
          </w:tcPr>
          <w:p w:rsidR="00757AE4" w:rsidRPr="00A31EA2" w:rsidRDefault="00757AE4" w:rsidP="00425FA3">
            <w:r w:rsidRPr="0014454C">
              <w:rPr>
                <w:b/>
                <w:bCs/>
                <w:i/>
                <w:iCs/>
                <w:lang w:val="fr-CH"/>
              </w:rPr>
              <w:t>Etudes devant être réalisées par</w:t>
            </w:r>
            <w:r w:rsidRPr="0014454C">
              <w:rPr>
                <w:b/>
                <w:bCs/>
                <w:i/>
                <w:iCs/>
              </w:rPr>
              <w:t>:</w:t>
            </w:r>
          </w:p>
          <w:p w:rsidR="00757AE4" w:rsidRPr="009E4745" w:rsidRDefault="00872994" w:rsidP="00425FA3">
            <w:pPr>
              <w:rPr>
                <w:b/>
                <w:i/>
                <w:color w:val="000000"/>
                <w:lang w:val="fr-CH"/>
              </w:rPr>
            </w:pPr>
            <w:r>
              <w:rPr>
                <w:color w:val="000000"/>
              </w:rPr>
              <w:t xml:space="preserve">GT </w:t>
            </w:r>
            <w:r w:rsidR="00757AE4">
              <w:rPr>
                <w:color w:val="000000"/>
              </w:rPr>
              <w:t>7B</w:t>
            </w:r>
          </w:p>
        </w:tc>
        <w:tc>
          <w:tcPr>
            <w:tcW w:w="5101" w:type="dxa"/>
            <w:tcBorders>
              <w:top w:val="single" w:sz="4" w:space="0" w:color="auto"/>
              <w:left w:val="single" w:sz="4" w:space="0" w:color="auto"/>
              <w:bottom w:val="single" w:sz="4" w:space="0" w:color="auto"/>
              <w:right w:val="nil"/>
            </w:tcBorders>
          </w:tcPr>
          <w:p w:rsidR="00757AE4" w:rsidRPr="00730563" w:rsidRDefault="00757AE4" w:rsidP="00425FA3">
            <w:pPr>
              <w:rPr>
                <w:b/>
                <w:bCs/>
                <w:i/>
                <w:iCs/>
                <w:lang w:val="fr-CH"/>
              </w:rPr>
            </w:pPr>
            <w:r w:rsidRPr="00504217">
              <w:rPr>
                <w:b/>
                <w:bCs/>
                <w:i/>
                <w:iCs/>
              </w:rPr>
              <w:t>avec la participation de</w:t>
            </w:r>
            <w:r w:rsidRPr="00730563">
              <w:rPr>
                <w:b/>
                <w:bCs/>
                <w:i/>
                <w:iCs/>
                <w:lang w:val="fr-CH"/>
              </w:rPr>
              <w:t>:</w:t>
            </w:r>
          </w:p>
          <w:p w:rsidR="00757AE4" w:rsidRPr="00730563" w:rsidRDefault="00C203CC" w:rsidP="00425FA3">
            <w:pPr>
              <w:rPr>
                <w:b/>
                <w:i/>
                <w:color w:val="000000"/>
                <w:lang w:val="fr-CH"/>
              </w:rPr>
            </w:pPr>
            <w:r w:rsidRPr="00730563">
              <w:rPr>
                <w:color w:val="000000"/>
                <w:lang w:val="fr-CH"/>
              </w:rPr>
              <w:t xml:space="preserve">Administrations et Membres du Secteur de </w:t>
            </w:r>
            <w:r w:rsidR="00144B80" w:rsidRPr="00730563">
              <w:rPr>
                <w:color w:val="000000"/>
                <w:lang w:val="fr-CH"/>
              </w:rPr>
              <w:t>l</w:t>
            </w:r>
            <w:r w:rsidR="00B979D7">
              <w:rPr>
                <w:color w:val="000000"/>
                <w:lang w:val="fr-CH"/>
              </w:rPr>
              <w:t>'</w:t>
            </w:r>
            <w:r w:rsidR="00144B80" w:rsidRPr="00730563">
              <w:rPr>
                <w:color w:val="000000"/>
                <w:lang w:val="fr-CH"/>
              </w:rPr>
              <w:t>UIT</w:t>
            </w:r>
            <w:r w:rsidR="00144B80">
              <w:rPr>
                <w:color w:val="000000"/>
                <w:lang w:val="fr-CH"/>
              </w:rPr>
              <w:noBreakHyphen/>
            </w:r>
            <w:r w:rsidR="00144B80" w:rsidRPr="00730563">
              <w:rPr>
                <w:color w:val="000000"/>
                <w:lang w:val="fr-CH"/>
              </w:rPr>
              <w:t xml:space="preserve">R. </w:t>
            </w:r>
            <w:r w:rsidR="00144B80">
              <w:rPr>
                <w:color w:val="000000"/>
                <w:lang w:val="fr-CH"/>
              </w:rPr>
              <w:t>C</w:t>
            </w:r>
            <w:r w:rsidR="00144B80" w:rsidRPr="00730563">
              <w:rPr>
                <w:color w:val="000000"/>
                <w:lang w:val="fr-CH"/>
              </w:rPr>
              <w:t>ontributions</w:t>
            </w:r>
            <w:r w:rsidR="009F19D2" w:rsidRPr="00730563">
              <w:rPr>
                <w:color w:val="000000"/>
                <w:lang w:val="fr-CH"/>
              </w:rPr>
              <w:t xml:space="preserve"> des agences spatiales et des instituts météorologiques ainsi que des opérateurs de satellites</w:t>
            </w:r>
            <w:r w:rsidR="003228B3">
              <w:rPr>
                <w:color w:val="000000"/>
                <w:lang w:val="fr-CH"/>
              </w:rPr>
              <w:t xml:space="preserve"> </w:t>
            </w:r>
          </w:p>
        </w:tc>
      </w:tr>
      <w:tr w:rsidR="00757AE4" w:rsidRPr="009E4745" w:rsidTr="00F81C4E">
        <w:tc>
          <w:tcPr>
            <w:tcW w:w="9639" w:type="dxa"/>
            <w:gridSpan w:val="3"/>
            <w:tcBorders>
              <w:top w:val="single" w:sz="4" w:space="0" w:color="auto"/>
              <w:left w:val="nil"/>
              <w:bottom w:val="single" w:sz="4" w:space="0" w:color="auto"/>
              <w:right w:val="nil"/>
            </w:tcBorders>
          </w:tcPr>
          <w:p w:rsidR="00757AE4" w:rsidRPr="00A31EA2" w:rsidRDefault="00757AE4" w:rsidP="00425FA3">
            <w:r w:rsidRPr="0014454C">
              <w:rPr>
                <w:b/>
                <w:bCs/>
                <w:i/>
                <w:iCs/>
                <w:lang w:val="fr-CH"/>
              </w:rPr>
              <w:t>Commissions d'études de l'UIT-R concernées</w:t>
            </w:r>
            <w:r w:rsidRPr="00A31EA2">
              <w:rPr>
                <w:b/>
                <w:bCs/>
                <w:i/>
                <w:iCs/>
              </w:rPr>
              <w:t>:</w:t>
            </w:r>
          </w:p>
          <w:p w:rsidR="00757AE4" w:rsidRPr="009E4745" w:rsidRDefault="00C937A8" w:rsidP="00425FA3">
            <w:pPr>
              <w:rPr>
                <w:b/>
                <w:i/>
                <w:lang w:val="fr-CH"/>
              </w:rPr>
            </w:pPr>
            <w:r>
              <w:rPr>
                <w:rStyle w:val="BRNormal"/>
              </w:rPr>
              <w:t>CE</w:t>
            </w:r>
            <w:r w:rsidR="00F81C4E">
              <w:rPr>
                <w:rStyle w:val="BRNormal"/>
              </w:rPr>
              <w:t xml:space="preserve"> </w:t>
            </w:r>
            <w:r w:rsidR="00757AE4" w:rsidRPr="00507560">
              <w:rPr>
                <w:rStyle w:val="BRNormal"/>
              </w:rPr>
              <w:t xml:space="preserve">7, </w:t>
            </w:r>
            <w:r>
              <w:rPr>
                <w:rStyle w:val="BRNormal"/>
              </w:rPr>
              <w:t>CE</w:t>
            </w:r>
            <w:r w:rsidR="00F81C4E">
              <w:rPr>
                <w:rStyle w:val="BRNormal"/>
              </w:rPr>
              <w:t xml:space="preserve"> </w:t>
            </w:r>
            <w:r w:rsidR="00757AE4" w:rsidRPr="00507560">
              <w:rPr>
                <w:rStyle w:val="BRNormal"/>
              </w:rPr>
              <w:t>4</w:t>
            </w:r>
          </w:p>
        </w:tc>
      </w:tr>
      <w:tr w:rsidR="00757AE4" w:rsidRPr="00757AE4" w:rsidTr="00F81C4E">
        <w:tc>
          <w:tcPr>
            <w:tcW w:w="9639" w:type="dxa"/>
            <w:gridSpan w:val="3"/>
            <w:tcBorders>
              <w:top w:val="single" w:sz="4" w:space="0" w:color="auto"/>
              <w:left w:val="nil"/>
              <w:bottom w:val="single" w:sz="4" w:space="0" w:color="auto"/>
              <w:right w:val="nil"/>
            </w:tcBorders>
          </w:tcPr>
          <w:p w:rsidR="00757AE4" w:rsidRPr="00A31EA2" w:rsidRDefault="00757AE4" w:rsidP="00425FA3">
            <w:r w:rsidRPr="0014454C">
              <w:rPr>
                <w:b/>
                <w:bCs/>
                <w:i/>
                <w:iCs/>
              </w:rPr>
              <w:t xml:space="preserve">Répercussions au niveau des ressources de l'UIT, y compris incidences </w:t>
            </w:r>
            <w:r w:rsidR="00144B80" w:rsidRPr="0014454C">
              <w:rPr>
                <w:b/>
                <w:bCs/>
                <w:i/>
                <w:iCs/>
              </w:rPr>
              <w:t xml:space="preserve">financières </w:t>
            </w:r>
            <w:r w:rsidRPr="0014454C">
              <w:rPr>
                <w:b/>
                <w:bCs/>
                <w:i/>
                <w:iCs/>
              </w:rPr>
              <w:br/>
              <w:t>(voir le numéro 126 de la Convention):</w:t>
            </w:r>
          </w:p>
          <w:p w:rsidR="00757AE4" w:rsidRPr="00730563" w:rsidRDefault="009F19D2"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p>
        </w:tc>
      </w:tr>
      <w:tr w:rsidR="00757AE4" w:rsidRPr="009E4745" w:rsidTr="00F81C4E">
        <w:tc>
          <w:tcPr>
            <w:tcW w:w="4538" w:type="dxa"/>
            <w:gridSpan w:val="2"/>
            <w:tcBorders>
              <w:top w:val="single" w:sz="4" w:space="0" w:color="auto"/>
              <w:left w:val="nil"/>
              <w:bottom w:val="single" w:sz="4" w:space="0" w:color="auto"/>
              <w:right w:val="nil"/>
            </w:tcBorders>
          </w:tcPr>
          <w:p w:rsidR="00757AE4" w:rsidRPr="009E4745" w:rsidRDefault="00757AE4" w:rsidP="00425FA3">
            <w:pPr>
              <w:rPr>
                <w:b/>
                <w:iCs/>
                <w:lang w:val="fr-CH"/>
              </w:rPr>
            </w:pPr>
            <w:r w:rsidRPr="00695ABE">
              <w:rPr>
                <w:b/>
                <w:bCs/>
                <w:i/>
                <w:iCs/>
              </w:rPr>
              <w:t>Proposition régionale commune:</w:t>
            </w:r>
            <w:r w:rsidRPr="008C0EDF">
              <w:rPr>
                <w:b/>
                <w:bCs/>
              </w:rPr>
              <w:t xml:space="preserve"> </w:t>
            </w:r>
            <w:r w:rsidRPr="009217A6">
              <w:t>Oui</w:t>
            </w:r>
          </w:p>
        </w:tc>
        <w:tc>
          <w:tcPr>
            <w:tcW w:w="5101" w:type="dxa"/>
            <w:tcBorders>
              <w:top w:val="single" w:sz="4" w:space="0" w:color="auto"/>
              <w:left w:val="nil"/>
              <w:bottom w:val="single" w:sz="4" w:space="0" w:color="auto"/>
              <w:right w:val="nil"/>
            </w:tcBorders>
          </w:tcPr>
          <w:p w:rsidR="00757AE4" w:rsidRPr="00A31EA2" w:rsidRDefault="00757AE4" w:rsidP="00425FA3">
            <w:r w:rsidRPr="00695ABE">
              <w:rPr>
                <w:b/>
                <w:bCs/>
                <w:i/>
                <w:iCs/>
              </w:rPr>
              <w:t>Proposition soumise par plusieurs pays:</w:t>
            </w:r>
            <w:r w:rsidRPr="008C0EDF">
              <w:rPr>
                <w:b/>
                <w:bCs/>
              </w:rPr>
              <w:t xml:space="preserve"> </w:t>
            </w:r>
            <w:r w:rsidRPr="009217A6">
              <w:t>Non</w:t>
            </w:r>
          </w:p>
          <w:p w:rsidR="00757AE4" w:rsidRPr="00A61F72" w:rsidRDefault="00757AE4" w:rsidP="00A61F72">
            <w:r w:rsidRPr="003A2ED4">
              <w:rPr>
                <w:b/>
                <w:bCs/>
                <w:i/>
                <w:iCs/>
                <w:lang w:val="fr-CH"/>
              </w:rPr>
              <w:t>Nombre de pays:</w:t>
            </w:r>
          </w:p>
        </w:tc>
      </w:tr>
      <w:tr w:rsidR="00757AE4" w:rsidRPr="00714540" w:rsidTr="00F81C4E">
        <w:tc>
          <w:tcPr>
            <w:tcW w:w="9639" w:type="dxa"/>
            <w:gridSpan w:val="3"/>
            <w:tcBorders>
              <w:top w:val="single" w:sz="4" w:space="0" w:color="auto"/>
              <w:left w:val="nil"/>
              <w:bottom w:val="nil"/>
              <w:right w:val="nil"/>
            </w:tcBorders>
          </w:tcPr>
          <w:p w:rsidR="00757AE4" w:rsidRPr="00A31EA2" w:rsidRDefault="00757AE4" w:rsidP="00425FA3">
            <w:r w:rsidRPr="003A2ED4">
              <w:rPr>
                <w:b/>
                <w:bCs/>
                <w:i/>
                <w:iCs/>
              </w:rPr>
              <w:t>Observations</w:t>
            </w:r>
          </w:p>
          <w:p w:rsidR="00757AE4" w:rsidRPr="00714540" w:rsidRDefault="00F81C4E" w:rsidP="00425FA3">
            <w:pPr>
              <w:rPr>
                <w:b/>
                <w:i/>
              </w:rPr>
            </w:pPr>
            <w:r>
              <w:t>N</w:t>
            </w:r>
            <w:r w:rsidR="00A500DC">
              <w:t xml:space="preserve">éant </w:t>
            </w:r>
          </w:p>
        </w:tc>
      </w:tr>
    </w:tbl>
    <w:p w:rsidR="00757AE4" w:rsidRPr="00B65685" w:rsidRDefault="00757AE4"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Pr="00B65685" w:rsidRDefault="00A846F5" w:rsidP="00425FA3">
      <w:pPr>
        <w:pStyle w:val="Proposal"/>
        <w:keepNext w:val="0"/>
        <w:rPr>
          <w:lang w:val="en-US"/>
        </w:rPr>
      </w:pPr>
      <w:r w:rsidRPr="00B65685">
        <w:rPr>
          <w:lang w:val="en-US"/>
        </w:rPr>
        <w:lastRenderedPageBreak/>
        <w:t>ADD</w:t>
      </w:r>
      <w:r w:rsidRPr="00B65685">
        <w:rPr>
          <w:lang w:val="en-US"/>
        </w:rPr>
        <w:tab/>
        <w:t>EUR/9A25/9</w:t>
      </w:r>
    </w:p>
    <w:p w:rsidR="00757AE4" w:rsidRPr="00730563" w:rsidRDefault="001261B0" w:rsidP="00425FA3">
      <w:pPr>
        <w:pStyle w:val="ResNo"/>
        <w:rPr>
          <w:lang w:val="fr-CH"/>
        </w:rPr>
      </w:pPr>
      <w:r w:rsidRPr="00730563">
        <w:rPr>
          <w:lang w:val="fr-CH"/>
        </w:rPr>
        <w:t xml:space="preserve">PROJET DE NOUVELLE </w:t>
      </w:r>
      <w:r w:rsidR="00BB138D">
        <w:rPr>
          <w:lang w:val="fr-CH"/>
        </w:rPr>
        <w:t>RÉSOLUTION</w:t>
      </w:r>
      <w:r w:rsidR="006C7C77" w:rsidRPr="00730563">
        <w:rPr>
          <w:lang w:val="fr-CH"/>
        </w:rPr>
        <w:t xml:space="preserve"> [EUR-H10-7] (</w:t>
      </w:r>
      <w:r w:rsidR="003228B3">
        <w:rPr>
          <w:lang w:val="fr-CH"/>
        </w:rPr>
        <w:t>CMR-15</w:t>
      </w:r>
      <w:r w:rsidR="006C7C77" w:rsidRPr="00730563">
        <w:rPr>
          <w:lang w:val="fr-CH"/>
        </w:rPr>
        <w:t>)</w:t>
      </w:r>
    </w:p>
    <w:p w:rsidR="00EE2319" w:rsidRPr="00730563" w:rsidRDefault="009F19D2" w:rsidP="00425FA3">
      <w:pPr>
        <w:pStyle w:val="Restitle"/>
        <w:rPr>
          <w:lang w:val="fr-CH"/>
        </w:rPr>
      </w:pPr>
      <w:r w:rsidRPr="00730563">
        <w:rPr>
          <w:lang w:val="fr-CH"/>
        </w:rPr>
        <w:t>Relever le statut secondaire de l</w:t>
      </w:r>
      <w:r w:rsidR="00B979D7">
        <w:rPr>
          <w:lang w:val="fr-CH"/>
        </w:rPr>
        <w:t>'</w:t>
      </w:r>
      <w:r w:rsidRPr="00730563">
        <w:rPr>
          <w:lang w:val="fr-CH"/>
        </w:rPr>
        <w:t>attribution au service de météorologie par satellite (espace vers Terre</w:t>
      </w:r>
      <w:r w:rsidR="00A61F72">
        <w:rPr>
          <w:lang w:val="fr-CH"/>
        </w:rPr>
        <w:t>)</w:t>
      </w:r>
      <w:r w:rsidR="00A61F72" w:rsidRPr="00730563">
        <w:rPr>
          <w:lang w:val="fr-CH"/>
        </w:rPr>
        <w:t xml:space="preserve"> et</w:t>
      </w:r>
      <w:r w:rsidRPr="00730563">
        <w:rPr>
          <w:lang w:val="fr-CH"/>
        </w:rPr>
        <w:t xml:space="preserve"> du service d</w:t>
      </w:r>
      <w:r w:rsidR="00B979D7">
        <w:rPr>
          <w:lang w:val="fr-CH"/>
        </w:rPr>
        <w:t>'</w:t>
      </w:r>
      <w:r w:rsidRPr="00730563">
        <w:rPr>
          <w:lang w:val="fr-CH"/>
        </w:rPr>
        <w:t xml:space="preserve">exploration de la Terre </w:t>
      </w:r>
      <w:r w:rsidR="00F81C4E">
        <w:rPr>
          <w:lang w:val="fr-CH"/>
        </w:rPr>
        <w:br/>
      </w:r>
      <w:r w:rsidRPr="00730563">
        <w:rPr>
          <w:lang w:val="fr-CH"/>
        </w:rPr>
        <w:t>par satellite (espace vers Terre</w:t>
      </w:r>
      <w:r w:rsidR="00A61F72">
        <w:rPr>
          <w:lang w:val="fr-CH"/>
        </w:rPr>
        <w:t>)</w:t>
      </w:r>
      <w:r w:rsidR="00A61F72" w:rsidRPr="00730563">
        <w:rPr>
          <w:lang w:val="fr-CH"/>
        </w:rPr>
        <w:t xml:space="preserve"> dans</w:t>
      </w:r>
      <w:r w:rsidRPr="00730563">
        <w:rPr>
          <w:lang w:val="fr-CH"/>
        </w:rPr>
        <w:t xml:space="preserve"> la bande de fréquences </w:t>
      </w:r>
      <w:r w:rsidR="00F81C4E">
        <w:rPr>
          <w:lang w:val="fr-CH"/>
        </w:rPr>
        <w:br/>
      </w:r>
      <w:r w:rsidRPr="00730563">
        <w:rPr>
          <w:lang w:val="fr-CH"/>
        </w:rPr>
        <w:t>460-470 MHz pour lui conférer</w:t>
      </w:r>
      <w:r w:rsidR="003228B3">
        <w:rPr>
          <w:lang w:val="fr-CH"/>
        </w:rPr>
        <w:t xml:space="preserve"> </w:t>
      </w:r>
      <w:r w:rsidRPr="00730563">
        <w:rPr>
          <w:lang w:val="fr-CH"/>
        </w:rPr>
        <w:t>le statut primaire</w:t>
      </w:r>
    </w:p>
    <w:p w:rsidR="00EE2319" w:rsidRPr="00730563" w:rsidRDefault="001261B0" w:rsidP="00425FA3">
      <w:pPr>
        <w:pStyle w:val="Normalaftertitle"/>
        <w:rPr>
          <w:lang w:val="fr-CH"/>
        </w:rPr>
      </w:pPr>
      <w:r w:rsidRPr="00730563">
        <w:rPr>
          <w:lang w:val="fr-CH"/>
        </w:rPr>
        <w:t xml:space="preserve">La Conférence mondiale des radiocommunications </w:t>
      </w:r>
      <w:r w:rsidR="00EE2319" w:rsidRPr="00730563">
        <w:rPr>
          <w:lang w:val="fr-CH"/>
        </w:rPr>
        <w:t>(</w:t>
      </w:r>
      <w:r w:rsidRPr="00730563">
        <w:rPr>
          <w:lang w:val="fr-CH"/>
        </w:rPr>
        <w:t>Genève</w:t>
      </w:r>
      <w:r w:rsidR="003228B3">
        <w:rPr>
          <w:lang w:val="fr-CH"/>
        </w:rPr>
        <w:t>,</w:t>
      </w:r>
      <w:r w:rsidR="00EE2319" w:rsidRPr="00730563">
        <w:rPr>
          <w:lang w:val="fr-CH"/>
        </w:rPr>
        <w:t xml:space="preserve"> 2015),</w:t>
      </w:r>
    </w:p>
    <w:p w:rsidR="00EE2319" w:rsidRPr="00EE2319" w:rsidRDefault="00B1634C" w:rsidP="00425FA3">
      <w:pPr>
        <w:pStyle w:val="Call"/>
      </w:pPr>
      <w:r>
        <w:t>considérant</w:t>
      </w:r>
    </w:p>
    <w:p w:rsidR="00EE2319" w:rsidRPr="00730563" w:rsidRDefault="00EE2319" w:rsidP="00425FA3">
      <w:pPr>
        <w:rPr>
          <w:lang w:val="fr-CH"/>
        </w:rPr>
      </w:pPr>
      <w:r w:rsidRPr="00F81C4E">
        <w:rPr>
          <w:i/>
          <w:iCs/>
          <w:lang w:val="fr-CH"/>
        </w:rPr>
        <w:t>a</w:t>
      </w:r>
      <w:r w:rsidR="00BF2826" w:rsidRPr="00F81C4E">
        <w:rPr>
          <w:i/>
          <w:iCs/>
          <w:lang w:val="fr-CH"/>
        </w:rPr>
        <w:t>)</w:t>
      </w:r>
      <w:r w:rsidRPr="00730563">
        <w:rPr>
          <w:lang w:val="fr-CH"/>
        </w:rPr>
        <w:tab/>
      </w:r>
      <w:r w:rsidR="009F19D2" w:rsidRPr="00730563">
        <w:rPr>
          <w:lang w:val="fr-CH"/>
        </w:rPr>
        <w:t>que des systèmes de collecte de données</w:t>
      </w:r>
      <w:r w:rsidRPr="00730563">
        <w:rPr>
          <w:lang w:val="fr-CH"/>
        </w:rPr>
        <w:t xml:space="preserve"> (DCS</w:t>
      </w:r>
      <w:r w:rsidR="00BF2826">
        <w:rPr>
          <w:lang w:val="fr-CH"/>
        </w:rPr>
        <w:t>)</w:t>
      </w:r>
      <w:r w:rsidR="00F81C4E">
        <w:rPr>
          <w:lang w:val="fr-CH"/>
        </w:rPr>
        <w:t xml:space="preserve"> </w:t>
      </w:r>
      <w:r w:rsidR="00DA7451" w:rsidRPr="00730563">
        <w:rPr>
          <w:lang w:val="fr-CH"/>
        </w:rPr>
        <w:t>sont exploités dans des systèmes géostationnaires et non géostationnaires du service de météorologie par satellite (MetSat</w:t>
      </w:r>
      <w:r w:rsidR="00BF2826">
        <w:rPr>
          <w:lang w:val="fr-CH"/>
        </w:rPr>
        <w:t>)</w:t>
      </w:r>
      <w:r w:rsidR="00F81C4E">
        <w:rPr>
          <w:lang w:val="fr-CH"/>
        </w:rPr>
        <w:t xml:space="preserve"> </w:t>
      </w:r>
      <w:r w:rsidR="00DA7451" w:rsidRPr="00730563">
        <w:rPr>
          <w:lang w:val="fr-CH"/>
        </w:rPr>
        <w:t>et du service d</w:t>
      </w:r>
      <w:r w:rsidR="00B979D7">
        <w:rPr>
          <w:lang w:val="fr-CH"/>
        </w:rPr>
        <w:t>'</w:t>
      </w:r>
      <w:r w:rsidR="00DA7451" w:rsidRPr="00730563">
        <w:rPr>
          <w:lang w:val="fr-CH"/>
        </w:rPr>
        <w:t>exploration de la Terre par satellite (SETS</w:t>
      </w:r>
      <w:r w:rsidR="00BF2826">
        <w:rPr>
          <w:lang w:val="fr-CH"/>
        </w:rPr>
        <w:t>)</w:t>
      </w:r>
      <w:r w:rsidR="00F81C4E">
        <w:rPr>
          <w:lang w:val="fr-CH"/>
        </w:rPr>
        <w:t xml:space="preserve"> </w:t>
      </w:r>
      <w:r w:rsidR="00DA7451" w:rsidRPr="00730563">
        <w:rPr>
          <w:lang w:val="fr-CH"/>
        </w:rPr>
        <w:t>(Terre vers espace</w:t>
      </w:r>
      <w:r w:rsidR="00BF2826">
        <w:rPr>
          <w:lang w:val="fr-CH"/>
        </w:rPr>
        <w:t>)</w:t>
      </w:r>
      <w:r w:rsidR="00F81C4E">
        <w:rPr>
          <w:lang w:val="fr-CH"/>
        </w:rPr>
        <w:t xml:space="preserve"> </w:t>
      </w:r>
      <w:r w:rsidR="00DA7451" w:rsidRPr="00730563">
        <w:rPr>
          <w:lang w:val="fr-CH"/>
        </w:rPr>
        <w:t>dans la bande de fréquences</w:t>
      </w:r>
      <w:r w:rsidR="003228B3">
        <w:rPr>
          <w:lang w:val="fr-CH"/>
        </w:rPr>
        <w:t xml:space="preserve"> </w:t>
      </w:r>
      <w:r w:rsidR="00A61F72">
        <w:rPr>
          <w:lang w:val="fr-CH"/>
        </w:rPr>
        <w:t>401-403 MHz;</w:t>
      </w:r>
    </w:p>
    <w:p w:rsidR="00EE2319" w:rsidRPr="00730563" w:rsidRDefault="00EE2319" w:rsidP="00425FA3">
      <w:pPr>
        <w:rPr>
          <w:lang w:val="fr-CH"/>
        </w:rPr>
      </w:pPr>
      <w:r w:rsidRPr="00F81C4E">
        <w:rPr>
          <w:i/>
          <w:iCs/>
          <w:lang w:val="fr-CH"/>
        </w:rPr>
        <w:t>b</w:t>
      </w:r>
      <w:r w:rsidR="00BF2826" w:rsidRPr="00F81C4E">
        <w:rPr>
          <w:i/>
          <w:iCs/>
          <w:lang w:val="fr-CH"/>
        </w:rPr>
        <w:t>)</w:t>
      </w:r>
      <w:r w:rsidRPr="00730563">
        <w:rPr>
          <w:lang w:val="fr-CH"/>
        </w:rPr>
        <w:tab/>
      </w:r>
      <w:r w:rsidR="00DA7451" w:rsidRPr="00730563">
        <w:rPr>
          <w:lang w:val="fr-CH"/>
        </w:rPr>
        <w:t>que les systèmes DCS sont essentiels pour les changements climatiques, la surveillance des océans, les ressources météorologiques et les ressources en eau, la protection de la biodiversité et l</w:t>
      </w:r>
      <w:r w:rsidR="00B979D7">
        <w:rPr>
          <w:lang w:val="fr-CH"/>
        </w:rPr>
        <w:t>'</w:t>
      </w:r>
      <w:r w:rsidR="00DA7451" w:rsidRPr="00730563">
        <w:rPr>
          <w:lang w:val="fr-CH"/>
        </w:rPr>
        <w:t>amélioration de la sécurité maritime</w:t>
      </w:r>
      <w:r w:rsidR="003228B3">
        <w:rPr>
          <w:lang w:val="fr-CH"/>
        </w:rPr>
        <w:t>;</w:t>
      </w:r>
    </w:p>
    <w:p w:rsidR="00EE2319" w:rsidRPr="00730563" w:rsidRDefault="00EE2319" w:rsidP="00425FA3">
      <w:pPr>
        <w:rPr>
          <w:lang w:val="fr-CH"/>
        </w:rPr>
      </w:pPr>
      <w:r w:rsidRPr="00F81C4E">
        <w:rPr>
          <w:i/>
          <w:iCs/>
          <w:lang w:val="fr-CH"/>
        </w:rPr>
        <w:t>c)</w:t>
      </w:r>
      <w:r w:rsidRPr="00730563">
        <w:rPr>
          <w:lang w:val="fr-CH"/>
        </w:rPr>
        <w:tab/>
      </w:r>
      <w:r w:rsidR="00DA7451" w:rsidRPr="00730563">
        <w:rPr>
          <w:lang w:val="fr-CH"/>
        </w:rPr>
        <w:t xml:space="preserve">que la plupart de ces systèmes </w:t>
      </w:r>
      <w:r w:rsidRPr="00730563">
        <w:rPr>
          <w:lang w:val="fr-CH"/>
        </w:rPr>
        <w:t xml:space="preserve">DCS </w:t>
      </w:r>
      <w:r w:rsidR="00DA7451" w:rsidRPr="00730563">
        <w:rPr>
          <w:lang w:val="fr-CH"/>
        </w:rPr>
        <w:t>utilisent des lia</w:t>
      </w:r>
      <w:r w:rsidR="00A61F72">
        <w:rPr>
          <w:lang w:val="fr-CH"/>
        </w:rPr>
        <w:t>isons descendantes de satellite</w:t>
      </w:r>
      <w:r w:rsidR="00DA7451" w:rsidRPr="00730563">
        <w:rPr>
          <w:lang w:val="fr-CH"/>
        </w:rPr>
        <w:t xml:space="preserve"> (espace vers Terre</w:t>
      </w:r>
      <w:r w:rsidR="00BF2826">
        <w:rPr>
          <w:lang w:val="fr-CH"/>
        </w:rPr>
        <w:t>)</w:t>
      </w:r>
      <w:r w:rsidR="00F81C4E">
        <w:rPr>
          <w:lang w:val="fr-CH"/>
        </w:rPr>
        <w:t xml:space="preserve"> </w:t>
      </w:r>
      <w:r w:rsidR="00DA7451" w:rsidRPr="00730563">
        <w:rPr>
          <w:lang w:val="fr-CH"/>
        </w:rPr>
        <w:t xml:space="preserve">dans la bande de fréquences </w:t>
      </w:r>
      <w:r w:rsidRPr="00730563">
        <w:rPr>
          <w:lang w:val="fr-CH"/>
        </w:rPr>
        <w:t>460-470 MHz</w:t>
      </w:r>
      <w:r w:rsidR="00DA7451" w:rsidRPr="00730563">
        <w:rPr>
          <w:lang w:val="fr-CH"/>
        </w:rPr>
        <w:t>, ce qui permet d</w:t>
      </w:r>
      <w:r w:rsidR="00B979D7">
        <w:rPr>
          <w:lang w:val="fr-CH"/>
        </w:rPr>
        <w:t>'</w:t>
      </w:r>
      <w:r w:rsidR="00DA7451" w:rsidRPr="00730563">
        <w:rPr>
          <w:lang w:val="fr-CH"/>
        </w:rPr>
        <w:t>améliorer sensiblement l</w:t>
      </w:r>
      <w:r w:rsidR="00B979D7">
        <w:rPr>
          <w:lang w:val="fr-CH"/>
        </w:rPr>
        <w:t>'</w:t>
      </w:r>
      <w:r w:rsidR="00DA7451" w:rsidRPr="00730563">
        <w:rPr>
          <w:lang w:val="fr-CH"/>
        </w:rPr>
        <w:t>exploitation des systèmes de collecte de données par satellite,</w:t>
      </w:r>
      <w:r w:rsidR="003228B3">
        <w:rPr>
          <w:lang w:val="fr-CH"/>
        </w:rPr>
        <w:t xml:space="preserve"> </w:t>
      </w:r>
      <w:r w:rsidR="00DA7451" w:rsidRPr="00730563">
        <w:rPr>
          <w:lang w:val="fr-CH"/>
        </w:rPr>
        <w:t>par exemple la transmission d</w:t>
      </w:r>
      <w:r w:rsidR="00B979D7">
        <w:rPr>
          <w:lang w:val="fr-CH"/>
        </w:rPr>
        <w:t>'</w:t>
      </w:r>
      <w:r w:rsidR="00DA7451" w:rsidRPr="00730563">
        <w:rPr>
          <w:lang w:val="fr-CH"/>
        </w:rPr>
        <w:t>informations pour optimiser l</w:t>
      </w:r>
      <w:r w:rsidR="00B979D7">
        <w:rPr>
          <w:lang w:val="fr-CH"/>
        </w:rPr>
        <w:t>'</w:t>
      </w:r>
      <w:r w:rsidR="00DA7451" w:rsidRPr="00730563">
        <w:rPr>
          <w:lang w:val="fr-CH"/>
        </w:rPr>
        <w:t>utilisation des plates-formes de collecte de données de Terre</w:t>
      </w:r>
      <w:r w:rsidR="003228B3">
        <w:rPr>
          <w:lang w:val="fr-CH"/>
        </w:rPr>
        <w:t>;</w:t>
      </w:r>
    </w:p>
    <w:p w:rsidR="00EE2319" w:rsidRPr="00730563" w:rsidRDefault="00EE2319" w:rsidP="00425FA3">
      <w:pPr>
        <w:rPr>
          <w:lang w:val="fr-CH"/>
        </w:rPr>
      </w:pPr>
      <w:r w:rsidRPr="00F81C4E">
        <w:rPr>
          <w:i/>
          <w:iCs/>
          <w:lang w:val="fr-CH"/>
        </w:rPr>
        <w:t>d)</w:t>
      </w:r>
      <w:r w:rsidRPr="00730563">
        <w:rPr>
          <w:lang w:val="fr-CH"/>
        </w:rPr>
        <w:tab/>
      </w:r>
      <w:r w:rsidR="00DA7451" w:rsidRPr="00730563">
        <w:rPr>
          <w:lang w:val="fr-CH"/>
        </w:rPr>
        <w:t>qu</w:t>
      </w:r>
      <w:r w:rsidR="00B979D7">
        <w:rPr>
          <w:lang w:val="fr-CH"/>
        </w:rPr>
        <w:t>'</w:t>
      </w:r>
      <w:r w:rsidR="00DA7451" w:rsidRPr="00730563">
        <w:rPr>
          <w:lang w:val="fr-CH"/>
        </w:rPr>
        <w:t>actuellement, la bande de fréquences est attribuée au service de météorologie par satellite (espace vers Terre</w:t>
      </w:r>
      <w:r w:rsidR="00A61F72">
        <w:rPr>
          <w:lang w:val="fr-CH"/>
        </w:rPr>
        <w:t>)</w:t>
      </w:r>
      <w:r w:rsidR="00A61F72" w:rsidRPr="00730563">
        <w:rPr>
          <w:lang w:val="fr-CH"/>
        </w:rPr>
        <w:t xml:space="preserve"> à</w:t>
      </w:r>
      <w:r w:rsidR="00DA7451" w:rsidRPr="00730563">
        <w:rPr>
          <w:lang w:val="fr-CH"/>
        </w:rPr>
        <w:t xml:space="preserve"> titre secondaire</w:t>
      </w:r>
      <w:r w:rsidR="003228B3">
        <w:rPr>
          <w:lang w:val="fr-CH"/>
        </w:rPr>
        <w:t>;</w:t>
      </w:r>
    </w:p>
    <w:p w:rsidR="00757AE4" w:rsidRPr="00EE2319" w:rsidRDefault="00EE2319" w:rsidP="00425FA3">
      <w:pPr>
        <w:rPr>
          <w:lang w:val="fr-CH"/>
        </w:rPr>
      </w:pPr>
      <w:r w:rsidRPr="00F81C4E">
        <w:rPr>
          <w:i/>
          <w:iCs/>
          <w:lang w:val="fr-CH"/>
        </w:rPr>
        <w:t>e)</w:t>
      </w:r>
      <w:r w:rsidRPr="00EE2319">
        <w:rPr>
          <w:lang w:val="fr-CH"/>
        </w:rPr>
        <w:tab/>
      </w:r>
      <w:r w:rsidR="00DA7451">
        <w:rPr>
          <w:lang w:val="fr-CH"/>
        </w:rPr>
        <w:t xml:space="preserve">que, conformément au numéro </w:t>
      </w:r>
      <w:r w:rsidRPr="001B48E4">
        <w:rPr>
          <w:rStyle w:val="Artdef"/>
        </w:rPr>
        <w:t>5.289</w:t>
      </w:r>
      <w:r w:rsidR="00DA7451" w:rsidRPr="00810916">
        <w:rPr>
          <w:rStyle w:val="Artdef"/>
          <w:b w:val="0"/>
          <w:bCs/>
        </w:rPr>
        <w:t>,</w:t>
      </w:r>
      <w:r w:rsidR="00DA7451">
        <w:rPr>
          <w:rStyle w:val="Artdef"/>
        </w:rPr>
        <w:t xml:space="preserve"> </w:t>
      </w:r>
      <w:r w:rsidR="00DA7451" w:rsidRPr="00DA7451">
        <w:rPr>
          <w:rStyle w:val="Artdef"/>
          <w:b w:val="0"/>
          <w:bCs/>
        </w:rPr>
        <w:t>les bandes</w:t>
      </w:r>
      <w:r w:rsidR="003228B3">
        <w:t xml:space="preserve"> </w:t>
      </w:r>
      <w:r>
        <w:t>460-470 MHz et 1</w:t>
      </w:r>
      <w:r>
        <w:rPr>
          <w:sz w:val="12"/>
        </w:rPr>
        <w:t> </w:t>
      </w:r>
      <w:r>
        <w:t>690-1</w:t>
      </w:r>
      <w:r>
        <w:rPr>
          <w:sz w:val="12"/>
        </w:rPr>
        <w:t> </w:t>
      </w:r>
      <w:r>
        <w:t>710 MHz peuvent, de plus, être utilisées pour les applications du service d'exploration de la Terre par satellite autres que celles du service de météorologie par satellite, pour les transmissions espace vers Terre, à condition de ne pas causer de brouillage préjudiciable aux stations qui fonctionnent conformément au Tableau</w:t>
      </w:r>
      <w:r w:rsidR="00DA7451">
        <w:t xml:space="preserve"> d</w:t>
      </w:r>
      <w:r w:rsidR="00B979D7">
        <w:t>'</w:t>
      </w:r>
      <w:r w:rsidR="00DA7451">
        <w:t>attribution des bandes de fréquences,</w:t>
      </w:r>
    </w:p>
    <w:p w:rsidR="00EE2319" w:rsidRPr="00730563" w:rsidRDefault="00071B1B" w:rsidP="00425FA3">
      <w:pPr>
        <w:pStyle w:val="Call"/>
        <w:rPr>
          <w:lang w:val="fr-CH"/>
        </w:rPr>
      </w:pPr>
      <w:r w:rsidRPr="00730563">
        <w:rPr>
          <w:lang w:val="fr-CH"/>
        </w:rPr>
        <w:t>considérant</w:t>
      </w:r>
      <w:r w:rsidR="003228B3">
        <w:rPr>
          <w:lang w:val="fr-CH"/>
        </w:rPr>
        <w:t xml:space="preserve"> </w:t>
      </w:r>
      <w:r w:rsidR="00DA7451" w:rsidRPr="00730563">
        <w:rPr>
          <w:lang w:val="fr-CH"/>
        </w:rPr>
        <w:t>en outre</w:t>
      </w:r>
    </w:p>
    <w:p w:rsidR="00EE2319" w:rsidRPr="00730563" w:rsidRDefault="00EE2319" w:rsidP="00425FA3">
      <w:pPr>
        <w:rPr>
          <w:lang w:val="fr-CH"/>
        </w:rPr>
      </w:pPr>
      <w:r w:rsidRPr="00810916">
        <w:rPr>
          <w:i/>
          <w:iCs/>
          <w:lang w:val="fr-CH"/>
        </w:rPr>
        <w:t>a)</w:t>
      </w:r>
      <w:r w:rsidRPr="00730563">
        <w:rPr>
          <w:lang w:val="fr-CH"/>
        </w:rPr>
        <w:tab/>
      </w:r>
      <w:r w:rsidR="00DA7451" w:rsidRPr="00730563">
        <w:rPr>
          <w:lang w:val="fr-CH"/>
        </w:rPr>
        <w:t>qu</w:t>
      </w:r>
      <w:r w:rsidR="00B979D7">
        <w:rPr>
          <w:lang w:val="fr-CH"/>
        </w:rPr>
        <w:t>'</w:t>
      </w:r>
      <w:r w:rsidR="00DA7451" w:rsidRPr="00730563">
        <w:rPr>
          <w:lang w:val="fr-CH"/>
        </w:rPr>
        <w:t xml:space="preserve">au moins une administration a adopté des dispositions réglementaires </w:t>
      </w:r>
      <w:r w:rsidR="00A61F72">
        <w:rPr>
          <w:lang w:val="fr-CH"/>
        </w:rPr>
        <w:t>au niveau national</w:t>
      </w:r>
      <w:r w:rsidR="00DA7451" w:rsidRPr="00730563">
        <w:rPr>
          <w:lang w:val="fr-CH"/>
        </w:rPr>
        <w:t xml:space="preserve"> prévoyant une limite de puissance surfacique de</w:t>
      </w:r>
      <w:r w:rsidR="00810916">
        <w:rPr>
          <w:lang w:val="fr-CH"/>
        </w:rPr>
        <w:t xml:space="preserve"> </w:t>
      </w:r>
      <w:r w:rsidR="00810916" w:rsidRPr="00810916">
        <w:rPr>
          <w:lang w:val="fr-CH"/>
        </w:rPr>
        <w:t>–</w:t>
      </w:r>
      <w:r w:rsidR="00DA7451" w:rsidRPr="00730563">
        <w:rPr>
          <w:lang w:val="fr-CH"/>
        </w:rPr>
        <w:t>152 dBW/m</w:t>
      </w:r>
      <w:r w:rsidR="00DA7451" w:rsidRPr="00810916">
        <w:rPr>
          <w:vertAlign w:val="superscript"/>
          <w:lang w:val="fr-CH"/>
        </w:rPr>
        <w:t>2</w:t>
      </w:r>
      <w:r w:rsidR="00DA7451" w:rsidRPr="00730563">
        <w:rPr>
          <w:lang w:val="fr-CH"/>
        </w:rPr>
        <w:t>/4 kHz pour protéger les services de Terre</w:t>
      </w:r>
      <w:r w:rsidR="003228B3">
        <w:rPr>
          <w:lang w:val="fr-CH"/>
        </w:rPr>
        <w:t>;</w:t>
      </w:r>
    </w:p>
    <w:p w:rsidR="00EE2319" w:rsidRPr="00730563" w:rsidRDefault="00EE2319" w:rsidP="00425FA3">
      <w:pPr>
        <w:rPr>
          <w:lang w:val="fr-CH"/>
        </w:rPr>
      </w:pPr>
      <w:r w:rsidRPr="00810916">
        <w:rPr>
          <w:i/>
          <w:iCs/>
          <w:lang w:val="fr-CH"/>
        </w:rPr>
        <w:t>b)</w:t>
      </w:r>
      <w:r w:rsidRPr="00730563">
        <w:rPr>
          <w:lang w:val="fr-CH"/>
        </w:rPr>
        <w:tab/>
      </w:r>
      <w:r w:rsidR="00712281" w:rsidRPr="00730563">
        <w:rPr>
          <w:lang w:val="fr-CH"/>
        </w:rPr>
        <w:t xml:space="preserve">que, pour respecter cette limite, des agences spatiales ont mis au point, et mettent actuellement en œuvre, une solution </w:t>
      </w:r>
      <w:r w:rsidR="00712281">
        <w:rPr>
          <w:color w:val="000000"/>
        </w:rPr>
        <w:t>d'étalement de spectre</w:t>
      </w:r>
      <w:r w:rsidR="003228B3">
        <w:rPr>
          <w:lang w:val="fr-CH"/>
        </w:rPr>
        <w:t>,</w:t>
      </w:r>
      <w:r w:rsidR="00712281" w:rsidRPr="00730563">
        <w:rPr>
          <w:lang w:val="fr-CH"/>
        </w:rPr>
        <w:t xml:space="preserve"> qui permet d</w:t>
      </w:r>
      <w:r w:rsidR="00B979D7">
        <w:rPr>
          <w:lang w:val="fr-CH"/>
        </w:rPr>
        <w:t>'</w:t>
      </w:r>
      <w:r w:rsidR="00712281" w:rsidRPr="00730563">
        <w:rPr>
          <w:lang w:val="fr-CH"/>
        </w:rPr>
        <w:t>exploiter au moins une liaison descendante du système de collecte de données par satellite dans la bande de fréquences 460-470 MHz conformément à ces dispositions réglementaires</w:t>
      </w:r>
      <w:r w:rsidR="003228B3">
        <w:rPr>
          <w:lang w:val="fr-CH"/>
        </w:rPr>
        <w:t>,</w:t>
      </w:r>
    </w:p>
    <w:p w:rsidR="00EE2319" w:rsidRPr="00730563" w:rsidRDefault="00712281" w:rsidP="00425FA3">
      <w:pPr>
        <w:pStyle w:val="Call"/>
        <w:rPr>
          <w:lang w:val="fr-CH"/>
        </w:rPr>
      </w:pPr>
      <w:r w:rsidRPr="00730563">
        <w:rPr>
          <w:lang w:val="fr-CH"/>
        </w:rPr>
        <w:t>reconnaissant</w:t>
      </w:r>
    </w:p>
    <w:p w:rsidR="00EE2319" w:rsidRPr="00730563" w:rsidRDefault="00EE2319" w:rsidP="00425FA3">
      <w:pPr>
        <w:rPr>
          <w:lang w:val="fr-CH"/>
        </w:rPr>
      </w:pPr>
      <w:r w:rsidRPr="00810916">
        <w:rPr>
          <w:i/>
          <w:iCs/>
          <w:lang w:val="fr-CH"/>
        </w:rPr>
        <w:t>a)</w:t>
      </w:r>
      <w:r w:rsidRPr="00730563">
        <w:rPr>
          <w:lang w:val="fr-CH"/>
        </w:rPr>
        <w:tab/>
      </w:r>
      <w:r w:rsidR="00712281" w:rsidRPr="00730563">
        <w:rPr>
          <w:lang w:val="fr-CH"/>
        </w:rPr>
        <w:t>qu</w:t>
      </w:r>
      <w:r w:rsidR="00B979D7">
        <w:rPr>
          <w:lang w:val="fr-CH"/>
        </w:rPr>
        <w:t>'</w:t>
      </w:r>
      <w:r w:rsidR="00712281" w:rsidRPr="00730563">
        <w:rPr>
          <w:lang w:val="fr-CH"/>
        </w:rPr>
        <w:t>il est nécessaire que les op</w:t>
      </w:r>
      <w:r w:rsidR="00A61F72">
        <w:rPr>
          <w:lang w:val="fr-CH"/>
        </w:rPr>
        <w:t>érateurs du service MetSat/</w:t>
      </w:r>
      <w:r w:rsidR="00810916">
        <w:rPr>
          <w:lang w:val="fr-CH"/>
        </w:rPr>
        <w:t xml:space="preserve">du </w:t>
      </w:r>
      <w:r w:rsidR="00712281" w:rsidRPr="00730563">
        <w:rPr>
          <w:lang w:val="fr-CH"/>
        </w:rPr>
        <w:t>SETS disposent d</w:t>
      </w:r>
      <w:r w:rsidR="00B979D7">
        <w:rPr>
          <w:lang w:val="fr-CH"/>
        </w:rPr>
        <w:t>'</w:t>
      </w:r>
      <w:r w:rsidR="00712281" w:rsidRPr="00730563">
        <w:rPr>
          <w:lang w:val="fr-CH"/>
        </w:rPr>
        <w:t>une réglementation stable et bien établie pour pouvoir assurer la continuité à long terme de ce service d</w:t>
      </w:r>
      <w:r w:rsidR="00B979D7">
        <w:rPr>
          <w:lang w:val="fr-CH"/>
        </w:rPr>
        <w:t>'</w:t>
      </w:r>
      <w:r w:rsidR="00712281" w:rsidRPr="00730563">
        <w:rPr>
          <w:lang w:val="fr-CH"/>
        </w:rPr>
        <w:t>intérêt général et que le fonctionnement dans le cadre d</w:t>
      </w:r>
      <w:r w:rsidR="00B979D7">
        <w:rPr>
          <w:lang w:val="fr-CH"/>
        </w:rPr>
        <w:t>'</w:t>
      </w:r>
      <w:r w:rsidR="00712281" w:rsidRPr="00730563">
        <w:rPr>
          <w:lang w:val="fr-CH"/>
        </w:rPr>
        <w:t>une attribution à titre secondaire</w:t>
      </w:r>
      <w:r w:rsidR="003228B3">
        <w:rPr>
          <w:lang w:val="fr-CH"/>
        </w:rPr>
        <w:t xml:space="preserve"> </w:t>
      </w:r>
      <w:r w:rsidR="00712281" w:rsidRPr="00730563">
        <w:rPr>
          <w:lang w:val="fr-CH"/>
        </w:rPr>
        <w:t>va à l</w:t>
      </w:r>
      <w:r w:rsidR="00B979D7">
        <w:rPr>
          <w:lang w:val="fr-CH"/>
        </w:rPr>
        <w:t>'</w:t>
      </w:r>
      <w:r w:rsidR="00712281" w:rsidRPr="00730563">
        <w:rPr>
          <w:lang w:val="fr-CH"/>
        </w:rPr>
        <w:t>encontre de cet objectif</w:t>
      </w:r>
      <w:r w:rsidR="003228B3">
        <w:rPr>
          <w:lang w:val="fr-CH"/>
        </w:rPr>
        <w:t>;</w:t>
      </w:r>
    </w:p>
    <w:p w:rsidR="00EE2319" w:rsidRPr="00730563" w:rsidRDefault="00EE2319" w:rsidP="00A61F72">
      <w:pPr>
        <w:rPr>
          <w:lang w:val="fr-CH"/>
        </w:rPr>
      </w:pPr>
      <w:r w:rsidRPr="00810916">
        <w:rPr>
          <w:i/>
          <w:iCs/>
          <w:lang w:val="fr-CH"/>
        </w:rPr>
        <w:lastRenderedPageBreak/>
        <w:t>b)</w:t>
      </w:r>
      <w:r w:rsidRPr="00730563">
        <w:rPr>
          <w:lang w:val="fr-CH"/>
        </w:rPr>
        <w:tab/>
      </w:r>
      <w:r w:rsidR="00712281" w:rsidRPr="00730563">
        <w:rPr>
          <w:lang w:val="fr-CH"/>
        </w:rPr>
        <w:t>que ces programmes spatiaux représentent des efforts et des investissements à long terme</w:t>
      </w:r>
      <w:r w:rsidR="003228B3">
        <w:rPr>
          <w:lang w:val="fr-CH"/>
        </w:rPr>
        <w:t xml:space="preserve"> </w:t>
      </w:r>
      <w:r w:rsidR="00712281" w:rsidRPr="00730563">
        <w:rPr>
          <w:lang w:val="fr-CH"/>
        </w:rPr>
        <w:t>qui s</w:t>
      </w:r>
      <w:r w:rsidR="00B979D7">
        <w:rPr>
          <w:lang w:val="fr-CH"/>
        </w:rPr>
        <w:t>'</w:t>
      </w:r>
      <w:r w:rsidR="00712281" w:rsidRPr="00730563">
        <w:rPr>
          <w:lang w:val="fr-CH"/>
        </w:rPr>
        <w:t>étendent sur plusieurs</w:t>
      </w:r>
      <w:r w:rsidR="003228B3">
        <w:rPr>
          <w:lang w:val="fr-CH"/>
        </w:rPr>
        <w:t xml:space="preserve"> </w:t>
      </w:r>
      <w:r w:rsidR="00712281" w:rsidRPr="00730563">
        <w:rPr>
          <w:lang w:val="fr-CH"/>
        </w:rPr>
        <w:t xml:space="preserve">décennies, </w:t>
      </w:r>
      <w:r w:rsidR="00A61F72">
        <w:rPr>
          <w:lang w:val="fr-CH"/>
        </w:rPr>
        <w:t>entre le moment où</w:t>
      </w:r>
      <w:r w:rsidR="00712281" w:rsidRPr="00730563">
        <w:rPr>
          <w:lang w:val="fr-CH"/>
        </w:rPr>
        <w:t xml:space="preserve"> le programme est officiellement approuvé et le développement, la phase de lancement et la date à laquelle les satellites correspondants sont</w:t>
      </w:r>
      <w:r w:rsidR="003228B3">
        <w:rPr>
          <w:lang w:val="fr-CH"/>
        </w:rPr>
        <w:t xml:space="preserve"> </w:t>
      </w:r>
      <w:r w:rsidR="00712281" w:rsidRPr="00730563">
        <w:rPr>
          <w:lang w:val="fr-CH"/>
        </w:rPr>
        <w:t>en service</w:t>
      </w:r>
      <w:r w:rsidR="003228B3">
        <w:rPr>
          <w:lang w:val="fr-CH"/>
        </w:rPr>
        <w:t>;</w:t>
      </w:r>
    </w:p>
    <w:p w:rsidR="00EE2319" w:rsidRPr="00730563" w:rsidRDefault="00EE2319" w:rsidP="00425FA3">
      <w:pPr>
        <w:rPr>
          <w:lang w:val="fr-CH"/>
        </w:rPr>
      </w:pPr>
      <w:r w:rsidRPr="00810916">
        <w:rPr>
          <w:i/>
          <w:iCs/>
          <w:lang w:val="fr-CH"/>
        </w:rPr>
        <w:t>c)</w:t>
      </w:r>
      <w:r w:rsidRPr="00730563">
        <w:rPr>
          <w:lang w:val="fr-CH"/>
        </w:rPr>
        <w:tab/>
      </w:r>
      <w:r w:rsidR="00712281" w:rsidRPr="00730563">
        <w:rPr>
          <w:lang w:val="fr-CH"/>
        </w:rPr>
        <w:t xml:space="preserve">que les agences spatiales et des instituts météorologiques </w:t>
      </w:r>
      <w:r w:rsidR="00986463" w:rsidRPr="00730563">
        <w:rPr>
          <w:lang w:val="fr-CH"/>
        </w:rPr>
        <w:t>investissent en faveur de la continuité de ces programmes, pour lesquels seront utilisés par la suite des satellites et</w:t>
      </w:r>
      <w:r w:rsidR="003228B3">
        <w:rPr>
          <w:lang w:val="fr-CH"/>
        </w:rPr>
        <w:t xml:space="preserve"> </w:t>
      </w:r>
      <w:r w:rsidR="00986463" w:rsidRPr="00730563">
        <w:rPr>
          <w:lang w:val="fr-CH"/>
        </w:rPr>
        <w:t>des charges utiles</w:t>
      </w:r>
      <w:r w:rsidR="003228B3">
        <w:rPr>
          <w:lang w:val="fr-CH"/>
        </w:rPr>
        <w:t>;</w:t>
      </w:r>
    </w:p>
    <w:p w:rsidR="00EE2319" w:rsidRPr="00730563" w:rsidRDefault="00EE2319" w:rsidP="00810916">
      <w:pPr>
        <w:rPr>
          <w:lang w:val="fr-CH"/>
        </w:rPr>
      </w:pPr>
      <w:r w:rsidRPr="00810916">
        <w:rPr>
          <w:i/>
          <w:iCs/>
          <w:lang w:val="fr-CH"/>
        </w:rPr>
        <w:t>d)</w:t>
      </w:r>
      <w:r w:rsidRPr="00730563">
        <w:rPr>
          <w:lang w:val="fr-CH"/>
        </w:rPr>
        <w:tab/>
      </w:r>
      <w:r w:rsidR="00986463" w:rsidRPr="00730563">
        <w:rPr>
          <w:lang w:val="fr-CH"/>
        </w:rPr>
        <w:t xml:space="preserve"> qu</w:t>
      </w:r>
      <w:r w:rsidR="00B979D7">
        <w:rPr>
          <w:lang w:val="fr-CH"/>
        </w:rPr>
        <w:t>'</w:t>
      </w:r>
      <w:r w:rsidR="00986463" w:rsidRPr="00730563">
        <w:rPr>
          <w:lang w:val="fr-CH"/>
        </w:rPr>
        <w:t>un relèvement au statut primaire de l</w:t>
      </w:r>
      <w:r w:rsidR="00B979D7">
        <w:rPr>
          <w:lang w:val="fr-CH"/>
        </w:rPr>
        <w:t>'</w:t>
      </w:r>
      <w:r w:rsidR="00986463" w:rsidRPr="00730563">
        <w:rPr>
          <w:lang w:val="fr-CH"/>
        </w:rPr>
        <w:t>attribution de la bande de fréquences 460-470</w:t>
      </w:r>
      <w:r w:rsidR="00810916">
        <w:rPr>
          <w:lang w:val="fr-CH"/>
        </w:rPr>
        <w:t> </w:t>
      </w:r>
      <w:r w:rsidR="00986463" w:rsidRPr="00730563">
        <w:rPr>
          <w:lang w:val="fr-CH"/>
        </w:rPr>
        <w:t>MHz au service de météorologie par satellite (espace vers Terre</w:t>
      </w:r>
      <w:r w:rsidR="00BF2826">
        <w:rPr>
          <w:lang w:val="fr-CH"/>
        </w:rPr>
        <w:t>)</w:t>
      </w:r>
      <w:r w:rsidR="00810916">
        <w:rPr>
          <w:lang w:val="fr-CH"/>
        </w:rPr>
        <w:t xml:space="preserve"> </w:t>
      </w:r>
      <w:r w:rsidR="00986463" w:rsidRPr="00730563">
        <w:rPr>
          <w:lang w:val="fr-CH"/>
        </w:rPr>
        <w:t>et au service d</w:t>
      </w:r>
      <w:r w:rsidR="00B979D7">
        <w:rPr>
          <w:lang w:val="fr-CH"/>
        </w:rPr>
        <w:t>'</w:t>
      </w:r>
      <w:r w:rsidR="00986463" w:rsidRPr="00730563">
        <w:rPr>
          <w:lang w:val="fr-CH"/>
        </w:rPr>
        <w:t>exploration de la Terre par satellite, parallèlement à l</w:t>
      </w:r>
      <w:r w:rsidR="00B979D7">
        <w:rPr>
          <w:lang w:val="fr-CH"/>
        </w:rPr>
        <w:t>'</w:t>
      </w:r>
      <w:r w:rsidR="00986463" w:rsidRPr="00730563">
        <w:rPr>
          <w:lang w:val="fr-CH"/>
        </w:rPr>
        <w:t>adoption de mesures appropriées visant à protéger comme il se doit les services bénéficiant actuellement d</w:t>
      </w:r>
      <w:r w:rsidR="00B979D7">
        <w:rPr>
          <w:lang w:val="fr-CH"/>
        </w:rPr>
        <w:t>'</w:t>
      </w:r>
      <w:r w:rsidR="00986463" w:rsidRPr="00730563">
        <w:rPr>
          <w:lang w:val="fr-CH"/>
        </w:rPr>
        <w:t>attributions à titre primaire dans cette bande, donnera</w:t>
      </w:r>
      <w:r w:rsidR="003228B3">
        <w:rPr>
          <w:lang w:val="fr-CH"/>
        </w:rPr>
        <w:t xml:space="preserve"> </w:t>
      </w:r>
      <w:r w:rsidR="00986463" w:rsidRPr="00730563">
        <w:rPr>
          <w:lang w:val="fr-CH"/>
        </w:rPr>
        <w:t>aux agences spatiales ayant des programmes de collecte de données par satellite ainsi qu</w:t>
      </w:r>
      <w:r w:rsidR="00B979D7">
        <w:rPr>
          <w:lang w:val="fr-CH"/>
        </w:rPr>
        <w:t>'</w:t>
      </w:r>
      <w:r w:rsidR="00986463" w:rsidRPr="00730563">
        <w:rPr>
          <w:lang w:val="fr-CH"/>
        </w:rPr>
        <w:t>au secteur public assurant le financement du développement et de l</w:t>
      </w:r>
      <w:r w:rsidR="00B979D7">
        <w:rPr>
          <w:lang w:val="fr-CH"/>
        </w:rPr>
        <w:t>'</w:t>
      </w:r>
      <w:r w:rsidR="00986463" w:rsidRPr="00730563">
        <w:rPr>
          <w:lang w:val="fr-CH"/>
        </w:rPr>
        <w:t>exploitation de ces systèmes la confiance dont ils ont besoin</w:t>
      </w:r>
      <w:r w:rsidR="003228B3">
        <w:rPr>
          <w:lang w:val="fr-CH"/>
        </w:rPr>
        <w:t>;</w:t>
      </w:r>
    </w:p>
    <w:p w:rsidR="00EE2319" w:rsidRPr="00730563" w:rsidRDefault="00EE2319" w:rsidP="00425FA3">
      <w:pPr>
        <w:rPr>
          <w:lang w:val="fr-CH"/>
        </w:rPr>
      </w:pPr>
      <w:r w:rsidRPr="00810916">
        <w:rPr>
          <w:i/>
          <w:iCs/>
          <w:lang w:val="fr-CH"/>
        </w:rPr>
        <w:t>e)</w:t>
      </w:r>
      <w:r w:rsidRPr="00730563">
        <w:rPr>
          <w:lang w:val="fr-CH"/>
        </w:rPr>
        <w:tab/>
      </w:r>
      <w:r w:rsidR="00986463" w:rsidRPr="00730563">
        <w:rPr>
          <w:lang w:val="fr-CH"/>
        </w:rPr>
        <w:t>que les récepteurs au sol du service Metsat et du SETS ne demanderont pas à bénéficier d</w:t>
      </w:r>
      <w:r w:rsidR="00B979D7">
        <w:rPr>
          <w:lang w:val="fr-CH"/>
        </w:rPr>
        <w:t>'</w:t>
      </w:r>
      <w:r w:rsidR="00986463" w:rsidRPr="00730563">
        <w:rPr>
          <w:lang w:val="fr-CH"/>
        </w:rPr>
        <w:t>une protection vis-à-vis des stations des services fixe et mobile</w:t>
      </w:r>
      <w:r w:rsidR="003228B3">
        <w:rPr>
          <w:lang w:val="fr-CH"/>
        </w:rPr>
        <w:t>,</w:t>
      </w:r>
    </w:p>
    <w:p w:rsidR="00EE2319" w:rsidRPr="00730563" w:rsidRDefault="00986463" w:rsidP="00425FA3">
      <w:pPr>
        <w:pStyle w:val="Call"/>
        <w:rPr>
          <w:lang w:val="fr-CH"/>
        </w:rPr>
      </w:pPr>
      <w:r w:rsidRPr="00730563">
        <w:rPr>
          <w:lang w:val="fr-CH"/>
        </w:rPr>
        <w:t>décide d</w:t>
      </w:r>
      <w:r w:rsidR="00B979D7">
        <w:rPr>
          <w:lang w:val="fr-CH"/>
        </w:rPr>
        <w:t>'</w:t>
      </w:r>
      <w:r w:rsidRPr="00730563">
        <w:rPr>
          <w:lang w:val="fr-CH"/>
        </w:rPr>
        <w:t>inviter l</w:t>
      </w:r>
      <w:r w:rsidR="00B979D7">
        <w:rPr>
          <w:lang w:val="fr-CH"/>
        </w:rPr>
        <w:t>'</w:t>
      </w:r>
      <w:r w:rsidR="002E2C8C" w:rsidRPr="00730563">
        <w:rPr>
          <w:lang w:val="fr-CH"/>
        </w:rPr>
        <w:t>UIT</w:t>
      </w:r>
      <w:r w:rsidR="00BF2826">
        <w:rPr>
          <w:lang w:val="fr-CH"/>
        </w:rPr>
        <w:t>-</w:t>
      </w:r>
      <w:r w:rsidR="00EE2319" w:rsidRPr="00730563">
        <w:rPr>
          <w:lang w:val="fr-CH"/>
        </w:rPr>
        <w:t>R</w:t>
      </w:r>
    </w:p>
    <w:p w:rsidR="00EE2319" w:rsidRPr="00730563" w:rsidRDefault="00986463" w:rsidP="00810916">
      <w:pPr>
        <w:rPr>
          <w:lang w:val="fr-CH"/>
        </w:rPr>
      </w:pPr>
      <w:r w:rsidRPr="00730563">
        <w:rPr>
          <w:lang w:val="fr-CH"/>
        </w:rPr>
        <w:t>à effectuer et à achever</w:t>
      </w:r>
      <w:r w:rsidR="003228B3">
        <w:rPr>
          <w:lang w:val="fr-CH"/>
        </w:rPr>
        <w:t>,</w:t>
      </w:r>
      <w:r w:rsidRPr="00730563">
        <w:rPr>
          <w:lang w:val="fr-CH"/>
        </w:rPr>
        <w:t xml:space="preserve"> à temps pour la </w:t>
      </w:r>
      <w:r w:rsidR="00144B80">
        <w:rPr>
          <w:lang w:val="fr-CH"/>
        </w:rPr>
        <w:t>CMR-19</w:t>
      </w:r>
      <w:r w:rsidRPr="00730563">
        <w:rPr>
          <w:lang w:val="fr-CH"/>
        </w:rPr>
        <w:t>,</w:t>
      </w:r>
      <w:r w:rsidR="003228B3">
        <w:rPr>
          <w:lang w:val="fr-CH"/>
        </w:rPr>
        <w:t xml:space="preserve"> </w:t>
      </w:r>
      <w:r w:rsidRPr="00730563">
        <w:rPr>
          <w:lang w:val="fr-CH"/>
        </w:rPr>
        <w:t>les études nécessaires sur la possibilité de relever l</w:t>
      </w:r>
      <w:r w:rsidR="00B979D7">
        <w:rPr>
          <w:lang w:val="fr-CH"/>
        </w:rPr>
        <w:t>'</w:t>
      </w:r>
      <w:r w:rsidRPr="00730563">
        <w:rPr>
          <w:lang w:val="fr-CH"/>
        </w:rPr>
        <w:t xml:space="preserve">attribution </w:t>
      </w:r>
      <w:r w:rsidR="007E1216" w:rsidRPr="00730563">
        <w:rPr>
          <w:lang w:val="fr-CH"/>
        </w:rPr>
        <w:t>du service de météorologie par satellite (espace vers Terre</w:t>
      </w:r>
      <w:r w:rsidR="00BF2826">
        <w:rPr>
          <w:lang w:val="fr-CH"/>
        </w:rPr>
        <w:t>)</w:t>
      </w:r>
      <w:r w:rsidR="00810916">
        <w:rPr>
          <w:lang w:val="fr-CH"/>
        </w:rPr>
        <w:t xml:space="preserve"> </w:t>
      </w:r>
      <w:r w:rsidR="007E1216" w:rsidRPr="00730563">
        <w:rPr>
          <w:lang w:val="fr-CH"/>
        </w:rPr>
        <w:t>et du service d</w:t>
      </w:r>
      <w:r w:rsidR="00B979D7">
        <w:rPr>
          <w:lang w:val="fr-CH"/>
        </w:rPr>
        <w:t>'</w:t>
      </w:r>
      <w:r w:rsidR="007E1216" w:rsidRPr="00730563">
        <w:rPr>
          <w:lang w:val="fr-CH"/>
        </w:rPr>
        <w:t>exploration de la Terre par satellite (espace vers Terre</w:t>
      </w:r>
      <w:r w:rsidR="00BF2826">
        <w:rPr>
          <w:lang w:val="fr-CH"/>
        </w:rPr>
        <w:t>)</w:t>
      </w:r>
      <w:r w:rsidR="00810916">
        <w:rPr>
          <w:lang w:val="fr-CH"/>
        </w:rPr>
        <w:t xml:space="preserve"> </w:t>
      </w:r>
      <w:r w:rsidR="007E1216" w:rsidRPr="00730563">
        <w:rPr>
          <w:lang w:val="fr-CH"/>
        </w:rPr>
        <w:t>dans la bande 460-470 MHz</w:t>
      </w:r>
      <w:r w:rsidR="003228B3">
        <w:rPr>
          <w:lang w:val="fr-CH"/>
        </w:rPr>
        <w:t>,</w:t>
      </w:r>
      <w:r w:rsidR="007E1216" w:rsidRPr="00730563">
        <w:rPr>
          <w:lang w:val="fr-CH"/>
        </w:rPr>
        <w:t xml:space="preserve"> telle qu</w:t>
      </w:r>
      <w:r w:rsidR="00B979D7">
        <w:rPr>
          <w:lang w:val="fr-CH"/>
        </w:rPr>
        <w:t>'</w:t>
      </w:r>
      <w:r w:rsidR="007E1216" w:rsidRPr="00730563">
        <w:rPr>
          <w:lang w:val="fr-CH"/>
        </w:rPr>
        <w:t xml:space="preserve">elle est indiquée au numéro </w:t>
      </w:r>
      <w:r w:rsidR="007E1216" w:rsidRPr="00730563">
        <w:rPr>
          <w:rStyle w:val="Artdef"/>
          <w:lang w:val="fr-CH"/>
        </w:rPr>
        <w:t>5.289</w:t>
      </w:r>
      <w:r w:rsidR="00BF2826">
        <w:rPr>
          <w:lang w:val="fr-CH"/>
        </w:rPr>
        <w:t>,</w:t>
      </w:r>
      <w:r w:rsidR="00810916">
        <w:rPr>
          <w:lang w:val="fr-CH"/>
        </w:rPr>
        <w:t xml:space="preserve"> </w:t>
      </w:r>
      <w:r w:rsidR="007E1216" w:rsidRPr="00730563">
        <w:rPr>
          <w:lang w:val="fr-CH"/>
        </w:rPr>
        <w:t>pour lui conférer le statut primaire</w:t>
      </w:r>
      <w:r w:rsidR="00810916">
        <w:rPr>
          <w:lang w:val="fr-CH"/>
        </w:rPr>
        <w:t>,</w:t>
      </w:r>
    </w:p>
    <w:p w:rsidR="00EE2319" w:rsidRPr="00730563" w:rsidRDefault="007E1216" w:rsidP="00425FA3">
      <w:pPr>
        <w:pStyle w:val="Call"/>
        <w:rPr>
          <w:lang w:val="fr-CH"/>
        </w:rPr>
      </w:pPr>
      <w:r w:rsidRPr="00730563">
        <w:rPr>
          <w:lang w:val="fr-CH"/>
        </w:rPr>
        <w:t>décide d</w:t>
      </w:r>
      <w:r w:rsidR="00B979D7">
        <w:rPr>
          <w:lang w:val="fr-CH"/>
        </w:rPr>
        <w:t>'</w:t>
      </w:r>
      <w:r w:rsidRPr="00730563">
        <w:rPr>
          <w:lang w:val="fr-CH"/>
        </w:rPr>
        <w:t>inviter la</w:t>
      </w:r>
      <w:r w:rsidR="00EE2319" w:rsidRPr="00730563">
        <w:rPr>
          <w:lang w:val="fr-CH"/>
        </w:rPr>
        <w:t xml:space="preserve"> </w:t>
      </w:r>
      <w:r w:rsidR="00F50032">
        <w:rPr>
          <w:lang w:val="fr-CH"/>
        </w:rPr>
        <w:t>CMR</w:t>
      </w:r>
      <w:r w:rsidR="00EE2319" w:rsidRPr="00730563">
        <w:rPr>
          <w:lang w:val="fr-CH"/>
        </w:rPr>
        <w:t>-19</w:t>
      </w:r>
    </w:p>
    <w:p w:rsidR="00EE2319" w:rsidRDefault="007E1216" w:rsidP="00425FA3">
      <w:pPr>
        <w:rPr>
          <w:lang w:val="fr-CH"/>
        </w:rPr>
      </w:pPr>
      <w:r w:rsidRPr="00730563">
        <w:rPr>
          <w:lang w:val="fr-CH"/>
        </w:rPr>
        <w:t>à examiner les résultats des études de l</w:t>
      </w:r>
      <w:r w:rsidR="00B979D7">
        <w:rPr>
          <w:lang w:val="fr-CH"/>
        </w:rPr>
        <w:t>'</w:t>
      </w:r>
      <w:r w:rsidRPr="00730563">
        <w:rPr>
          <w:lang w:val="fr-CH"/>
        </w:rPr>
        <w:t>UIT-R et à prendre les mesures</w:t>
      </w:r>
      <w:r w:rsidR="003228B3">
        <w:rPr>
          <w:lang w:val="fr-CH"/>
        </w:rPr>
        <w:t xml:space="preserve"> </w:t>
      </w:r>
      <w:r w:rsidRPr="00730563">
        <w:rPr>
          <w:lang w:val="fr-CH"/>
        </w:rPr>
        <w:t>voulues</w:t>
      </w:r>
      <w:r w:rsidR="00CC559D">
        <w:rPr>
          <w:lang w:val="fr-CH"/>
        </w:rPr>
        <w:t>.</w:t>
      </w:r>
    </w:p>
    <w:p w:rsidR="0041346B" w:rsidRPr="00730563" w:rsidRDefault="0041346B" w:rsidP="0041346B">
      <w:pPr>
        <w:pStyle w:val="Reasons"/>
        <w:rPr>
          <w:lang w:val="fr-CH"/>
        </w:rPr>
      </w:pPr>
    </w:p>
    <w:p w:rsidR="005C6FBA" w:rsidRPr="00730563" w:rsidRDefault="005C6FBA" w:rsidP="00425FA3">
      <w:pPr>
        <w:tabs>
          <w:tab w:val="clear" w:pos="1134"/>
          <w:tab w:val="clear" w:pos="1871"/>
          <w:tab w:val="clear" w:pos="2268"/>
        </w:tabs>
        <w:overflowPunct/>
        <w:autoSpaceDE/>
        <w:autoSpaceDN/>
        <w:adjustRightInd/>
        <w:spacing w:before="0"/>
        <w:textAlignment w:val="auto"/>
        <w:rPr>
          <w:lang w:val="fr-CH"/>
        </w:rPr>
      </w:pPr>
      <w:r w:rsidRPr="00730563">
        <w:rPr>
          <w:lang w:val="fr-CH"/>
        </w:rPr>
        <w:br w:type="page"/>
      </w:r>
    </w:p>
    <w:p w:rsidR="005C6FBA" w:rsidRPr="00730563" w:rsidRDefault="007E1216" w:rsidP="00425FA3">
      <w:pPr>
        <w:pStyle w:val="Appendixtitle"/>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F50032">
        <w:rPr>
          <w:lang w:val="fr-CH"/>
        </w:rPr>
        <w:t>CMR</w:t>
      </w:r>
      <w:r w:rsidR="005C6FBA"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8221"/>
      </w:tblGrid>
      <w:tr w:rsidR="00810916" w:rsidTr="004E10E0">
        <w:tc>
          <w:tcPr>
            <w:tcW w:w="1418" w:type="dxa"/>
            <w:tcBorders>
              <w:top w:val="nil"/>
              <w:left w:val="nil"/>
              <w:bottom w:val="nil"/>
              <w:right w:val="nil"/>
            </w:tcBorders>
          </w:tcPr>
          <w:p w:rsidR="00810916" w:rsidRPr="00FD175A" w:rsidRDefault="00810916" w:rsidP="004E10E0">
            <w:pPr>
              <w:tabs>
                <w:tab w:val="clear" w:pos="1871"/>
                <w:tab w:val="clear" w:pos="2268"/>
                <w:tab w:val="left" w:pos="6123"/>
              </w:tabs>
              <w:rPr>
                <w:b/>
                <w:bCs/>
                <w:i/>
                <w:iCs/>
                <w:lang w:val="fr-CH"/>
              </w:rPr>
            </w:pPr>
            <w:r w:rsidRPr="00FD175A">
              <w:rPr>
                <w:b/>
                <w:bCs/>
                <w:i/>
                <w:iCs/>
                <w:lang w:val="fr-CH"/>
              </w:rPr>
              <w:t>Objet:</w:t>
            </w:r>
          </w:p>
        </w:tc>
        <w:tc>
          <w:tcPr>
            <w:tcW w:w="8221" w:type="dxa"/>
            <w:tcBorders>
              <w:top w:val="nil"/>
              <w:left w:val="nil"/>
              <w:bottom w:val="nil"/>
              <w:right w:val="nil"/>
            </w:tcBorders>
          </w:tcPr>
          <w:p w:rsidR="00810916" w:rsidRDefault="00810916" w:rsidP="004E10E0">
            <w:pPr>
              <w:tabs>
                <w:tab w:val="clear" w:pos="1871"/>
                <w:tab w:val="clear" w:pos="2268"/>
                <w:tab w:val="left" w:pos="6123"/>
              </w:tabs>
              <w:rPr>
                <w:b/>
                <w:bCs/>
                <w:i/>
                <w:iCs/>
                <w:lang w:val="fr-CH"/>
              </w:rPr>
            </w:pPr>
            <w:r w:rsidRPr="00730563">
              <w:rPr>
                <w:lang w:val="fr-CH"/>
              </w:rPr>
              <w:t>Relever le statut de l</w:t>
            </w:r>
            <w:r>
              <w:rPr>
                <w:lang w:val="fr-CH"/>
              </w:rPr>
              <w:t>'</w:t>
            </w:r>
            <w:r w:rsidRPr="00730563">
              <w:rPr>
                <w:lang w:val="fr-CH"/>
              </w:rPr>
              <w:t>attribution à titre secondaire au service de météorologie par satellite (espace vers Terre</w:t>
            </w:r>
            <w:r>
              <w:rPr>
                <w:lang w:val="fr-CH"/>
              </w:rPr>
              <w:t xml:space="preserve">) </w:t>
            </w:r>
            <w:r w:rsidRPr="00730563">
              <w:rPr>
                <w:lang w:val="fr-CH"/>
              </w:rPr>
              <w:t>et au service d</w:t>
            </w:r>
            <w:r>
              <w:rPr>
                <w:lang w:val="fr-CH"/>
              </w:rPr>
              <w:t>'</w:t>
            </w:r>
            <w:r w:rsidRPr="00730563">
              <w:rPr>
                <w:lang w:val="fr-CH"/>
              </w:rPr>
              <w:t>exploration de la Terre par satellite (Terre vers espace</w:t>
            </w:r>
            <w:r>
              <w:rPr>
                <w:lang w:val="fr-CH"/>
              </w:rPr>
              <w:t xml:space="preserve">) </w:t>
            </w:r>
            <w:r w:rsidRPr="00730563">
              <w:rPr>
                <w:lang w:val="fr-CH"/>
              </w:rPr>
              <w:t>dans la bande de fréquences 460-470 MHz, pour lui conférer le statut primaire</w:t>
            </w:r>
          </w:p>
        </w:tc>
      </w:tr>
      <w:tr w:rsidR="00810916" w:rsidTr="004E10E0">
        <w:tc>
          <w:tcPr>
            <w:tcW w:w="1418" w:type="dxa"/>
            <w:tcBorders>
              <w:top w:val="nil"/>
              <w:left w:val="nil"/>
              <w:bottom w:val="single" w:sz="4" w:space="0" w:color="auto"/>
              <w:right w:val="nil"/>
            </w:tcBorders>
          </w:tcPr>
          <w:p w:rsidR="00810916" w:rsidRPr="00FD175A" w:rsidRDefault="00810916" w:rsidP="004E10E0">
            <w:pPr>
              <w:tabs>
                <w:tab w:val="clear" w:pos="1871"/>
                <w:tab w:val="clear" w:pos="2268"/>
                <w:tab w:val="left" w:pos="6123"/>
              </w:tabs>
              <w:spacing w:after="40"/>
              <w:rPr>
                <w:b/>
                <w:bCs/>
                <w:i/>
                <w:iCs/>
                <w:lang w:val="fr-CH"/>
              </w:rPr>
            </w:pPr>
            <w:r w:rsidRPr="00FD175A">
              <w:rPr>
                <w:b/>
                <w:bCs/>
                <w:i/>
                <w:iCs/>
              </w:rPr>
              <w:t>Origine:</w:t>
            </w:r>
          </w:p>
        </w:tc>
        <w:tc>
          <w:tcPr>
            <w:tcW w:w="8221" w:type="dxa"/>
            <w:tcBorders>
              <w:top w:val="nil"/>
              <w:left w:val="nil"/>
              <w:bottom w:val="single" w:sz="4" w:space="0" w:color="auto"/>
              <w:right w:val="nil"/>
            </w:tcBorders>
          </w:tcPr>
          <w:p w:rsidR="00810916" w:rsidRDefault="00810916" w:rsidP="004E10E0">
            <w:pPr>
              <w:tabs>
                <w:tab w:val="clear" w:pos="1871"/>
                <w:tab w:val="clear" w:pos="2268"/>
                <w:tab w:val="left" w:pos="6123"/>
              </w:tabs>
              <w:rPr>
                <w:b/>
                <w:bCs/>
                <w:i/>
                <w:iCs/>
                <w:lang w:val="fr-CH"/>
              </w:rPr>
            </w:pPr>
            <w:r w:rsidRPr="00393191">
              <w:rPr>
                <w:lang w:val="en-US"/>
              </w:rPr>
              <w:t>CEPT</w:t>
            </w:r>
          </w:p>
        </w:tc>
      </w:tr>
      <w:tr w:rsidR="005C6FBA" w:rsidRPr="005C6FBA" w:rsidTr="00CC559D">
        <w:tc>
          <w:tcPr>
            <w:tcW w:w="9639" w:type="dxa"/>
            <w:gridSpan w:val="2"/>
            <w:tcBorders>
              <w:top w:val="single" w:sz="4" w:space="0" w:color="auto"/>
              <w:left w:val="nil"/>
              <w:bottom w:val="single" w:sz="4" w:space="0" w:color="auto"/>
              <w:right w:val="nil"/>
            </w:tcBorders>
          </w:tcPr>
          <w:p w:rsidR="005C6FBA" w:rsidRPr="00730563" w:rsidRDefault="005C6FBA" w:rsidP="00425FA3">
            <w:pPr>
              <w:rPr>
                <w:lang w:val="fr-CH"/>
              </w:rPr>
            </w:pPr>
            <w:r w:rsidRPr="00730563">
              <w:rPr>
                <w:b/>
                <w:bCs/>
                <w:i/>
                <w:iCs/>
                <w:lang w:val="fr-CH"/>
              </w:rPr>
              <w:t>Proposition:</w:t>
            </w:r>
          </w:p>
          <w:p w:rsidR="005C6FBA" w:rsidRPr="00730563" w:rsidRDefault="007E1216" w:rsidP="00CC559D">
            <w:pPr>
              <w:rPr>
                <w:b/>
                <w:i/>
                <w:lang w:val="fr-CH"/>
              </w:rPr>
            </w:pPr>
            <w:r w:rsidRPr="00730563">
              <w:rPr>
                <w:lang w:val="fr-CH"/>
              </w:rPr>
              <w:t>Envisager de relever</w:t>
            </w:r>
            <w:r w:rsidR="003228B3">
              <w:rPr>
                <w:lang w:val="fr-CH"/>
              </w:rPr>
              <w:t xml:space="preserve"> </w:t>
            </w:r>
            <w:r w:rsidRPr="00730563">
              <w:rPr>
                <w:lang w:val="fr-CH"/>
              </w:rPr>
              <w:t>le statut de l</w:t>
            </w:r>
            <w:r w:rsidR="00B979D7">
              <w:rPr>
                <w:lang w:val="fr-CH"/>
              </w:rPr>
              <w:t>'</w:t>
            </w:r>
            <w:r w:rsidRPr="00730563">
              <w:rPr>
                <w:lang w:val="fr-CH"/>
              </w:rPr>
              <w:t>attribution à titre secondaire au service de météorologie par satellite (espace vers Terre</w:t>
            </w:r>
            <w:r w:rsidR="00BF2826">
              <w:rPr>
                <w:lang w:val="fr-CH"/>
              </w:rPr>
              <w:t>)</w:t>
            </w:r>
            <w:r w:rsidR="00810916">
              <w:rPr>
                <w:lang w:val="fr-CH"/>
              </w:rPr>
              <w:t xml:space="preserve"> </w:t>
            </w:r>
            <w:r w:rsidRPr="00730563">
              <w:rPr>
                <w:lang w:val="fr-CH"/>
              </w:rPr>
              <w:t>dans la bande 460-470 MHz et au service d</w:t>
            </w:r>
            <w:r w:rsidR="00B979D7">
              <w:rPr>
                <w:lang w:val="fr-CH"/>
              </w:rPr>
              <w:t>'</w:t>
            </w:r>
            <w:r w:rsidRPr="00730563">
              <w:rPr>
                <w:lang w:val="fr-CH"/>
              </w:rPr>
              <w:t>explorat</w:t>
            </w:r>
            <w:r w:rsidR="003228B3">
              <w:rPr>
                <w:lang w:val="fr-CH"/>
              </w:rPr>
              <w:t>ion de la Terre par satellite (</w:t>
            </w:r>
            <w:r w:rsidRPr="00730563">
              <w:rPr>
                <w:lang w:val="fr-CH"/>
              </w:rPr>
              <w:t>espace vers Terre)</w:t>
            </w:r>
            <w:r w:rsidR="003228B3">
              <w:rPr>
                <w:lang w:val="fr-CH"/>
              </w:rPr>
              <w:t>,</w:t>
            </w:r>
            <w:r w:rsidRPr="00730563">
              <w:rPr>
                <w:lang w:val="fr-CH"/>
              </w:rPr>
              <w:t xml:space="preserve"> telle qu</w:t>
            </w:r>
            <w:r w:rsidR="00B979D7">
              <w:rPr>
                <w:lang w:val="fr-CH"/>
              </w:rPr>
              <w:t>'</w:t>
            </w:r>
            <w:r w:rsidRPr="00730563">
              <w:rPr>
                <w:lang w:val="fr-CH"/>
              </w:rPr>
              <w:t xml:space="preserve">elle est indiquée au numéro </w:t>
            </w:r>
            <w:r w:rsidRPr="00810916">
              <w:rPr>
                <w:rStyle w:val="Artdef"/>
                <w:b w:val="0"/>
                <w:bCs/>
                <w:lang w:val="fr-CH"/>
              </w:rPr>
              <w:t>5.289,</w:t>
            </w:r>
            <w:r w:rsidRPr="00730563">
              <w:rPr>
                <w:rStyle w:val="Artdef"/>
                <w:lang w:val="fr-CH"/>
              </w:rPr>
              <w:t xml:space="preserve"> </w:t>
            </w:r>
            <w:r w:rsidRPr="00730563">
              <w:rPr>
                <w:lang w:val="fr-CH"/>
              </w:rPr>
              <w:t>pour lui conférer le statut primaire</w:t>
            </w:r>
            <w:r w:rsidR="003228B3">
              <w:rPr>
                <w:lang w:val="fr-CH"/>
              </w:rPr>
              <w:t>,</w:t>
            </w:r>
            <w:r w:rsidR="005C6FBA" w:rsidRPr="00730563">
              <w:rPr>
                <w:lang w:val="fr-CH"/>
              </w:rPr>
              <w:t xml:space="preserve"> </w:t>
            </w:r>
            <w:r w:rsidRPr="00730563">
              <w:rPr>
                <w:lang w:val="fr-CH"/>
              </w:rPr>
              <w:t>tout en imposant les contraintes pertinentes à ce service afin de protéger les services (mobile, fixe</w:t>
            </w:r>
            <w:r w:rsidR="00BF2826">
              <w:rPr>
                <w:lang w:val="fr-CH"/>
              </w:rPr>
              <w:t>)</w:t>
            </w:r>
            <w:r w:rsidR="00810916">
              <w:rPr>
                <w:lang w:val="fr-CH"/>
              </w:rPr>
              <w:t xml:space="preserve"> </w:t>
            </w:r>
            <w:r w:rsidRPr="00730563">
              <w:rPr>
                <w:lang w:val="fr-CH"/>
              </w:rPr>
              <w:t>existants ayant des attributions à titre primaire dans la bande, conformément à la Résolution</w:t>
            </w:r>
            <w:r w:rsidR="003228B3">
              <w:rPr>
                <w:lang w:val="fr-CH"/>
              </w:rPr>
              <w:t xml:space="preserve"> </w:t>
            </w:r>
            <w:r w:rsidR="005C6FBA" w:rsidRPr="00730563">
              <w:rPr>
                <w:rStyle w:val="Artdef"/>
                <w:lang w:val="fr-CH"/>
              </w:rPr>
              <w:t>[EUR-H10-7] (</w:t>
            </w:r>
            <w:r w:rsidR="003228B3">
              <w:rPr>
                <w:rStyle w:val="Artdef"/>
                <w:lang w:val="fr-CH"/>
              </w:rPr>
              <w:t>CMR-15</w:t>
            </w:r>
            <w:r w:rsidR="005C6FBA" w:rsidRPr="00730563">
              <w:rPr>
                <w:rStyle w:val="Artdef"/>
                <w:lang w:val="fr-CH"/>
              </w:rPr>
              <w:t>)</w:t>
            </w:r>
          </w:p>
        </w:tc>
      </w:tr>
      <w:tr w:rsidR="005C6FBA" w:rsidRPr="005C6FBA" w:rsidTr="00CC559D">
        <w:tc>
          <w:tcPr>
            <w:tcW w:w="9639" w:type="dxa"/>
            <w:gridSpan w:val="2"/>
            <w:tcBorders>
              <w:top w:val="single" w:sz="4" w:space="0" w:color="auto"/>
              <w:left w:val="nil"/>
              <w:bottom w:val="single" w:sz="4" w:space="0" w:color="auto"/>
              <w:right w:val="nil"/>
            </w:tcBorders>
          </w:tcPr>
          <w:p w:rsidR="005C6FBA" w:rsidRPr="00730563" w:rsidRDefault="005C6FBA" w:rsidP="00425FA3">
            <w:pPr>
              <w:rPr>
                <w:b/>
                <w:bCs/>
                <w:i/>
                <w:iCs/>
                <w:lang w:val="fr-CH"/>
              </w:rPr>
            </w:pPr>
            <w:r w:rsidRPr="00730563">
              <w:rPr>
                <w:b/>
                <w:bCs/>
                <w:i/>
                <w:iCs/>
                <w:lang w:val="fr-CH"/>
              </w:rPr>
              <w:t>Contexte/motif:</w:t>
            </w:r>
          </w:p>
          <w:p w:rsidR="005C6FBA" w:rsidRPr="00CC559D" w:rsidRDefault="007E1216" w:rsidP="00CC559D">
            <w:pPr>
              <w:rPr>
                <w:lang w:val="fr-CH"/>
              </w:rPr>
            </w:pPr>
            <w:r w:rsidRPr="00730563">
              <w:rPr>
                <w:lang w:val="fr-CH"/>
              </w:rPr>
              <w:t>Actuellement, la bande de fréquences 460-470 MHz</w:t>
            </w:r>
            <w:r w:rsidR="003228B3">
              <w:rPr>
                <w:lang w:val="fr-CH"/>
              </w:rPr>
              <w:t xml:space="preserve"> </w:t>
            </w:r>
            <w:r w:rsidRPr="00730563">
              <w:rPr>
                <w:lang w:val="fr-CH"/>
              </w:rPr>
              <w:t xml:space="preserve">est utilisée par un grand nombre de satellites sur orbite basse pour la transmission </w:t>
            </w:r>
            <w:r w:rsidR="00CC559D" w:rsidRPr="00730563">
              <w:rPr>
                <w:lang w:val="fr-CH"/>
              </w:rPr>
              <w:t>d</w:t>
            </w:r>
            <w:r w:rsidR="00B979D7">
              <w:rPr>
                <w:lang w:val="fr-CH"/>
              </w:rPr>
              <w:t>'</w:t>
            </w:r>
            <w:r w:rsidR="00CC559D" w:rsidRPr="00730563">
              <w:rPr>
                <w:lang w:val="fr-CH"/>
              </w:rPr>
              <w:t>informations</w:t>
            </w:r>
            <w:r w:rsidRPr="00730563">
              <w:rPr>
                <w:lang w:val="fr-CH"/>
              </w:rPr>
              <w:t xml:space="preserve"> pertinentes aux plates-formes de collecte de données (DCP). Les services fixe et mobile disposent d</w:t>
            </w:r>
            <w:r w:rsidR="00B979D7">
              <w:rPr>
                <w:lang w:val="fr-CH"/>
              </w:rPr>
              <w:t>'</w:t>
            </w:r>
            <w:r w:rsidRPr="00730563">
              <w:rPr>
                <w:lang w:val="fr-CH"/>
              </w:rPr>
              <w:t>attributions à titre primaire dans cette bande, tandis que le service d</w:t>
            </w:r>
            <w:r w:rsidR="00B979D7">
              <w:rPr>
                <w:lang w:val="fr-CH"/>
              </w:rPr>
              <w:t>'</w:t>
            </w:r>
            <w:r w:rsidRPr="00730563">
              <w:rPr>
                <w:lang w:val="fr-CH"/>
              </w:rPr>
              <w:t>exploration de la Terre par satellite (espace vers Terre</w:t>
            </w:r>
            <w:r w:rsidR="00CC559D">
              <w:rPr>
                <w:lang w:val="fr-CH"/>
              </w:rPr>
              <w:t>)</w:t>
            </w:r>
            <w:r w:rsidR="00CC559D" w:rsidRPr="00730563">
              <w:rPr>
                <w:lang w:val="fr-CH"/>
              </w:rPr>
              <w:t xml:space="preserve"> dispose</w:t>
            </w:r>
            <w:r w:rsidR="003228B3">
              <w:rPr>
                <w:lang w:val="fr-CH"/>
              </w:rPr>
              <w:t xml:space="preserve"> </w:t>
            </w:r>
            <w:r w:rsidRPr="00730563">
              <w:rPr>
                <w:lang w:val="fr-CH"/>
              </w:rPr>
              <w:t>d</w:t>
            </w:r>
            <w:r w:rsidR="00B979D7">
              <w:rPr>
                <w:lang w:val="fr-CH"/>
              </w:rPr>
              <w:t>'</w:t>
            </w:r>
            <w:r w:rsidRPr="00730563">
              <w:rPr>
                <w:lang w:val="fr-CH"/>
              </w:rPr>
              <w:t>une attribution à titre secondaire dans le cadre d</w:t>
            </w:r>
            <w:r w:rsidR="00B979D7">
              <w:rPr>
                <w:lang w:val="fr-CH"/>
              </w:rPr>
              <w:t>'</w:t>
            </w:r>
            <w:r w:rsidRPr="00730563">
              <w:rPr>
                <w:lang w:val="fr-CH"/>
              </w:rPr>
              <w:t>un renvoi (voir le numéro 5.289). La présente proposition vise à relever le statut du service de météorologie par satellite (espace vers Terre</w:t>
            </w:r>
            <w:r w:rsidR="00BF2826">
              <w:rPr>
                <w:lang w:val="fr-CH"/>
              </w:rPr>
              <w:t>)</w:t>
            </w:r>
            <w:r w:rsidR="00810916">
              <w:rPr>
                <w:lang w:val="fr-CH"/>
              </w:rPr>
              <w:t xml:space="preserve"> </w:t>
            </w:r>
            <w:r w:rsidRPr="00730563">
              <w:rPr>
                <w:lang w:val="fr-CH"/>
              </w:rPr>
              <w:t>dans la bande 460-470 MHz et du service d</w:t>
            </w:r>
            <w:r w:rsidR="00B979D7">
              <w:rPr>
                <w:lang w:val="fr-CH"/>
              </w:rPr>
              <w:t>'</w:t>
            </w:r>
            <w:r w:rsidRPr="00730563">
              <w:rPr>
                <w:lang w:val="fr-CH"/>
              </w:rPr>
              <w:t>exploration de la Terre par satellite (espace vers Ter</w:t>
            </w:r>
            <w:r w:rsidR="00A42F73">
              <w:rPr>
                <w:lang w:val="fr-CH"/>
              </w:rPr>
              <w:t>re), tel qu</w:t>
            </w:r>
            <w:r w:rsidR="00B979D7">
              <w:rPr>
                <w:lang w:val="fr-CH"/>
              </w:rPr>
              <w:t>'</w:t>
            </w:r>
            <w:r w:rsidR="00A42F73">
              <w:rPr>
                <w:lang w:val="fr-CH"/>
              </w:rPr>
              <w:t xml:space="preserve">indiqué au numéro </w:t>
            </w:r>
            <w:r w:rsidRPr="00730563">
              <w:rPr>
                <w:lang w:val="fr-CH"/>
              </w:rPr>
              <w:t>5.289, pour lui conférer un statut primaire,</w:t>
            </w:r>
            <w:r w:rsidR="003228B3">
              <w:rPr>
                <w:lang w:val="fr-CH"/>
              </w:rPr>
              <w:t xml:space="preserve"> </w:t>
            </w:r>
            <w:r w:rsidRPr="00730563">
              <w:rPr>
                <w:lang w:val="fr-CH"/>
              </w:rPr>
              <w:t>tout en imposant les contraintes pertinentes à ce service afin de protéger les services (mobile, fixe</w:t>
            </w:r>
            <w:r w:rsidR="00CC559D">
              <w:rPr>
                <w:lang w:val="fr-CH"/>
              </w:rPr>
              <w:t>)</w:t>
            </w:r>
            <w:r w:rsidR="00CC559D" w:rsidRPr="00730563">
              <w:rPr>
                <w:lang w:val="fr-CH"/>
              </w:rPr>
              <w:t xml:space="preserve"> existants</w:t>
            </w:r>
            <w:r w:rsidRPr="00730563">
              <w:rPr>
                <w:lang w:val="fr-CH"/>
              </w:rPr>
              <w:t xml:space="preserve"> ayant des attributions à titre primaire (</w:t>
            </w:r>
            <w:r w:rsidR="00CC559D">
              <w:rPr>
                <w:lang w:val="fr-CH"/>
              </w:rPr>
              <w:t xml:space="preserve">une </w:t>
            </w:r>
            <w:r w:rsidRPr="00730563">
              <w:rPr>
                <w:lang w:val="fr-CH"/>
              </w:rPr>
              <w:t>valeur de puissance surfacique par exemple)</w:t>
            </w:r>
            <w:r w:rsidR="00CC559D">
              <w:rPr>
                <w:lang w:val="fr-CH"/>
              </w:rPr>
              <w:t>.</w:t>
            </w:r>
          </w:p>
        </w:tc>
      </w:tr>
      <w:tr w:rsidR="005C6FBA" w:rsidRPr="005C6FBA" w:rsidTr="00CC559D">
        <w:tc>
          <w:tcPr>
            <w:tcW w:w="9639" w:type="dxa"/>
            <w:gridSpan w:val="2"/>
            <w:tcBorders>
              <w:top w:val="single" w:sz="4" w:space="0" w:color="auto"/>
              <w:left w:val="nil"/>
              <w:bottom w:val="single" w:sz="4" w:space="0" w:color="auto"/>
              <w:right w:val="nil"/>
            </w:tcBorders>
          </w:tcPr>
          <w:p w:rsidR="005C6FBA" w:rsidRPr="00730563" w:rsidRDefault="005C6FBA" w:rsidP="00425FA3">
            <w:pPr>
              <w:rPr>
                <w:lang w:val="fr-CH"/>
              </w:rPr>
            </w:pPr>
            <w:r w:rsidRPr="00730563">
              <w:rPr>
                <w:b/>
                <w:bCs/>
                <w:i/>
                <w:iCs/>
                <w:lang w:val="fr-CH"/>
              </w:rPr>
              <w:t>Services de radiocommunication concernés</w:t>
            </w:r>
            <w:r w:rsidRPr="00730563">
              <w:rPr>
                <w:lang w:val="fr-CH"/>
              </w:rPr>
              <w:t>:</w:t>
            </w:r>
          </w:p>
          <w:p w:rsidR="005C6FBA" w:rsidRPr="00730563" w:rsidRDefault="007E1216" w:rsidP="003228B3">
            <w:pPr>
              <w:rPr>
                <w:b/>
                <w:i/>
                <w:lang w:val="fr-CH"/>
              </w:rPr>
            </w:pPr>
            <w:r w:rsidRPr="00730563">
              <w:rPr>
                <w:lang w:val="fr-CH"/>
              </w:rPr>
              <w:t>Services de météorologie par satellite, d</w:t>
            </w:r>
            <w:r w:rsidR="00B979D7">
              <w:rPr>
                <w:lang w:val="fr-CH"/>
              </w:rPr>
              <w:t>'</w:t>
            </w:r>
            <w:r w:rsidRPr="00730563">
              <w:rPr>
                <w:lang w:val="fr-CH"/>
              </w:rPr>
              <w:t>exploration de la Terre par satellite, fixe, mobile (les services ayant des attributions dans les bandes adjacentes</w:t>
            </w:r>
            <w:r w:rsidR="003228B3">
              <w:rPr>
                <w:lang w:val="fr-CH"/>
              </w:rPr>
              <w:t xml:space="preserve"> </w:t>
            </w:r>
            <w:r w:rsidRPr="00730563">
              <w:rPr>
                <w:lang w:val="fr-CH"/>
              </w:rPr>
              <w:t>devront également être pris en considération</w:t>
            </w:r>
            <w:r w:rsidR="005C6FBA" w:rsidRPr="00730563">
              <w:rPr>
                <w:lang w:val="fr-CH"/>
              </w:rPr>
              <w:t>)</w:t>
            </w:r>
          </w:p>
        </w:tc>
      </w:tr>
      <w:tr w:rsidR="005C6FBA" w:rsidRPr="005C6FBA" w:rsidTr="00CC559D">
        <w:tc>
          <w:tcPr>
            <w:tcW w:w="9639" w:type="dxa"/>
            <w:gridSpan w:val="2"/>
            <w:tcBorders>
              <w:top w:val="single" w:sz="4" w:space="0" w:color="auto"/>
              <w:left w:val="nil"/>
              <w:bottom w:val="single" w:sz="4" w:space="0" w:color="auto"/>
              <w:right w:val="nil"/>
            </w:tcBorders>
          </w:tcPr>
          <w:p w:rsidR="005C6FBA" w:rsidRPr="00730563" w:rsidRDefault="005C6FBA" w:rsidP="00425FA3">
            <w:pPr>
              <w:rPr>
                <w:lang w:val="fr-CH"/>
              </w:rPr>
            </w:pPr>
            <w:r w:rsidRPr="00730563">
              <w:rPr>
                <w:b/>
                <w:bCs/>
                <w:i/>
                <w:iCs/>
                <w:lang w:val="fr-CH"/>
              </w:rPr>
              <w:t>Indication des difficultés éventuelles:</w:t>
            </w:r>
          </w:p>
          <w:p w:rsidR="005C6FBA" w:rsidRPr="00730563" w:rsidRDefault="007E1216" w:rsidP="00425FA3">
            <w:pPr>
              <w:keepNext/>
              <w:rPr>
                <w:lang w:val="fr-CH"/>
              </w:rPr>
            </w:pPr>
            <w:r w:rsidRPr="00730563">
              <w:rPr>
                <w:lang w:val="fr-CH"/>
              </w:rPr>
              <w:t>La bande est très utilisée par les services de Terre et</w:t>
            </w:r>
            <w:r w:rsidR="003228B3">
              <w:rPr>
                <w:lang w:val="fr-CH"/>
              </w:rPr>
              <w:t xml:space="preserve"> </w:t>
            </w:r>
            <w:r w:rsidRPr="00730563">
              <w:rPr>
                <w:lang w:val="fr-CH"/>
              </w:rPr>
              <w:t>il sera essentiel de déterminer les limites de puissance surfacique appropriée</w:t>
            </w:r>
            <w:r w:rsidR="00212A02" w:rsidRPr="00730563">
              <w:rPr>
                <w:lang w:val="fr-CH"/>
              </w:rPr>
              <w:t>s</w:t>
            </w:r>
            <w:r w:rsidRPr="00730563">
              <w:rPr>
                <w:lang w:val="fr-CH"/>
              </w:rPr>
              <w:t xml:space="preserve"> pour protéger le fonctionnement de</w:t>
            </w:r>
            <w:r w:rsidR="00212A02" w:rsidRPr="00730563">
              <w:rPr>
                <w:lang w:val="fr-CH"/>
              </w:rPr>
              <w:t xml:space="preserve"> ce</w:t>
            </w:r>
            <w:r w:rsidRPr="00730563">
              <w:rPr>
                <w:lang w:val="fr-CH"/>
              </w:rPr>
              <w:t>s services au titre de ce point de l</w:t>
            </w:r>
            <w:r w:rsidR="00B979D7">
              <w:rPr>
                <w:lang w:val="fr-CH"/>
              </w:rPr>
              <w:t>'</w:t>
            </w:r>
            <w:r w:rsidRPr="00730563">
              <w:rPr>
                <w:lang w:val="fr-CH"/>
              </w:rPr>
              <w:t>ordre du jour</w:t>
            </w:r>
            <w:r w:rsidR="00CC559D">
              <w:rPr>
                <w:lang w:val="fr-CH"/>
              </w:rPr>
              <w:t>.</w:t>
            </w:r>
          </w:p>
          <w:p w:rsidR="005C6FBA" w:rsidRPr="00730563" w:rsidRDefault="00212A02" w:rsidP="00425FA3">
            <w:pPr>
              <w:rPr>
                <w:b/>
                <w:i/>
                <w:lang w:val="fr-CH"/>
              </w:rPr>
            </w:pPr>
            <w:r w:rsidRPr="00730563">
              <w:rPr>
                <w:lang w:val="fr-CH"/>
              </w:rPr>
              <w:t>Il convient de noter que les récepteurs au sol du service Metsat et du SETS ne demanderont pas à bénéficier d</w:t>
            </w:r>
            <w:r w:rsidR="00B979D7">
              <w:rPr>
                <w:lang w:val="fr-CH"/>
              </w:rPr>
              <w:t>'</w:t>
            </w:r>
            <w:r w:rsidRPr="00730563">
              <w:rPr>
                <w:lang w:val="fr-CH"/>
              </w:rPr>
              <w:t>une protection vis-à-vis des stations des services fixe et mobile</w:t>
            </w:r>
            <w:r w:rsidR="00CC559D">
              <w:rPr>
                <w:lang w:val="fr-CH"/>
              </w:rPr>
              <w:t>.</w:t>
            </w:r>
          </w:p>
        </w:tc>
      </w:tr>
      <w:tr w:rsidR="005C6FBA" w:rsidRPr="005C6FBA" w:rsidTr="00CC559D">
        <w:tc>
          <w:tcPr>
            <w:tcW w:w="9639" w:type="dxa"/>
            <w:gridSpan w:val="2"/>
            <w:tcBorders>
              <w:top w:val="single" w:sz="4" w:space="0" w:color="auto"/>
              <w:left w:val="nil"/>
              <w:bottom w:val="single" w:sz="4" w:space="0" w:color="auto"/>
              <w:right w:val="nil"/>
            </w:tcBorders>
          </w:tcPr>
          <w:p w:rsidR="005C6FBA" w:rsidRPr="00A31EA2" w:rsidRDefault="005C6FBA" w:rsidP="00425FA3">
            <w:r w:rsidRPr="003A2ED4">
              <w:rPr>
                <w:b/>
                <w:bCs/>
                <w:i/>
                <w:iCs/>
                <w:lang w:val="fr-CH"/>
              </w:rPr>
              <w:t>Etudes précédentes ou en cours sur la question</w:t>
            </w:r>
            <w:r w:rsidRPr="003A2ED4">
              <w:rPr>
                <w:b/>
                <w:bCs/>
                <w:i/>
                <w:iCs/>
              </w:rPr>
              <w:t>:</w:t>
            </w:r>
          </w:p>
          <w:p w:rsidR="005C6FBA" w:rsidRPr="00730563" w:rsidRDefault="00212A02" w:rsidP="00425FA3">
            <w:pPr>
              <w:keepNext/>
              <w:rPr>
                <w:lang w:val="fr-CH"/>
              </w:rPr>
            </w:pPr>
            <w:r w:rsidRPr="00730563">
              <w:rPr>
                <w:lang w:val="fr-CH"/>
              </w:rPr>
              <w:t>Des études de coordination ont été effectuées précédemment par des agences spatiales et des instituts météorologiques</w:t>
            </w:r>
            <w:r w:rsidR="003228B3">
              <w:rPr>
                <w:lang w:val="fr-CH"/>
              </w:rPr>
              <w:t xml:space="preserve"> </w:t>
            </w:r>
            <w:r w:rsidRPr="00730563">
              <w:rPr>
                <w:lang w:val="fr-CH"/>
              </w:rPr>
              <w:t xml:space="preserve">pour évaluer et atténuer les brouillages radioélectriques </w:t>
            </w:r>
            <w:r w:rsidR="00CC559D">
              <w:rPr>
                <w:lang w:val="fr-CH"/>
              </w:rPr>
              <w:t xml:space="preserve">éventuels </w:t>
            </w:r>
            <w:r w:rsidRPr="00730563">
              <w:rPr>
                <w:lang w:val="fr-CH"/>
              </w:rPr>
              <w:t>causés aux systèmes de Terre</w:t>
            </w:r>
            <w:r w:rsidR="00CC559D">
              <w:rPr>
                <w:lang w:val="fr-CH"/>
              </w:rPr>
              <w:t>.</w:t>
            </w:r>
          </w:p>
          <w:p w:rsidR="005C6FBA" w:rsidRPr="00CC559D" w:rsidRDefault="00CC559D" w:rsidP="00CC559D">
            <w:pPr>
              <w:tabs>
                <w:tab w:val="clear" w:pos="1134"/>
                <w:tab w:val="clear" w:pos="1871"/>
                <w:tab w:val="clear" w:pos="2268"/>
              </w:tabs>
              <w:rPr>
                <w:lang w:val="fr-CH"/>
              </w:rPr>
            </w:pPr>
            <w:r>
              <w:rPr>
                <w:lang w:val="fr-CH"/>
              </w:rPr>
              <w:t>U</w:t>
            </w:r>
            <w:r w:rsidR="00212A02" w:rsidRPr="00730563">
              <w:rPr>
                <w:lang w:val="fr-CH"/>
              </w:rPr>
              <w:t xml:space="preserve">ne administration a adopté des dispositions réglementaires </w:t>
            </w:r>
            <w:r>
              <w:rPr>
                <w:lang w:val="fr-CH"/>
              </w:rPr>
              <w:t>au niveau national</w:t>
            </w:r>
            <w:r w:rsidR="00212A02" w:rsidRPr="00730563">
              <w:rPr>
                <w:lang w:val="fr-CH"/>
              </w:rPr>
              <w:t xml:space="preserve"> prévoyant une limite de puissance surfacique de</w:t>
            </w:r>
            <w:r w:rsidR="00810916">
              <w:rPr>
                <w:lang w:val="fr-CH"/>
              </w:rPr>
              <w:t xml:space="preserve"> </w:t>
            </w:r>
            <w:r w:rsidR="00810916" w:rsidRPr="00810916">
              <w:rPr>
                <w:lang w:val="fr-CH"/>
              </w:rPr>
              <w:t>–</w:t>
            </w:r>
            <w:r w:rsidR="00212A02" w:rsidRPr="00730563">
              <w:rPr>
                <w:lang w:val="fr-CH"/>
              </w:rPr>
              <w:t>152 dBW/m</w:t>
            </w:r>
            <w:r w:rsidR="00212A02" w:rsidRPr="004E10E0">
              <w:rPr>
                <w:vertAlign w:val="superscript"/>
                <w:lang w:val="fr-CH"/>
              </w:rPr>
              <w:t>2</w:t>
            </w:r>
            <w:r w:rsidR="00212A02" w:rsidRPr="00730563">
              <w:rPr>
                <w:lang w:val="fr-CH"/>
              </w:rPr>
              <w:t>/4 kHz</w:t>
            </w:r>
            <w:r w:rsidR="000F039B" w:rsidRPr="00730563">
              <w:rPr>
                <w:lang w:val="fr-CH"/>
              </w:rPr>
              <w:t>.</w:t>
            </w:r>
            <w:r>
              <w:rPr>
                <w:lang w:val="fr-CH"/>
              </w:rPr>
              <w:t xml:space="preserve"> P</w:t>
            </w:r>
            <w:r w:rsidR="00212A02" w:rsidRPr="00730563">
              <w:rPr>
                <w:lang w:val="fr-CH"/>
              </w:rPr>
              <w:t xml:space="preserve">our respecter cette limite, des agences spatiales ont mis au point, et </w:t>
            </w:r>
            <w:r w:rsidR="000F039B" w:rsidRPr="00730563">
              <w:rPr>
                <w:lang w:val="fr-CH"/>
              </w:rPr>
              <w:t>appliquent</w:t>
            </w:r>
            <w:r w:rsidR="00212A02" w:rsidRPr="00730563">
              <w:rPr>
                <w:lang w:val="fr-CH"/>
              </w:rPr>
              <w:t xml:space="preserve"> actuellement</w:t>
            </w:r>
            <w:r w:rsidR="003228B3">
              <w:rPr>
                <w:lang w:val="fr-CH"/>
              </w:rPr>
              <w:t>,</w:t>
            </w:r>
            <w:r w:rsidR="00212A02" w:rsidRPr="00730563">
              <w:rPr>
                <w:lang w:val="fr-CH"/>
              </w:rPr>
              <w:t xml:space="preserve"> une solution </w:t>
            </w:r>
            <w:r w:rsidR="00212A02">
              <w:rPr>
                <w:color w:val="000000"/>
              </w:rPr>
              <w:t>d'étalement de spectre</w:t>
            </w:r>
            <w:r w:rsidR="003228B3">
              <w:rPr>
                <w:lang w:val="fr-CH"/>
              </w:rPr>
              <w:t>,</w:t>
            </w:r>
            <w:r w:rsidR="00212A02" w:rsidRPr="00730563">
              <w:rPr>
                <w:lang w:val="fr-CH"/>
              </w:rPr>
              <w:t xml:space="preserve"> </w:t>
            </w:r>
            <w:r w:rsidR="000F039B" w:rsidRPr="00730563">
              <w:rPr>
                <w:lang w:val="fr-CH"/>
              </w:rPr>
              <w:t>de sorte que</w:t>
            </w:r>
            <w:r w:rsidR="003228B3">
              <w:rPr>
                <w:lang w:val="fr-CH"/>
              </w:rPr>
              <w:t xml:space="preserve"> </w:t>
            </w:r>
            <w:r>
              <w:rPr>
                <w:lang w:val="fr-CH"/>
              </w:rPr>
              <w:t>le fonctionnement des</w:t>
            </w:r>
            <w:r w:rsidR="000F039B" w:rsidRPr="00730563">
              <w:rPr>
                <w:lang w:val="fr-CH"/>
              </w:rPr>
              <w:t xml:space="preserve"> futures</w:t>
            </w:r>
            <w:r w:rsidR="00212A02" w:rsidRPr="00730563">
              <w:rPr>
                <w:lang w:val="fr-CH"/>
              </w:rPr>
              <w:t xml:space="preserve"> liaison</w:t>
            </w:r>
            <w:r w:rsidR="000F039B" w:rsidRPr="00730563">
              <w:rPr>
                <w:lang w:val="fr-CH"/>
              </w:rPr>
              <w:t>s</w:t>
            </w:r>
            <w:r w:rsidR="00212A02" w:rsidRPr="00730563">
              <w:rPr>
                <w:lang w:val="fr-CH"/>
              </w:rPr>
              <w:t xml:space="preserve"> descendante</w:t>
            </w:r>
            <w:r w:rsidR="000F039B" w:rsidRPr="00730563">
              <w:rPr>
                <w:lang w:val="fr-CH"/>
              </w:rPr>
              <w:t>s</w:t>
            </w:r>
            <w:r w:rsidR="00212A02" w:rsidRPr="00730563">
              <w:rPr>
                <w:lang w:val="fr-CH"/>
              </w:rPr>
              <w:t xml:space="preserve"> du système de collecte de données </w:t>
            </w:r>
            <w:r w:rsidR="000F039B" w:rsidRPr="00730563">
              <w:rPr>
                <w:lang w:val="fr-CH"/>
              </w:rPr>
              <w:t>évolué</w:t>
            </w:r>
            <w:r w:rsidR="00212A02" w:rsidRPr="00730563">
              <w:rPr>
                <w:lang w:val="fr-CH"/>
              </w:rPr>
              <w:t xml:space="preserve"> dans la bande 460-470 MHz </w:t>
            </w:r>
            <w:r>
              <w:rPr>
                <w:lang w:val="fr-CH"/>
              </w:rPr>
              <w:t>sera conforme</w:t>
            </w:r>
            <w:r w:rsidR="00212A02" w:rsidRPr="00730563">
              <w:rPr>
                <w:lang w:val="fr-CH"/>
              </w:rPr>
              <w:t xml:space="preserve"> à ces dispositions réglementaires</w:t>
            </w:r>
            <w:r>
              <w:rPr>
                <w:lang w:val="fr-CH"/>
              </w:rPr>
              <w:t>.</w:t>
            </w:r>
          </w:p>
        </w:tc>
      </w:tr>
    </w:tbl>
    <w:p w:rsidR="00F314D8" w:rsidRDefault="00F314D8" w:rsidP="00425FA3">
      <w:pPr>
        <w:rPr>
          <w:b/>
          <w:bCs/>
          <w:i/>
          <w:iCs/>
          <w:lang w:val="fr-CH"/>
        </w:rPr>
      </w:pPr>
    </w:p>
    <w:tbl>
      <w:tblPr>
        <w:tblStyle w:val="TableGrid"/>
        <w:tblpPr w:leftFromText="180" w:rightFromText="180" w:vertAnchor="text" w:tblpY="1"/>
        <w:tblOverlap w:val="never"/>
        <w:tblW w:w="0" w:type="auto"/>
        <w:tblLook w:val="04A0" w:firstRow="1" w:lastRow="0" w:firstColumn="1" w:lastColumn="0" w:noHBand="0" w:noVBand="1"/>
      </w:tblPr>
      <w:tblGrid>
        <w:gridCol w:w="4538"/>
        <w:gridCol w:w="5101"/>
      </w:tblGrid>
      <w:tr w:rsidR="005C6FBA" w:rsidRPr="005C6FBA" w:rsidTr="00F314D8">
        <w:tc>
          <w:tcPr>
            <w:tcW w:w="4538" w:type="dxa"/>
            <w:tcBorders>
              <w:top w:val="single" w:sz="4" w:space="0" w:color="auto"/>
              <w:left w:val="nil"/>
              <w:bottom w:val="single" w:sz="4" w:space="0" w:color="auto"/>
              <w:right w:val="single" w:sz="4" w:space="0" w:color="auto"/>
            </w:tcBorders>
          </w:tcPr>
          <w:p w:rsidR="005C6FBA" w:rsidRPr="00A31EA2" w:rsidRDefault="005C6FBA" w:rsidP="00425FA3">
            <w:r w:rsidRPr="0014454C">
              <w:rPr>
                <w:b/>
                <w:bCs/>
                <w:i/>
                <w:iCs/>
                <w:lang w:val="fr-CH"/>
              </w:rPr>
              <w:t>Etudes devant être réalisées par</w:t>
            </w:r>
            <w:r w:rsidRPr="0014454C">
              <w:rPr>
                <w:b/>
                <w:bCs/>
                <w:i/>
                <w:iCs/>
              </w:rPr>
              <w:t>:</w:t>
            </w:r>
          </w:p>
          <w:p w:rsidR="005C6FBA" w:rsidRPr="009E4745" w:rsidRDefault="00872994" w:rsidP="00425FA3">
            <w:pPr>
              <w:rPr>
                <w:b/>
                <w:i/>
                <w:color w:val="000000"/>
                <w:lang w:val="fr-CH"/>
              </w:rPr>
            </w:pPr>
            <w:r>
              <w:t>GT</w:t>
            </w:r>
            <w:r w:rsidR="003228B3">
              <w:t xml:space="preserve"> </w:t>
            </w:r>
            <w:r w:rsidR="005C6FBA" w:rsidRPr="00CF592A">
              <w:t>7B</w:t>
            </w:r>
          </w:p>
        </w:tc>
        <w:tc>
          <w:tcPr>
            <w:tcW w:w="5101" w:type="dxa"/>
            <w:tcBorders>
              <w:top w:val="single" w:sz="4" w:space="0" w:color="auto"/>
              <w:left w:val="single" w:sz="4" w:space="0" w:color="auto"/>
              <w:bottom w:val="single" w:sz="4" w:space="0" w:color="auto"/>
              <w:right w:val="nil"/>
            </w:tcBorders>
          </w:tcPr>
          <w:p w:rsidR="005C6FBA" w:rsidRPr="00730563" w:rsidRDefault="005C6FBA" w:rsidP="00425FA3">
            <w:pPr>
              <w:rPr>
                <w:b/>
                <w:bCs/>
                <w:i/>
                <w:iCs/>
                <w:lang w:val="fr-CH"/>
              </w:rPr>
            </w:pPr>
            <w:r w:rsidRPr="00504217">
              <w:rPr>
                <w:b/>
                <w:bCs/>
                <w:i/>
                <w:iCs/>
              </w:rPr>
              <w:t>avec la participation de</w:t>
            </w:r>
            <w:r w:rsidRPr="00730563">
              <w:rPr>
                <w:b/>
                <w:bCs/>
                <w:i/>
                <w:iCs/>
                <w:lang w:val="fr-CH"/>
              </w:rPr>
              <w:t>:</w:t>
            </w:r>
          </w:p>
          <w:p w:rsidR="005C6FBA" w:rsidRPr="00730563" w:rsidRDefault="00C203CC" w:rsidP="00CC559D">
            <w:pPr>
              <w:rPr>
                <w:b/>
                <w:i/>
                <w:color w:val="000000"/>
                <w:lang w:val="fr-CH"/>
              </w:rPr>
            </w:pPr>
            <w:r w:rsidRPr="00730563">
              <w:rPr>
                <w:lang w:val="fr-CH"/>
              </w:rPr>
              <w:t xml:space="preserve">Administrations et Membres du Secteur de </w:t>
            </w:r>
            <w:r w:rsidR="00CC559D" w:rsidRPr="00730563">
              <w:rPr>
                <w:lang w:val="fr-CH"/>
              </w:rPr>
              <w:t>l</w:t>
            </w:r>
            <w:r w:rsidR="00B979D7">
              <w:rPr>
                <w:lang w:val="fr-CH"/>
              </w:rPr>
              <w:t>'</w:t>
            </w:r>
            <w:r w:rsidR="00CC559D" w:rsidRPr="00730563">
              <w:rPr>
                <w:lang w:val="fr-CH"/>
              </w:rPr>
              <w:t>UIT</w:t>
            </w:r>
            <w:r w:rsidR="00CC559D">
              <w:rPr>
                <w:lang w:val="fr-CH"/>
              </w:rPr>
              <w:noBreakHyphen/>
            </w:r>
            <w:r w:rsidR="00CC559D" w:rsidRPr="00730563">
              <w:rPr>
                <w:lang w:val="fr-CH"/>
              </w:rPr>
              <w:t xml:space="preserve">R. </w:t>
            </w:r>
            <w:r w:rsidR="00CC559D">
              <w:rPr>
                <w:lang w:val="fr-CH"/>
              </w:rPr>
              <w:t>Les agences spatiales et l</w:t>
            </w:r>
            <w:r w:rsidR="000F039B" w:rsidRPr="00730563">
              <w:rPr>
                <w:lang w:val="fr-CH"/>
              </w:rPr>
              <w:t>es instituts météorologiques</w:t>
            </w:r>
            <w:r w:rsidR="00CC559D">
              <w:rPr>
                <w:lang w:val="fr-CH"/>
              </w:rPr>
              <w:t>,</w:t>
            </w:r>
            <w:r w:rsidR="000F039B" w:rsidRPr="00730563">
              <w:rPr>
                <w:lang w:val="fr-CH"/>
              </w:rPr>
              <w:t xml:space="preserve"> en particulier</w:t>
            </w:r>
            <w:r w:rsidR="00CC559D">
              <w:rPr>
                <w:lang w:val="fr-CH"/>
              </w:rPr>
              <w:t>,</w:t>
            </w:r>
            <w:r w:rsidR="000F039B" w:rsidRPr="00730563">
              <w:rPr>
                <w:lang w:val="fr-CH"/>
              </w:rPr>
              <w:t xml:space="preserve"> devraient </w:t>
            </w:r>
            <w:r w:rsidR="00CC559D">
              <w:rPr>
                <w:lang w:val="fr-CH"/>
              </w:rPr>
              <w:t>déterminer</w:t>
            </w:r>
            <w:r w:rsidR="000F039B" w:rsidRPr="00730563">
              <w:rPr>
                <w:lang w:val="fr-CH"/>
              </w:rPr>
              <w:t xml:space="preserve"> s</w:t>
            </w:r>
            <w:r w:rsidR="00B979D7">
              <w:rPr>
                <w:lang w:val="fr-CH"/>
              </w:rPr>
              <w:t>'</w:t>
            </w:r>
            <w:r w:rsidR="000F039B" w:rsidRPr="00730563">
              <w:rPr>
                <w:lang w:val="fr-CH"/>
              </w:rPr>
              <w:t>il est possible de mettre en œuvre des satellites conformément aux valeurs de puissance surfacique</w:t>
            </w:r>
            <w:r w:rsidR="003228B3">
              <w:rPr>
                <w:lang w:val="fr-CH"/>
              </w:rPr>
              <w:t xml:space="preserve"> </w:t>
            </w:r>
          </w:p>
        </w:tc>
      </w:tr>
      <w:tr w:rsidR="005C6FBA" w:rsidRPr="009E4745" w:rsidTr="00F314D8">
        <w:tc>
          <w:tcPr>
            <w:tcW w:w="9639" w:type="dxa"/>
            <w:gridSpan w:val="2"/>
            <w:tcBorders>
              <w:top w:val="single" w:sz="4" w:space="0" w:color="auto"/>
              <w:left w:val="nil"/>
              <w:bottom w:val="single" w:sz="4" w:space="0" w:color="auto"/>
              <w:right w:val="nil"/>
            </w:tcBorders>
          </w:tcPr>
          <w:p w:rsidR="005C6FBA" w:rsidRPr="00A31EA2" w:rsidRDefault="005C6FBA" w:rsidP="00425FA3">
            <w:r w:rsidRPr="0014454C">
              <w:rPr>
                <w:b/>
                <w:bCs/>
                <w:i/>
                <w:iCs/>
                <w:lang w:val="fr-CH"/>
              </w:rPr>
              <w:t>Commissions d'études de l'UIT-R concernées</w:t>
            </w:r>
            <w:r w:rsidRPr="00A31EA2">
              <w:rPr>
                <w:b/>
                <w:bCs/>
                <w:i/>
                <w:iCs/>
              </w:rPr>
              <w:t>:</w:t>
            </w:r>
          </w:p>
          <w:p w:rsidR="005C6FBA" w:rsidRPr="009E4745" w:rsidRDefault="00C937A8" w:rsidP="00425FA3">
            <w:pPr>
              <w:rPr>
                <w:b/>
                <w:i/>
                <w:lang w:val="fr-CH"/>
              </w:rPr>
            </w:pPr>
            <w:r>
              <w:t>CE</w:t>
            </w:r>
            <w:r w:rsidR="004E10E0">
              <w:t xml:space="preserve"> </w:t>
            </w:r>
            <w:r w:rsidR="005C6FBA" w:rsidRPr="009C7CF0">
              <w:t>5 (</w:t>
            </w:r>
            <w:r w:rsidR="00872994">
              <w:t>GT</w:t>
            </w:r>
            <w:r w:rsidR="003228B3">
              <w:t xml:space="preserve"> </w:t>
            </w:r>
            <w:r w:rsidR="005C6FBA" w:rsidRPr="009C7CF0">
              <w:t>5A</w:t>
            </w:r>
            <w:r w:rsidR="003228B3">
              <w:t xml:space="preserve"> </w:t>
            </w:r>
            <w:r w:rsidR="000F039B">
              <w:t xml:space="preserve">et </w:t>
            </w:r>
            <w:r w:rsidR="005C6FBA" w:rsidRPr="009C7CF0">
              <w:t>5C)</w:t>
            </w:r>
          </w:p>
        </w:tc>
      </w:tr>
      <w:tr w:rsidR="005C6FBA" w:rsidRPr="005C6FBA" w:rsidTr="00F314D8">
        <w:tc>
          <w:tcPr>
            <w:tcW w:w="9639" w:type="dxa"/>
            <w:gridSpan w:val="2"/>
            <w:tcBorders>
              <w:top w:val="single" w:sz="4" w:space="0" w:color="auto"/>
              <w:left w:val="nil"/>
              <w:bottom w:val="single" w:sz="4" w:space="0" w:color="auto"/>
              <w:right w:val="nil"/>
            </w:tcBorders>
          </w:tcPr>
          <w:p w:rsidR="005C6FBA" w:rsidRPr="00A31EA2" w:rsidRDefault="005C6FBA" w:rsidP="00425FA3">
            <w:r w:rsidRPr="0014454C">
              <w:rPr>
                <w:b/>
                <w:bCs/>
                <w:i/>
                <w:iCs/>
              </w:rPr>
              <w:t xml:space="preserve">Répercussions au niveau des ressources de l'UIT, y compris incidences </w:t>
            </w:r>
            <w:r w:rsidR="00CC559D" w:rsidRPr="0014454C">
              <w:rPr>
                <w:b/>
                <w:bCs/>
                <w:i/>
                <w:iCs/>
              </w:rPr>
              <w:t xml:space="preserve">financières </w:t>
            </w:r>
            <w:r w:rsidRPr="0014454C">
              <w:rPr>
                <w:b/>
                <w:bCs/>
                <w:i/>
                <w:iCs/>
              </w:rPr>
              <w:br/>
              <w:t>(voir le numéro 126 de la Convention):</w:t>
            </w:r>
          </w:p>
          <w:p w:rsidR="005C6FBA" w:rsidRPr="00730563" w:rsidRDefault="000F039B"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p>
        </w:tc>
      </w:tr>
      <w:tr w:rsidR="005C6FBA" w:rsidRPr="009E4745" w:rsidTr="00F314D8">
        <w:tc>
          <w:tcPr>
            <w:tcW w:w="4538" w:type="dxa"/>
            <w:tcBorders>
              <w:top w:val="single" w:sz="4" w:space="0" w:color="auto"/>
              <w:left w:val="nil"/>
              <w:bottom w:val="single" w:sz="4" w:space="0" w:color="auto"/>
              <w:right w:val="nil"/>
            </w:tcBorders>
          </w:tcPr>
          <w:p w:rsidR="005C6FBA" w:rsidRPr="009E4745" w:rsidRDefault="005C6FBA" w:rsidP="00425FA3">
            <w:pPr>
              <w:rPr>
                <w:b/>
                <w:iCs/>
                <w:lang w:val="fr-CH"/>
              </w:rPr>
            </w:pPr>
            <w:r w:rsidRPr="00695ABE">
              <w:rPr>
                <w:b/>
                <w:bCs/>
                <w:i/>
                <w:iCs/>
              </w:rPr>
              <w:t>Proposition régionale commune:</w:t>
            </w:r>
            <w:r w:rsidRPr="008C0EDF">
              <w:rPr>
                <w:b/>
                <w:bCs/>
              </w:rPr>
              <w:t xml:space="preserve"> </w:t>
            </w:r>
            <w:r w:rsidRPr="009217A6">
              <w:t>Oui</w:t>
            </w:r>
          </w:p>
        </w:tc>
        <w:tc>
          <w:tcPr>
            <w:tcW w:w="5101" w:type="dxa"/>
            <w:tcBorders>
              <w:top w:val="single" w:sz="4" w:space="0" w:color="auto"/>
              <w:left w:val="nil"/>
              <w:bottom w:val="single" w:sz="4" w:space="0" w:color="auto"/>
              <w:right w:val="nil"/>
            </w:tcBorders>
          </w:tcPr>
          <w:p w:rsidR="005C6FBA" w:rsidRPr="00A31EA2" w:rsidRDefault="005C6FBA" w:rsidP="00425FA3">
            <w:r w:rsidRPr="00695ABE">
              <w:rPr>
                <w:b/>
                <w:bCs/>
                <w:i/>
                <w:iCs/>
              </w:rPr>
              <w:t>Proposition soumise par plusieurs pays:</w:t>
            </w:r>
            <w:r w:rsidRPr="008C0EDF">
              <w:rPr>
                <w:b/>
                <w:bCs/>
              </w:rPr>
              <w:t xml:space="preserve"> </w:t>
            </w:r>
            <w:r w:rsidRPr="009217A6">
              <w:t>Non</w:t>
            </w:r>
          </w:p>
          <w:p w:rsidR="005C6FBA" w:rsidRPr="00CC559D" w:rsidRDefault="005C6FBA" w:rsidP="00CC559D">
            <w:r w:rsidRPr="003A2ED4">
              <w:rPr>
                <w:b/>
                <w:bCs/>
                <w:i/>
                <w:iCs/>
                <w:lang w:val="fr-CH"/>
              </w:rPr>
              <w:t>Nombre de pays:</w:t>
            </w:r>
          </w:p>
        </w:tc>
      </w:tr>
      <w:tr w:rsidR="005C6FBA" w:rsidRPr="00714540" w:rsidTr="00F314D8">
        <w:tc>
          <w:tcPr>
            <w:tcW w:w="9639" w:type="dxa"/>
            <w:gridSpan w:val="2"/>
            <w:tcBorders>
              <w:top w:val="single" w:sz="4" w:space="0" w:color="auto"/>
              <w:left w:val="nil"/>
              <w:bottom w:val="nil"/>
              <w:right w:val="nil"/>
            </w:tcBorders>
          </w:tcPr>
          <w:p w:rsidR="005C6FBA" w:rsidRPr="00A31EA2" w:rsidRDefault="005C6FBA" w:rsidP="00425FA3">
            <w:r w:rsidRPr="003A2ED4">
              <w:rPr>
                <w:b/>
                <w:bCs/>
                <w:i/>
                <w:iCs/>
              </w:rPr>
              <w:t>Observations</w:t>
            </w:r>
          </w:p>
          <w:p w:rsidR="005C6FBA" w:rsidRPr="00714540" w:rsidRDefault="004E10E0" w:rsidP="00425FA3">
            <w:pPr>
              <w:rPr>
                <w:b/>
                <w:i/>
              </w:rPr>
            </w:pPr>
            <w:r>
              <w:t>N</w:t>
            </w:r>
            <w:r w:rsidR="00A500DC">
              <w:t xml:space="preserve">éant </w:t>
            </w:r>
          </w:p>
        </w:tc>
      </w:tr>
    </w:tbl>
    <w:p w:rsidR="006B1FD4" w:rsidRDefault="006B1FD4" w:rsidP="00425FA3">
      <w:pPr>
        <w:pStyle w:val="Reasons"/>
        <w:rPr>
          <w:lang w:val="en-US"/>
        </w:rPr>
      </w:pPr>
    </w:p>
    <w:p w:rsidR="005C6FBA" w:rsidRDefault="005C6FBA"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Default="00A846F5" w:rsidP="00425FA3">
      <w:pPr>
        <w:pStyle w:val="Proposal"/>
        <w:rPr>
          <w:lang w:val="en-US"/>
        </w:rPr>
      </w:pPr>
      <w:r w:rsidRPr="00B65685">
        <w:rPr>
          <w:lang w:val="en-US"/>
        </w:rPr>
        <w:lastRenderedPageBreak/>
        <w:t>ADD</w:t>
      </w:r>
      <w:r w:rsidRPr="00B65685">
        <w:rPr>
          <w:lang w:val="en-US"/>
        </w:rPr>
        <w:tab/>
        <w:t>EUR/9A25/10</w:t>
      </w:r>
    </w:p>
    <w:p w:rsidR="006B1FD4" w:rsidRPr="00730563" w:rsidRDefault="001261B0" w:rsidP="00425FA3">
      <w:pPr>
        <w:pStyle w:val="ResNo"/>
        <w:rPr>
          <w:lang w:val="fr-CH"/>
        </w:rPr>
      </w:pPr>
      <w:r w:rsidRPr="00730563">
        <w:rPr>
          <w:lang w:val="fr-CH"/>
        </w:rPr>
        <w:t xml:space="preserve">PROJET DE NOUVELLE </w:t>
      </w:r>
      <w:r w:rsidR="00BB138D">
        <w:rPr>
          <w:lang w:val="fr-CH"/>
        </w:rPr>
        <w:t>RÉSOLUTION</w:t>
      </w:r>
      <w:r w:rsidR="0034440C" w:rsidRPr="00730563">
        <w:rPr>
          <w:lang w:val="fr-CH"/>
        </w:rPr>
        <w:t xml:space="preserve"> [EUR-I10-8] (</w:t>
      </w:r>
      <w:r w:rsidR="003228B3">
        <w:rPr>
          <w:lang w:val="fr-CH"/>
        </w:rPr>
        <w:t>CMR-15</w:t>
      </w:r>
      <w:r w:rsidR="0034440C" w:rsidRPr="00730563">
        <w:rPr>
          <w:lang w:val="fr-CH"/>
        </w:rPr>
        <w:t>)</w:t>
      </w:r>
    </w:p>
    <w:p w:rsidR="00143628" w:rsidRPr="00730563" w:rsidRDefault="004E10E0" w:rsidP="00D83362">
      <w:pPr>
        <w:pStyle w:val="Restitle"/>
        <w:rPr>
          <w:lang w:val="fr-CH"/>
        </w:rPr>
      </w:pPr>
      <w:r>
        <w:rPr>
          <w:lang w:val="fr-CH"/>
        </w:rPr>
        <w:t>E</w:t>
      </w:r>
      <w:r w:rsidR="001A0DFE" w:rsidRPr="00730563">
        <w:rPr>
          <w:lang w:val="fr-CH"/>
        </w:rPr>
        <w:t>tudes relative</w:t>
      </w:r>
      <w:r w:rsidR="00E60355">
        <w:rPr>
          <w:lang w:val="fr-CH"/>
        </w:rPr>
        <w:t>s</w:t>
      </w:r>
      <w:r w:rsidR="001A0DFE" w:rsidRPr="00730563">
        <w:rPr>
          <w:lang w:val="fr-CH"/>
        </w:rPr>
        <w:t xml:space="preserve"> aux attributions au service d</w:t>
      </w:r>
      <w:r w:rsidR="00B979D7">
        <w:rPr>
          <w:lang w:val="fr-CH"/>
        </w:rPr>
        <w:t>'</w:t>
      </w:r>
      <w:r w:rsidR="001A0DFE" w:rsidRPr="00730563">
        <w:rPr>
          <w:lang w:val="fr-CH"/>
        </w:rPr>
        <w:t xml:space="preserve">exploitation spatiale dans </w:t>
      </w:r>
      <w:r w:rsidR="001A0DFE">
        <w:rPr>
          <w:color w:val="000000"/>
        </w:rPr>
        <w:t>les gammes de fréquences</w:t>
      </w:r>
      <w:r w:rsidR="003228B3">
        <w:rPr>
          <w:lang w:val="fr-CH"/>
        </w:rPr>
        <w:t xml:space="preserve"> </w:t>
      </w:r>
      <w:r w:rsidR="001A0DFE" w:rsidRPr="00730563">
        <w:rPr>
          <w:lang w:val="fr-CH"/>
        </w:rPr>
        <w:t>137-174</w:t>
      </w:r>
      <w:r w:rsidR="003228B3">
        <w:rPr>
          <w:lang w:val="fr-CH"/>
        </w:rPr>
        <w:t xml:space="preserve"> </w:t>
      </w:r>
      <w:r w:rsidR="001A0DFE" w:rsidRPr="00730563">
        <w:rPr>
          <w:lang w:val="fr-CH"/>
        </w:rPr>
        <w:t xml:space="preserve">et </w:t>
      </w:r>
      <w:r w:rsidR="005D2784" w:rsidRPr="00730563">
        <w:rPr>
          <w:lang w:val="fr-CH"/>
        </w:rPr>
        <w:t>230-470 MHz</w:t>
      </w:r>
      <w:r w:rsidR="001A0DFE" w:rsidRPr="00730563">
        <w:rPr>
          <w:lang w:val="fr-CH"/>
        </w:rPr>
        <w:t xml:space="preserve"> </w:t>
      </w:r>
      <w:r w:rsidR="005D2784" w:rsidRPr="00730563">
        <w:rPr>
          <w:lang w:val="fr-CH"/>
        </w:rPr>
        <w:t>pour</w:t>
      </w:r>
      <w:r w:rsidR="005D2784">
        <w:rPr>
          <w:color w:val="000000"/>
        </w:rPr>
        <w:t xml:space="preserve"> </w:t>
      </w:r>
      <w:r w:rsidR="00D83362">
        <w:rPr>
          <w:color w:val="000000"/>
        </w:rPr>
        <w:t xml:space="preserve">tenir compte </w:t>
      </w:r>
      <w:r>
        <w:rPr>
          <w:color w:val="000000"/>
        </w:rPr>
        <w:br/>
      </w:r>
      <w:r w:rsidR="00D83362">
        <w:rPr>
          <w:color w:val="000000"/>
        </w:rPr>
        <w:t>du</w:t>
      </w:r>
      <w:r w:rsidR="005D2784">
        <w:rPr>
          <w:color w:val="000000"/>
        </w:rPr>
        <w:t xml:space="preserve"> nombre croissant</w:t>
      </w:r>
      <w:r w:rsidR="003228B3">
        <w:rPr>
          <w:color w:val="000000"/>
        </w:rPr>
        <w:t xml:space="preserve"> </w:t>
      </w:r>
      <w:r w:rsidR="001A0DFE">
        <w:rPr>
          <w:color w:val="000000"/>
        </w:rPr>
        <w:t>de petits satellites non géostationnaires</w:t>
      </w:r>
      <w:r w:rsidR="003228B3">
        <w:rPr>
          <w:lang w:val="fr-CH"/>
        </w:rPr>
        <w:t xml:space="preserve"> </w:t>
      </w:r>
    </w:p>
    <w:p w:rsidR="00143628" w:rsidRPr="00730563" w:rsidRDefault="001261B0" w:rsidP="00425FA3">
      <w:pPr>
        <w:pStyle w:val="Normalaftertitle"/>
        <w:rPr>
          <w:lang w:val="fr-CH"/>
        </w:rPr>
      </w:pPr>
      <w:r w:rsidRPr="00730563">
        <w:rPr>
          <w:lang w:val="fr-CH"/>
        </w:rPr>
        <w:t xml:space="preserve">La Conférence mondiale des radiocommunications </w:t>
      </w:r>
      <w:r w:rsidR="00143628" w:rsidRPr="00730563">
        <w:rPr>
          <w:lang w:val="fr-CH"/>
        </w:rPr>
        <w:t>(</w:t>
      </w:r>
      <w:r w:rsidRPr="00730563">
        <w:rPr>
          <w:lang w:val="fr-CH"/>
        </w:rPr>
        <w:t>Genève</w:t>
      </w:r>
      <w:r w:rsidR="003228B3">
        <w:rPr>
          <w:lang w:val="fr-CH"/>
        </w:rPr>
        <w:t>,</w:t>
      </w:r>
      <w:r w:rsidR="00143628" w:rsidRPr="00730563">
        <w:rPr>
          <w:lang w:val="fr-CH"/>
        </w:rPr>
        <w:t xml:space="preserve"> 2015),</w:t>
      </w:r>
    </w:p>
    <w:p w:rsidR="00143628" w:rsidRDefault="00143628" w:rsidP="00425FA3">
      <w:pPr>
        <w:pStyle w:val="Call"/>
      </w:pPr>
      <w:r>
        <w:t>reco</w:t>
      </w:r>
      <w:r w:rsidR="005D2784">
        <w:t>nnaissant</w:t>
      </w:r>
    </w:p>
    <w:p w:rsidR="00143628" w:rsidRPr="00C94704" w:rsidRDefault="00143628" w:rsidP="004E10E0">
      <w:r w:rsidRPr="004E10E0">
        <w:rPr>
          <w:i/>
          <w:iCs/>
        </w:rPr>
        <w:t>a)</w:t>
      </w:r>
      <w:r w:rsidRPr="00C94704">
        <w:tab/>
      </w:r>
      <w:r>
        <w:rPr>
          <w:rFonts w:cstheme="minorBidi"/>
          <w:szCs w:val="24"/>
        </w:rPr>
        <w:t xml:space="preserve">que les satellites de petite taille </w:t>
      </w:r>
      <w:r w:rsidR="001A0DFE">
        <w:rPr>
          <w:rFonts w:cstheme="minorBidi"/>
          <w:szCs w:val="24"/>
        </w:rPr>
        <w:t>(en particulier, ceux dont la masse est</w:t>
      </w:r>
      <w:r w:rsidR="003228B3">
        <w:rPr>
          <w:rFonts w:cstheme="minorBidi"/>
          <w:szCs w:val="24"/>
        </w:rPr>
        <w:t xml:space="preserve"> </w:t>
      </w:r>
      <w:r w:rsidR="001A0DFE">
        <w:rPr>
          <w:rFonts w:cstheme="minorBidi"/>
          <w:szCs w:val="24"/>
        </w:rPr>
        <w:t>généralement inférieure à 100 kg</w:t>
      </w:r>
      <w:r w:rsidR="00D83362">
        <w:rPr>
          <w:rFonts w:cstheme="minorBidi"/>
          <w:szCs w:val="24"/>
        </w:rPr>
        <w:t xml:space="preserve">) </w:t>
      </w:r>
      <w:r w:rsidR="004E10E0">
        <w:rPr>
          <w:rFonts w:cstheme="minorBidi"/>
          <w:szCs w:val="24"/>
        </w:rPr>
        <w:t xml:space="preserve">déjà lancés ou </w:t>
      </w:r>
      <w:r w:rsidR="00D83362">
        <w:rPr>
          <w:rFonts w:cstheme="minorBidi"/>
          <w:szCs w:val="24"/>
        </w:rPr>
        <w:t>dont</w:t>
      </w:r>
      <w:r>
        <w:rPr>
          <w:rFonts w:cstheme="minorBidi"/>
          <w:szCs w:val="24"/>
        </w:rPr>
        <w:t xml:space="preserve"> le lancement </w:t>
      </w:r>
      <w:r w:rsidR="00D83362">
        <w:rPr>
          <w:rFonts w:cstheme="minorBidi"/>
          <w:szCs w:val="24"/>
        </w:rPr>
        <w:t xml:space="preserve">est programmé </w:t>
      </w:r>
      <w:r w:rsidR="001A0DFE">
        <w:rPr>
          <w:rFonts w:cstheme="minorBidi"/>
          <w:szCs w:val="24"/>
        </w:rPr>
        <w:t>sur l</w:t>
      </w:r>
      <w:r w:rsidR="00B979D7">
        <w:rPr>
          <w:rFonts w:cstheme="minorBidi"/>
          <w:szCs w:val="24"/>
        </w:rPr>
        <w:t>'</w:t>
      </w:r>
      <w:r w:rsidR="001A0DFE">
        <w:rPr>
          <w:rFonts w:cstheme="minorBidi"/>
          <w:szCs w:val="24"/>
        </w:rPr>
        <w:t>orbite des satellites non géostationnaires</w:t>
      </w:r>
      <w:r w:rsidR="003228B3">
        <w:rPr>
          <w:rFonts w:cstheme="minorBidi"/>
          <w:szCs w:val="24"/>
        </w:rPr>
        <w:t xml:space="preserve"> </w:t>
      </w:r>
      <w:r w:rsidR="004E10E0">
        <w:rPr>
          <w:rFonts w:cstheme="minorBidi"/>
          <w:szCs w:val="24"/>
        </w:rPr>
        <w:t xml:space="preserve">sont </w:t>
      </w:r>
      <w:r>
        <w:rPr>
          <w:rFonts w:cstheme="minorBidi"/>
          <w:szCs w:val="24"/>
        </w:rPr>
        <w:t>de plus en plus nombreux;</w:t>
      </w:r>
    </w:p>
    <w:p w:rsidR="00143628" w:rsidRPr="00C94704" w:rsidRDefault="00143628" w:rsidP="00D83362">
      <w:r w:rsidRPr="004E10E0">
        <w:rPr>
          <w:i/>
          <w:iCs/>
        </w:rPr>
        <w:t>b)</w:t>
      </w:r>
      <w:r w:rsidRPr="00C94704">
        <w:tab/>
        <w:t xml:space="preserve">que </w:t>
      </w:r>
      <w:r w:rsidR="001A0DFE">
        <w:t xml:space="preserve">les </w:t>
      </w:r>
      <w:r w:rsidRPr="00C94704">
        <w:t xml:space="preserve">satellites </w:t>
      </w:r>
      <w:r w:rsidR="001A0DFE">
        <w:t xml:space="preserve">de </w:t>
      </w:r>
      <w:r w:rsidR="001A0DFE" w:rsidRPr="00C94704">
        <w:t>ce</w:t>
      </w:r>
      <w:r w:rsidR="001A0DFE">
        <w:t xml:space="preserve"> </w:t>
      </w:r>
      <w:r w:rsidR="00D83362">
        <w:t>type</w:t>
      </w:r>
      <w:r w:rsidR="001A0DFE" w:rsidRPr="00C94704">
        <w:t xml:space="preserve"> </w:t>
      </w:r>
      <w:r w:rsidRPr="00C94704">
        <w:t>offrent aux no</w:t>
      </w:r>
      <w:r w:rsidR="00D83362">
        <w:t>uveaux venus dans le secteur spatial</w:t>
      </w:r>
      <w:r w:rsidRPr="00C94704">
        <w:t xml:space="preserve"> un moyen</w:t>
      </w:r>
      <w:r w:rsidR="003228B3">
        <w:t xml:space="preserve"> </w:t>
      </w:r>
      <w:r w:rsidR="005C5ECB">
        <w:t xml:space="preserve">financièrement abordable </w:t>
      </w:r>
      <w:r w:rsidRPr="00C94704">
        <w:t>d</w:t>
      </w:r>
      <w:r>
        <w:t>'</w:t>
      </w:r>
      <w:r w:rsidRPr="00C94704">
        <w:t>accéder aux ressources orbitales (spectre et orbite</w:t>
      </w:r>
      <w:r w:rsidR="005C5ECB">
        <w:t>s</w:t>
      </w:r>
      <w:r w:rsidRPr="00C94704">
        <w:t>)</w:t>
      </w:r>
      <w:r w:rsidR="003228B3">
        <w:t>;</w:t>
      </w:r>
    </w:p>
    <w:p w:rsidR="00143628" w:rsidRPr="00C94704" w:rsidRDefault="00143628" w:rsidP="00425FA3">
      <w:r w:rsidRPr="004E10E0">
        <w:rPr>
          <w:i/>
          <w:iCs/>
        </w:rPr>
        <w:t>c)</w:t>
      </w:r>
      <w:r w:rsidRPr="00C94704">
        <w:tab/>
        <w:t>que, même si la masse et la taille des satellites</w:t>
      </w:r>
      <w:r w:rsidR="003228B3">
        <w:t xml:space="preserve"> </w:t>
      </w:r>
      <w:r w:rsidR="005C5ECB">
        <w:t>n</w:t>
      </w:r>
      <w:r w:rsidR="00B979D7">
        <w:t>'</w:t>
      </w:r>
      <w:r w:rsidR="005C5ECB">
        <w:t>entrent pas en ligne de compte</w:t>
      </w:r>
      <w:r w:rsidR="003228B3">
        <w:t xml:space="preserve"> </w:t>
      </w:r>
      <w:r w:rsidRPr="00C94704">
        <w:t>du point de vue de la gestion des fréquences, la faible masse et les petites dimensions de ces satellites</w:t>
      </w:r>
      <w:r w:rsidR="00D83362">
        <w:t xml:space="preserve"> ont été des facteurs </w:t>
      </w:r>
      <w:r w:rsidR="005C5ECB">
        <w:t>déterminant</w:t>
      </w:r>
      <w:r w:rsidR="00D83362">
        <w:t>s</w:t>
      </w:r>
      <w:r w:rsidR="005C5ECB">
        <w:t xml:space="preserve"> de </w:t>
      </w:r>
      <w:r w:rsidRPr="00C94704">
        <w:t xml:space="preserve">leur succès </w:t>
      </w:r>
      <w:r>
        <w:t>dans de nombreux pays</w:t>
      </w:r>
      <w:r w:rsidR="005C5ECB" w:rsidRPr="005C5ECB">
        <w:t xml:space="preserve"> menant des activités spatiales</w:t>
      </w:r>
      <w:r w:rsidR="00D83362">
        <w:t>;</w:t>
      </w:r>
    </w:p>
    <w:p w:rsidR="0034440C" w:rsidRPr="00730563" w:rsidRDefault="00143628" w:rsidP="00425FA3">
      <w:pPr>
        <w:rPr>
          <w:lang w:val="fr-CH"/>
        </w:rPr>
      </w:pPr>
      <w:r w:rsidRPr="004E10E0">
        <w:rPr>
          <w:i/>
          <w:iCs/>
          <w:lang w:val="fr-CH"/>
        </w:rPr>
        <w:t>d)</w:t>
      </w:r>
      <w:r w:rsidRPr="00730563">
        <w:rPr>
          <w:lang w:val="fr-CH"/>
        </w:rPr>
        <w:tab/>
      </w:r>
      <w:r w:rsidR="005C5ECB" w:rsidRPr="00730563">
        <w:rPr>
          <w:lang w:val="fr-CH"/>
        </w:rPr>
        <w:t>que, quel</w:t>
      </w:r>
      <w:r w:rsidR="005D2784" w:rsidRPr="00730563">
        <w:rPr>
          <w:lang w:val="fr-CH"/>
        </w:rPr>
        <w:t>le</w:t>
      </w:r>
      <w:r w:rsidR="005C5ECB" w:rsidRPr="00730563">
        <w:rPr>
          <w:lang w:val="fr-CH"/>
        </w:rPr>
        <w:t xml:space="preserve"> que soit l</w:t>
      </w:r>
      <w:r w:rsidR="00B979D7">
        <w:rPr>
          <w:lang w:val="fr-CH"/>
        </w:rPr>
        <w:t>'</w:t>
      </w:r>
      <w:r w:rsidR="005C5ECB" w:rsidRPr="00730563">
        <w:rPr>
          <w:lang w:val="fr-CH"/>
        </w:rPr>
        <w:t>application</w:t>
      </w:r>
      <w:r w:rsidR="00D83362">
        <w:rPr>
          <w:lang w:val="fr-CH"/>
        </w:rPr>
        <w:t xml:space="preserve"> considérée</w:t>
      </w:r>
      <w:r w:rsidR="005C5ECB" w:rsidRPr="00730563">
        <w:rPr>
          <w:lang w:val="fr-CH"/>
        </w:rPr>
        <w:t>, ces satellites ont tous besoin de moyens leur permettant d</w:t>
      </w:r>
      <w:r w:rsidR="00B979D7">
        <w:rPr>
          <w:lang w:val="fr-CH"/>
        </w:rPr>
        <w:t>'</w:t>
      </w:r>
      <w:r w:rsidR="005C5ECB" w:rsidRPr="00730563">
        <w:rPr>
          <w:lang w:val="fr-CH"/>
        </w:rPr>
        <w:t xml:space="preserve">assurer des </w:t>
      </w:r>
      <w:r w:rsidR="005C5ECB">
        <w:rPr>
          <w:color w:val="000000"/>
        </w:rPr>
        <w:t xml:space="preserve">fonctions de télémesure, de poursuite et de </w:t>
      </w:r>
      <w:r w:rsidR="00D83362">
        <w:rPr>
          <w:color w:val="000000"/>
        </w:rPr>
        <w:t>télé</w:t>
      </w:r>
      <w:r w:rsidR="005C5ECB">
        <w:rPr>
          <w:color w:val="000000"/>
        </w:rPr>
        <w:t>commande</w:t>
      </w:r>
      <w:r w:rsidR="003228B3">
        <w:rPr>
          <w:lang w:val="fr-CH"/>
        </w:rPr>
        <w:t>;</w:t>
      </w:r>
    </w:p>
    <w:p w:rsidR="00143628" w:rsidRPr="00143628" w:rsidRDefault="00143628" w:rsidP="00425FA3">
      <w:r w:rsidRPr="004E10E0">
        <w:rPr>
          <w:i/>
          <w:iCs/>
          <w:lang w:val="fr-CH"/>
        </w:rPr>
        <w:t>e)</w:t>
      </w:r>
      <w:r w:rsidRPr="00143628">
        <w:rPr>
          <w:lang w:val="fr-CH"/>
        </w:rPr>
        <w:tab/>
      </w:r>
      <w:r w:rsidR="005C5ECB">
        <w:rPr>
          <w:lang w:val="fr-CH"/>
        </w:rPr>
        <w:t>que le service d</w:t>
      </w:r>
      <w:r w:rsidR="00B979D7">
        <w:rPr>
          <w:lang w:val="fr-CH"/>
        </w:rPr>
        <w:t>'</w:t>
      </w:r>
      <w:r w:rsidR="005C5ECB">
        <w:rPr>
          <w:lang w:val="fr-CH"/>
        </w:rPr>
        <w:t>exploitation spatiale</w:t>
      </w:r>
      <w:r w:rsidR="003228B3">
        <w:rPr>
          <w:lang w:val="fr-CH"/>
        </w:rPr>
        <w:t xml:space="preserve"> </w:t>
      </w:r>
      <w:r w:rsidR="005C5ECB">
        <w:rPr>
          <w:color w:val="000000"/>
        </w:rPr>
        <w:t>est défini</w:t>
      </w:r>
      <w:r w:rsidR="003228B3">
        <w:rPr>
          <w:color w:val="000000"/>
        </w:rPr>
        <w:t xml:space="preserve"> </w:t>
      </w:r>
      <w:r w:rsidR="005C5ECB">
        <w:rPr>
          <w:color w:val="000000"/>
        </w:rPr>
        <w:t>dans le Règlement des radiocommunications comme étant un</w:t>
      </w:r>
      <w:r w:rsidR="003228B3">
        <w:rPr>
          <w:color w:val="000000"/>
        </w:rPr>
        <w:t xml:space="preserve"> </w:t>
      </w:r>
      <w:r w:rsidR="00D83362">
        <w:rPr>
          <w:color w:val="000000"/>
        </w:rPr>
        <w:t>«</w:t>
      </w:r>
      <w:r w:rsidR="005C5ECB">
        <w:t>s</w:t>
      </w:r>
      <w:r w:rsidRPr="00143628">
        <w:t xml:space="preserve">ervice de radiocommunication destiné exclusivement à l'exploitation des engins spatiaux, en particulier la poursuite spatiale, la télémesure spatiale et la télécommande </w:t>
      </w:r>
      <w:r w:rsidR="00D83362" w:rsidRPr="00143628">
        <w:t>spatiale</w:t>
      </w:r>
      <w:r w:rsidR="00D83362">
        <w:t>»,</w:t>
      </w:r>
    </w:p>
    <w:p w:rsidR="00143628" w:rsidRPr="00B979D7" w:rsidRDefault="00071B1B" w:rsidP="00425FA3">
      <w:pPr>
        <w:pStyle w:val="Call"/>
        <w:rPr>
          <w:lang w:val="fr-CH"/>
        </w:rPr>
      </w:pPr>
      <w:r w:rsidRPr="00B979D7">
        <w:rPr>
          <w:lang w:val="fr-CH"/>
        </w:rPr>
        <w:t>considérant</w:t>
      </w:r>
    </w:p>
    <w:p w:rsidR="00143628" w:rsidRPr="000D75A3" w:rsidRDefault="000D75A3" w:rsidP="000D75A3">
      <w:r w:rsidRPr="004E10E0">
        <w:rPr>
          <w:i/>
          <w:iCs/>
          <w:lang w:val="fr-CH"/>
        </w:rPr>
        <w:t>a)</w:t>
      </w:r>
      <w:r>
        <w:rPr>
          <w:lang w:val="fr-CH"/>
        </w:rPr>
        <w:tab/>
      </w:r>
      <w:r w:rsidR="005D2784" w:rsidRPr="00730563">
        <w:rPr>
          <w:lang w:val="fr-CH"/>
        </w:rPr>
        <w:t>que les petits satellites, y compris ceux désignés sous l</w:t>
      </w:r>
      <w:r w:rsidR="00B979D7">
        <w:rPr>
          <w:lang w:val="fr-CH"/>
        </w:rPr>
        <w:t>'</w:t>
      </w:r>
      <w:r w:rsidR="005D2784" w:rsidRPr="00730563">
        <w:rPr>
          <w:lang w:val="fr-CH"/>
        </w:rPr>
        <w:t xml:space="preserve">appellation de </w:t>
      </w:r>
      <w:r w:rsidR="005C5ECB" w:rsidRPr="005D2784">
        <w:t xml:space="preserve">nanosatellites et </w:t>
      </w:r>
      <w:r w:rsidR="005D2784" w:rsidRPr="005D2784">
        <w:t xml:space="preserve">de </w:t>
      </w:r>
      <w:r w:rsidR="005C5ECB" w:rsidRPr="005D2784">
        <w:t>picosatellites</w:t>
      </w:r>
      <w:r w:rsidR="005D2784" w:rsidRPr="005D2784">
        <w:t>,</w:t>
      </w:r>
      <w:r w:rsidR="005C5ECB" w:rsidRPr="005D2784">
        <w:t xml:space="preserve"> sont actuellement utilisés pour des missions et des applications très diverses, notamment la télédétection, la recherche météorologique spatiale, la recherche sur la haute atmosphère, l'astronomie, les communications, les démonstrations de technologies, des applications éducatives et des applications commerciales;</w:t>
      </w:r>
    </w:p>
    <w:p w:rsidR="00143628" w:rsidRPr="00730563" w:rsidRDefault="00143628" w:rsidP="00425FA3">
      <w:pPr>
        <w:rPr>
          <w:lang w:val="fr-CH"/>
        </w:rPr>
      </w:pPr>
      <w:r w:rsidRPr="004E10E0">
        <w:rPr>
          <w:i/>
          <w:iCs/>
          <w:lang w:val="fr-CH"/>
        </w:rPr>
        <w:t>b)</w:t>
      </w:r>
      <w:r w:rsidRPr="00730563">
        <w:rPr>
          <w:lang w:val="fr-CH"/>
        </w:rPr>
        <w:tab/>
      </w:r>
      <w:r w:rsidR="005D2784" w:rsidRPr="00730563">
        <w:rPr>
          <w:lang w:val="fr-CH"/>
        </w:rPr>
        <w:t>que, quelle que soit l</w:t>
      </w:r>
      <w:r w:rsidR="00B979D7">
        <w:rPr>
          <w:lang w:val="fr-CH"/>
        </w:rPr>
        <w:t>'</w:t>
      </w:r>
      <w:r w:rsidR="005D2784" w:rsidRPr="00730563">
        <w:rPr>
          <w:lang w:val="fr-CH"/>
        </w:rPr>
        <w:t>application</w:t>
      </w:r>
      <w:r w:rsidR="000D75A3">
        <w:rPr>
          <w:lang w:val="fr-CH"/>
        </w:rPr>
        <w:t xml:space="preserve"> considérée</w:t>
      </w:r>
      <w:r w:rsidR="005D2784" w:rsidRPr="00730563">
        <w:rPr>
          <w:lang w:val="fr-CH"/>
        </w:rPr>
        <w:t>, ces satellites ont tous besoin de moyens leur permettant d</w:t>
      </w:r>
      <w:r w:rsidR="00B979D7">
        <w:rPr>
          <w:lang w:val="fr-CH"/>
        </w:rPr>
        <w:t>'</w:t>
      </w:r>
      <w:r w:rsidR="005D2784" w:rsidRPr="00730563">
        <w:rPr>
          <w:lang w:val="fr-CH"/>
        </w:rPr>
        <w:t xml:space="preserve">assurer des </w:t>
      </w:r>
      <w:r w:rsidR="005D2784">
        <w:rPr>
          <w:color w:val="000000"/>
        </w:rPr>
        <w:t xml:space="preserve">fonctions de télémesure, de poursuite et de </w:t>
      </w:r>
      <w:r w:rsidR="004E10E0">
        <w:rPr>
          <w:color w:val="000000"/>
        </w:rPr>
        <w:t>télé</w:t>
      </w:r>
      <w:r w:rsidR="005D2784">
        <w:rPr>
          <w:color w:val="000000"/>
        </w:rPr>
        <w:t>commande</w:t>
      </w:r>
      <w:r w:rsidR="003228B3">
        <w:rPr>
          <w:lang w:val="fr-CH"/>
        </w:rPr>
        <w:t>;</w:t>
      </w:r>
    </w:p>
    <w:p w:rsidR="00143628" w:rsidRPr="00730563" w:rsidRDefault="00143628" w:rsidP="00425FA3">
      <w:pPr>
        <w:rPr>
          <w:lang w:val="fr-CH"/>
        </w:rPr>
      </w:pPr>
      <w:r w:rsidRPr="004E10E0">
        <w:rPr>
          <w:i/>
          <w:iCs/>
          <w:lang w:val="fr-CH"/>
        </w:rPr>
        <w:t>c)</w:t>
      </w:r>
      <w:r w:rsidRPr="00730563">
        <w:rPr>
          <w:lang w:val="fr-CH"/>
        </w:rPr>
        <w:tab/>
      </w:r>
      <w:r w:rsidR="005D2784" w:rsidRPr="00730563">
        <w:rPr>
          <w:lang w:val="fr-CH"/>
        </w:rPr>
        <w:t>que le nombre croissant de ces satellites rend plus impérieuse la nécessité de trouver des attributions appropriées pour le service d</w:t>
      </w:r>
      <w:r w:rsidR="00B979D7">
        <w:rPr>
          <w:lang w:val="fr-CH"/>
        </w:rPr>
        <w:t>'</w:t>
      </w:r>
      <w:r w:rsidR="005D2784" w:rsidRPr="00730563">
        <w:rPr>
          <w:lang w:val="fr-CH"/>
        </w:rPr>
        <w:t>exploitation spatiale</w:t>
      </w:r>
      <w:r w:rsidR="003228B3">
        <w:rPr>
          <w:lang w:val="fr-CH"/>
        </w:rPr>
        <w:t>;</w:t>
      </w:r>
    </w:p>
    <w:p w:rsidR="00143628" w:rsidRPr="00730563" w:rsidRDefault="00143628" w:rsidP="00425FA3">
      <w:pPr>
        <w:rPr>
          <w:lang w:val="fr-CH"/>
        </w:rPr>
      </w:pPr>
      <w:r w:rsidRPr="004E10E0">
        <w:rPr>
          <w:i/>
          <w:iCs/>
          <w:lang w:val="fr-CH"/>
        </w:rPr>
        <w:t>d)</w:t>
      </w:r>
      <w:r w:rsidRPr="00730563">
        <w:rPr>
          <w:lang w:val="fr-CH"/>
        </w:rPr>
        <w:tab/>
      </w:r>
      <w:r w:rsidR="005D2784" w:rsidRPr="00730563">
        <w:rPr>
          <w:lang w:val="fr-CH"/>
        </w:rPr>
        <w:t>qu</w:t>
      </w:r>
      <w:r w:rsidR="00B979D7">
        <w:rPr>
          <w:lang w:val="fr-CH"/>
        </w:rPr>
        <w:t>'</w:t>
      </w:r>
      <w:r w:rsidR="005D2784" w:rsidRPr="00730563">
        <w:rPr>
          <w:lang w:val="fr-CH"/>
        </w:rPr>
        <w:t xml:space="preserve">il est important de veiller </w:t>
      </w:r>
      <w:r w:rsidR="005D2784">
        <w:rPr>
          <w:color w:val="000000"/>
        </w:rPr>
        <w:t>à ce que l'utilisation des fréquences radioélectriques par des satellites quels qu'ils soient</w:t>
      </w:r>
      <w:r w:rsidR="003228B3">
        <w:rPr>
          <w:color w:val="000000"/>
        </w:rPr>
        <w:t xml:space="preserve"> </w:t>
      </w:r>
      <w:r w:rsidR="005D2784">
        <w:rPr>
          <w:color w:val="000000"/>
        </w:rPr>
        <w:t>ne cause pas de brouillages préjudiciables aux autres systèmes et services</w:t>
      </w:r>
      <w:r w:rsidRPr="00730563">
        <w:rPr>
          <w:lang w:val="fr-CH"/>
        </w:rPr>
        <w:t>,</w:t>
      </w:r>
    </w:p>
    <w:p w:rsidR="00143628" w:rsidRPr="00730563" w:rsidRDefault="00071B1B" w:rsidP="00425FA3">
      <w:pPr>
        <w:pStyle w:val="Call"/>
        <w:rPr>
          <w:lang w:val="fr-CH"/>
        </w:rPr>
      </w:pPr>
      <w:r w:rsidRPr="00730563">
        <w:rPr>
          <w:lang w:val="fr-CH"/>
        </w:rPr>
        <w:t xml:space="preserve">considérant </w:t>
      </w:r>
      <w:r w:rsidR="00471157" w:rsidRPr="00730563">
        <w:rPr>
          <w:lang w:val="fr-CH"/>
        </w:rPr>
        <w:t>en outre</w:t>
      </w:r>
    </w:p>
    <w:p w:rsidR="00143628" w:rsidRPr="00730563" w:rsidRDefault="00143628" w:rsidP="000D75A3">
      <w:pPr>
        <w:rPr>
          <w:lang w:val="fr-CH"/>
        </w:rPr>
      </w:pPr>
      <w:r w:rsidRPr="004E10E0">
        <w:rPr>
          <w:i/>
          <w:iCs/>
          <w:lang w:val="fr-CH"/>
        </w:rPr>
        <w:t>a)</w:t>
      </w:r>
      <w:r w:rsidRPr="00730563">
        <w:rPr>
          <w:lang w:val="fr-CH"/>
        </w:rPr>
        <w:tab/>
      </w:r>
      <w:r w:rsidR="00471157">
        <w:rPr>
          <w:color w:val="000000"/>
        </w:rPr>
        <w:t>que, pour que la mise au point et l'exploitation des</w:t>
      </w:r>
      <w:r w:rsidR="003228B3">
        <w:rPr>
          <w:color w:val="000000"/>
        </w:rPr>
        <w:t xml:space="preserve"> </w:t>
      </w:r>
      <w:r w:rsidR="00471157">
        <w:rPr>
          <w:color w:val="000000"/>
        </w:rPr>
        <w:t>petits satellites</w:t>
      </w:r>
      <w:r w:rsidR="003228B3">
        <w:rPr>
          <w:color w:val="000000"/>
        </w:rPr>
        <w:t xml:space="preserve"> </w:t>
      </w:r>
      <w:r w:rsidR="00471157">
        <w:rPr>
          <w:color w:val="000000"/>
        </w:rPr>
        <w:t>se déroulent de manière satisfaisante et dans les délais voulus, il faudra peut-être apporter des modifications au Tableau d</w:t>
      </w:r>
      <w:r w:rsidR="00B979D7">
        <w:rPr>
          <w:color w:val="000000"/>
        </w:rPr>
        <w:t>'</w:t>
      </w:r>
      <w:r w:rsidR="00471157">
        <w:rPr>
          <w:color w:val="000000"/>
        </w:rPr>
        <w:t xml:space="preserve">attribution des bandes de fréquences pour </w:t>
      </w:r>
      <w:r w:rsidR="000D75A3">
        <w:rPr>
          <w:color w:val="000000"/>
        </w:rPr>
        <w:t>tenir compte de</w:t>
      </w:r>
      <w:r w:rsidR="00471157">
        <w:rPr>
          <w:color w:val="000000"/>
        </w:rPr>
        <w:t xml:space="preserve"> l</w:t>
      </w:r>
      <w:r w:rsidR="00B979D7">
        <w:rPr>
          <w:color w:val="000000"/>
        </w:rPr>
        <w:t>'</w:t>
      </w:r>
      <w:r w:rsidR="00471157">
        <w:rPr>
          <w:color w:val="000000"/>
        </w:rPr>
        <w:t>augmentation don</w:t>
      </w:r>
      <w:r w:rsidR="000D75A3">
        <w:rPr>
          <w:color w:val="000000"/>
        </w:rPr>
        <w:t xml:space="preserve">t il est fait mention au point </w:t>
      </w:r>
      <w:r w:rsidR="00471157" w:rsidRPr="004E10E0">
        <w:rPr>
          <w:i/>
          <w:iCs/>
          <w:color w:val="000000"/>
        </w:rPr>
        <w:t>a</w:t>
      </w:r>
      <w:r w:rsidR="00BF2826" w:rsidRPr="004E10E0">
        <w:rPr>
          <w:i/>
          <w:iCs/>
          <w:color w:val="000000"/>
        </w:rPr>
        <w:t>)</w:t>
      </w:r>
      <w:r w:rsidR="000D75A3">
        <w:rPr>
          <w:color w:val="000000"/>
        </w:rPr>
        <w:t xml:space="preserve"> </w:t>
      </w:r>
      <w:r w:rsidR="00471157">
        <w:rPr>
          <w:color w:val="000000"/>
        </w:rPr>
        <w:t xml:space="preserve">du </w:t>
      </w:r>
      <w:r w:rsidR="00471157" w:rsidRPr="004E10E0">
        <w:rPr>
          <w:i/>
          <w:iCs/>
          <w:color w:val="000000"/>
        </w:rPr>
        <w:t>reconnaissant</w:t>
      </w:r>
      <w:r w:rsidR="0030395A">
        <w:rPr>
          <w:color w:val="000000"/>
        </w:rPr>
        <w:t>;</w:t>
      </w:r>
    </w:p>
    <w:p w:rsidR="00143628" w:rsidRPr="00730563" w:rsidRDefault="00143628" w:rsidP="00425FA3">
      <w:pPr>
        <w:rPr>
          <w:lang w:val="fr-CH"/>
        </w:rPr>
      </w:pPr>
      <w:r w:rsidRPr="004E10E0">
        <w:rPr>
          <w:i/>
          <w:iCs/>
          <w:lang w:val="fr-CH"/>
        </w:rPr>
        <w:lastRenderedPageBreak/>
        <w:t>b)</w:t>
      </w:r>
      <w:r w:rsidRPr="00730563">
        <w:rPr>
          <w:lang w:val="fr-CH"/>
        </w:rPr>
        <w:tab/>
      </w:r>
      <w:r w:rsidR="00471157" w:rsidRPr="00730563">
        <w:rPr>
          <w:lang w:val="fr-CH"/>
        </w:rPr>
        <w:t>que, pour protéger les utilisateurs existants, il faudra peut-être fixer des limites appropriées telles que des limites de puissance surfacique</w:t>
      </w:r>
      <w:r w:rsidR="003228B3">
        <w:rPr>
          <w:lang w:val="fr-CH"/>
        </w:rPr>
        <w:t>;</w:t>
      </w:r>
    </w:p>
    <w:p w:rsidR="00143628" w:rsidRPr="00730563" w:rsidRDefault="00143628" w:rsidP="00425FA3">
      <w:pPr>
        <w:tabs>
          <w:tab w:val="left" w:pos="4820"/>
        </w:tabs>
        <w:rPr>
          <w:lang w:val="fr-CH"/>
        </w:rPr>
      </w:pPr>
      <w:r w:rsidRPr="004E10E0">
        <w:rPr>
          <w:i/>
          <w:iCs/>
          <w:lang w:val="fr-CH"/>
        </w:rPr>
        <w:t>c)</w:t>
      </w:r>
      <w:r w:rsidRPr="00730563">
        <w:rPr>
          <w:lang w:val="fr-CH"/>
        </w:rPr>
        <w:tab/>
      </w:r>
      <w:r w:rsidR="00471157" w:rsidRPr="00730563">
        <w:rPr>
          <w:lang w:val="fr-CH"/>
        </w:rPr>
        <w:t>que les fréquences à utiliser de préférence du point de vue technique sont comprises entre</w:t>
      </w:r>
      <w:r w:rsidR="003228B3">
        <w:rPr>
          <w:lang w:val="fr-CH"/>
        </w:rPr>
        <w:t xml:space="preserve"> </w:t>
      </w:r>
      <w:r w:rsidRPr="00730563">
        <w:rPr>
          <w:lang w:val="fr-CH"/>
        </w:rPr>
        <w:t>137</w:t>
      </w:r>
      <w:r w:rsidR="00471157" w:rsidRPr="00730563">
        <w:rPr>
          <w:lang w:val="fr-CH"/>
        </w:rPr>
        <w:t xml:space="preserve"> et </w:t>
      </w:r>
      <w:r w:rsidRPr="00730563">
        <w:rPr>
          <w:lang w:val="fr-CH"/>
        </w:rPr>
        <w:t>174</w:t>
      </w:r>
      <w:r w:rsidR="003228B3">
        <w:rPr>
          <w:lang w:val="fr-CH"/>
        </w:rPr>
        <w:t xml:space="preserve"> </w:t>
      </w:r>
      <w:r w:rsidR="000D75A3">
        <w:rPr>
          <w:lang w:val="fr-CH"/>
        </w:rPr>
        <w:t xml:space="preserve">MHz </w:t>
      </w:r>
      <w:r w:rsidR="00471157" w:rsidRPr="00730563">
        <w:rPr>
          <w:lang w:val="fr-CH"/>
        </w:rPr>
        <w:t xml:space="preserve">et entre </w:t>
      </w:r>
      <w:r w:rsidRPr="00730563">
        <w:rPr>
          <w:lang w:val="fr-CH"/>
        </w:rPr>
        <w:t>230</w:t>
      </w:r>
      <w:r w:rsidR="00471157" w:rsidRPr="00730563">
        <w:rPr>
          <w:lang w:val="fr-CH"/>
        </w:rPr>
        <w:t xml:space="preserve"> et </w:t>
      </w:r>
      <w:r w:rsidRPr="00730563">
        <w:rPr>
          <w:lang w:val="fr-CH"/>
        </w:rPr>
        <w:t>470 MHz</w:t>
      </w:r>
      <w:r w:rsidR="003228B3">
        <w:rPr>
          <w:lang w:val="fr-CH"/>
        </w:rPr>
        <w:t>;</w:t>
      </w:r>
    </w:p>
    <w:p w:rsidR="00143628" w:rsidRPr="00730563" w:rsidRDefault="00143628" w:rsidP="00425FA3">
      <w:pPr>
        <w:rPr>
          <w:lang w:val="fr-CH"/>
        </w:rPr>
      </w:pPr>
      <w:r w:rsidRPr="004E10E0">
        <w:rPr>
          <w:i/>
          <w:iCs/>
          <w:lang w:val="fr-CH"/>
        </w:rPr>
        <w:t>d)</w:t>
      </w:r>
      <w:r w:rsidRPr="00730563">
        <w:rPr>
          <w:lang w:val="fr-CH"/>
        </w:rPr>
        <w:tab/>
      </w:r>
      <w:r w:rsidR="00471157" w:rsidRPr="00730563">
        <w:rPr>
          <w:lang w:val="fr-CH"/>
        </w:rPr>
        <w:t>que les bandes de fréquences attribuées aux services appropriés devraient être utilisées pour les liaisons de données de la charge utile</w:t>
      </w:r>
      <w:r w:rsidR="003228B3">
        <w:rPr>
          <w:lang w:val="fr-CH"/>
        </w:rPr>
        <w:t>,</w:t>
      </w:r>
    </w:p>
    <w:p w:rsidR="00143628" w:rsidRPr="00730563" w:rsidRDefault="00CC0A6A" w:rsidP="00425FA3">
      <w:pPr>
        <w:pStyle w:val="Call"/>
        <w:rPr>
          <w:lang w:val="fr-CH"/>
        </w:rPr>
      </w:pPr>
      <w:r w:rsidRPr="00730563">
        <w:rPr>
          <w:lang w:val="fr-CH"/>
        </w:rPr>
        <w:t>décide d</w:t>
      </w:r>
      <w:r w:rsidR="00B979D7">
        <w:rPr>
          <w:lang w:val="fr-CH"/>
        </w:rPr>
        <w:t>'</w:t>
      </w:r>
      <w:r w:rsidRPr="00730563">
        <w:rPr>
          <w:lang w:val="fr-CH"/>
        </w:rPr>
        <w:t xml:space="preserve">inviter la </w:t>
      </w:r>
      <w:r w:rsidR="00F50032">
        <w:rPr>
          <w:lang w:val="fr-CH"/>
        </w:rPr>
        <w:t>CMR</w:t>
      </w:r>
      <w:r w:rsidR="000D75A3">
        <w:rPr>
          <w:lang w:val="fr-CH"/>
        </w:rPr>
        <w:t>-19</w:t>
      </w:r>
    </w:p>
    <w:p w:rsidR="00143628" w:rsidRPr="00730563" w:rsidRDefault="00CC0A6A" w:rsidP="00425FA3">
      <w:pPr>
        <w:tabs>
          <w:tab w:val="left" w:pos="4820"/>
        </w:tabs>
        <w:rPr>
          <w:lang w:val="fr-CH"/>
        </w:rPr>
      </w:pPr>
      <w:r w:rsidRPr="00730563">
        <w:rPr>
          <w:lang w:val="fr-CH"/>
        </w:rPr>
        <w:t>à envisager de faire des attributions au service d</w:t>
      </w:r>
      <w:r w:rsidR="00B979D7">
        <w:rPr>
          <w:lang w:val="fr-CH"/>
        </w:rPr>
        <w:t>'</w:t>
      </w:r>
      <w:r w:rsidRPr="00730563">
        <w:rPr>
          <w:lang w:val="fr-CH"/>
        </w:rPr>
        <w:t>exploitation spatiale dans le sens espace vers Terre ainsi que dans le sens Terre vers espace, limitées aux systèmes non géostationnaires, dans les gammes de fréquences</w:t>
      </w:r>
      <w:r w:rsidR="003228B3">
        <w:rPr>
          <w:lang w:val="fr-CH"/>
        </w:rPr>
        <w:t xml:space="preserve"> </w:t>
      </w:r>
      <w:r w:rsidR="00143628" w:rsidRPr="00730563">
        <w:rPr>
          <w:lang w:val="fr-CH"/>
        </w:rPr>
        <w:t xml:space="preserve">137-174 MHz </w:t>
      </w:r>
      <w:r w:rsidRPr="00730563">
        <w:rPr>
          <w:lang w:val="fr-CH"/>
        </w:rPr>
        <w:t xml:space="preserve">et </w:t>
      </w:r>
      <w:r w:rsidR="00143628" w:rsidRPr="00730563">
        <w:rPr>
          <w:lang w:val="fr-CH"/>
        </w:rPr>
        <w:t>230-470 MHz</w:t>
      </w:r>
      <w:r w:rsidRPr="00730563">
        <w:rPr>
          <w:lang w:val="fr-CH"/>
        </w:rPr>
        <w:t>, et de définir des moyens appropriés permettant de protéger les services existants</w:t>
      </w:r>
      <w:r w:rsidR="003228B3">
        <w:rPr>
          <w:lang w:val="fr-CH"/>
        </w:rPr>
        <w:t>,</w:t>
      </w:r>
      <w:r w:rsidRPr="00730563">
        <w:rPr>
          <w:lang w:val="fr-CH"/>
        </w:rPr>
        <w:t xml:space="preserve"> compte tenu des résultats des études visées sous invite</w:t>
      </w:r>
      <w:r w:rsidR="003228B3">
        <w:rPr>
          <w:lang w:val="fr-CH"/>
        </w:rPr>
        <w:t xml:space="preserve"> </w:t>
      </w:r>
      <w:r w:rsidRPr="00730563">
        <w:rPr>
          <w:lang w:val="fr-CH"/>
        </w:rPr>
        <w:t>l</w:t>
      </w:r>
      <w:r w:rsidR="00B979D7">
        <w:rPr>
          <w:lang w:val="fr-CH"/>
        </w:rPr>
        <w:t>'</w:t>
      </w:r>
      <w:r w:rsidRPr="00730563">
        <w:rPr>
          <w:lang w:val="fr-CH"/>
        </w:rPr>
        <w:t>UIT-R</w:t>
      </w:r>
      <w:r w:rsidR="003228B3">
        <w:rPr>
          <w:lang w:val="fr-CH"/>
        </w:rPr>
        <w:t>,</w:t>
      </w:r>
    </w:p>
    <w:p w:rsidR="00143628" w:rsidRPr="00730563" w:rsidRDefault="00143628" w:rsidP="00425FA3">
      <w:pPr>
        <w:pStyle w:val="Call"/>
        <w:rPr>
          <w:lang w:val="fr-CH"/>
        </w:rPr>
      </w:pPr>
      <w:r w:rsidRPr="00730563">
        <w:rPr>
          <w:lang w:val="fr-CH"/>
        </w:rPr>
        <w:t>invite</w:t>
      </w:r>
      <w:r w:rsidR="003228B3">
        <w:rPr>
          <w:lang w:val="fr-CH"/>
        </w:rPr>
        <w:t xml:space="preserve"> </w:t>
      </w:r>
      <w:r w:rsidR="00CC0A6A" w:rsidRPr="00730563">
        <w:rPr>
          <w:lang w:val="fr-CH"/>
        </w:rPr>
        <w:t>l</w:t>
      </w:r>
      <w:r w:rsidR="00B979D7">
        <w:rPr>
          <w:lang w:val="fr-CH"/>
        </w:rPr>
        <w:t>'</w:t>
      </w:r>
      <w:r w:rsidR="002E2C8C" w:rsidRPr="00730563">
        <w:rPr>
          <w:lang w:val="fr-CH"/>
        </w:rPr>
        <w:t>UIT</w:t>
      </w:r>
      <w:r w:rsidR="00BF2826">
        <w:rPr>
          <w:lang w:val="fr-CH"/>
        </w:rPr>
        <w:t>-</w:t>
      </w:r>
      <w:r w:rsidRPr="00730563">
        <w:rPr>
          <w:lang w:val="fr-CH"/>
        </w:rPr>
        <w:t>R</w:t>
      </w:r>
    </w:p>
    <w:p w:rsidR="00143628" w:rsidRPr="00730563" w:rsidRDefault="00143628" w:rsidP="000D75A3">
      <w:pPr>
        <w:rPr>
          <w:lang w:val="fr-CH"/>
        </w:rPr>
      </w:pPr>
      <w:r w:rsidRPr="00730563">
        <w:rPr>
          <w:lang w:val="fr-CH"/>
        </w:rPr>
        <w:t>1</w:t>
      </w:r>
      <w:r w:rsidRPr="00730563">
        <w:rPr>
          <w:lang w:val="fr-CH"/>
        </w:rPr>
        <w:tab/>
      </w:r>
      <w:r w:rsidR="00CC0A6A" w:rsidRPr="00730563">
        <w:rPr>
          <w:lang w:val="fr-CH"/>
        </w:rPr>
        <w:t xml:space="preserve">à étudier les besoins de fréquences et les bandes de fréquences nécessaires pour </w:t>
      </w:r>
      <w:r w:rsidR="000D75A3">
        <w:rPr>
          <w:lang w:val="fr-CH"/>
        </w:rPr>
        <w:t>tenir compte du</w:t>
      </w:r>
      <w:r w:rsidR="00CC0A6A" w:rsidRPr="00730563">
        <w:rPr>
          <w:lang w:val="fr-CH"/>
        </w:rPr>
        <w:t xml:space="preserve"> nombre croissant de petits satellites non géostationnaires</w:t>
      </w:r>
      <w:r w:rsidR="003228B3">
        <w:rPr>
          <w:lang w:val="fr-CH"/>
        </w:rPr>
        <w:t>;</w:t>
      </w:r>
    </w:p>
    <w:p w:rsidR="00143628" w:rsidRPr="00730563" w:rsidRDefault="00143628" w:rsidP="00425FA3">
      <w:pPr>
        <w:rPr>
          <w:lang w:val="fr-CH"/>
        </w:rPr>
      </w:pPr>
      <w:r w:rsidRPr="00730563">
        <w:rPr>
          <w:lang w:val="fr-CH"/>
        </w:rPr>
        <w:t>2</w:t>
      </w:r>
      <w:r w:rsidRPr="00730563">
        <w:rPr>
          <w:lang w:val="fr-CH"/>
        </w:rPr>
        <w:tab/>
      </w:r>
      <w:r w:rsidR="00CC0A6A" w:rsidRPr="00730563">
        <w:rPr>
          <w:lang w:val="fr-CH"/>
        </w:rPr>
        <w:t>à étudier les techniques et les méthodes de partage de fréquence qui convienne</w:t>
      </w:r>
      <w:r w:rsidR="000D75A3">
        <w:rPr>
          <w:lang w:val="fr-CH"/>
        </w:rPr>
        <w:t>nt</w:t>
      </w:r>
      <w:r w:rsidR="00CC0A6A" w:rsidRPr="00730563">
        <w:rPr>
          <w:lang w:val="fr-CH"/>
        </w:rPr>
        <w:t xml:space="preserve"> pour les petits satellites non géostationnaires</w:t>
      </w:r>
      <w:r w:rsidR="003228B3">
        <w:rPr>
          <w:lang w:val="fr-CH"/>
        </w:rPr>
        <w:t>;</w:t>
      </w:r>
    </w:p>
    <w:p w:rsidR="00143628" w:rsidRDefault="00143628" w:rsidP="000D75A3">
      <w:pPr>
        <w:rPr>
          <w:lang w:val="fr-CH"/>
        </w:rPr>
      </w:pPr>
      <w:r w:rsidRPr="00730563">
        <w:rPr>
          <w:lang w:val="fr-CH"/>
        </w:rPr>
        <w:t>3</w:t>
      </w:r>
      <w:r w:rsidRPr="00730563">
        <w:rPr>
          <w:lang w:val="fr-CH"/>
        </w:rPr>
        <w:tab/>
      </w:r>
      <w:r w:rsidR="00B11088" w:rsidRPr="00730563">
        <w:rPr>
          <w:lang w:val="fr-CH"/>
        </w:rPr>
        <w:t>à procéder à des études de compatibilité entre le service d</w:t>
      </w:r>
      <w:r w:rsidR="00B979D7">
        <w:rPr>
          <w:lang w:val="fr-CH"/>
        </w:rPr>
        <w:t>'</w:t>
      </w:r>
      <w:r w:rsidR="00B11088" w:rsidRPr="00730563">
        <w:rPr>
          <w:lang w:val="fr-CH"/>
        </w:rPr>
        <w:t>exploitation spat</w:t>
      </w:r>
      <w:r w:rsidR="000D75A3">
        <w:rPr>
          <w:lang w:val="fr-CH"/>
        </w:rPr>
        <w:t>iale et les services existants.</w:t>
      </w:r>
    </w:p>
    <w:p w:rsidR="0041346B" w:rsidRPr="00730563" w:rsidRDefault="0041346B" w:rsidP="0041346B">
      <w:pPr>
        <w:pStyle w:val="Reasons"/>
        <w:rPr>
          <w:lang w:val="fr-CH"/>
        </w:rPr>
      </w:pPr>
    </w:p>
    <w:p w:rsidR="00143628" w:rsidRPr="00730563" w:rsidRDefault="00143628" w:rsidP="00425FA3">
      <w:pPr>
        <w:rPr>
          <w:lang w:val="fr-CH"/>
        </w:rPr>
      </w:pPr>
      <w:r w:rsidRPr="00730563">
        <w:rPr>
          <w:lang w:val="fr-CH"/>
        </w:rPr>
        <w:br w:type="page"/>
      </w:r>
    </w:p>
    <w:p w:rsidR="00143628" w:rsidRPr="00730563" w:rsidRDefault="00A54B86" w:rsidP="004E10E0">
      <w:pPr>
        <w:pStyle w:val="Appendixtitle"/>
        <w:spacing w:after="240"/>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144B80">
        <w:rPr>
          <w:lang w:val="fr-CH"/>
        </w:rPr>
        <w:t>CMR-19</w:t>
      </w:r>
      <w:r w:rsidR="003228B3">
        <w:rPr>
          <w:lang w:val="fr-CH"/>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4E10E0" w:rsidTr="004E10E0">
        <w:tc>
          <w:tcPr>
            <w:tcW w:w="1418" w:type="dxa"/>
            <w:tcBorders>
              <w:top w:val="nil"/>
              <w:left w:val="nil"/>
              <w:bottom w:val="nil"/>
              <w:right w:val="nil"/>
            </w:tcBorders>
          </w:tcPr>
          <w:p w:rsidR="004E10E0" w:rsidRPr="00FD175A" w:rsidRDefault="004E10E0" w:rsidP="000E0653">
            <w:pPr>
              <w:tabs>
                <w:tab w:val="clear" w:pos="1871"/>
                <w:tab w:val="clear" w:pos="2268"/>
                <w:tab w:val="left" w:pos="6123"/>
              </w:tabs>
              <w:spacing w:before="60"/>
              <w:rPr>
                <w:b/>
                <w:bCs/>
                <w:i/>
                <w:iCs/>
                <w:lang w:val="fr-CH"/>
              </w:rPr>
            </w:pPr>
            <w:r w:rsidRPr="00FD175A">
              <w:rPr>
                <w:b/>
                <w:bCs/>
                <w:i/>
                <w:iCs/>
                <w:lang w:val="fr-CH"/>
              </w:rPr>
              <w:t>Objet:</w:t>
            </w:r>
          </w:p>
        </w:tc>
        <w:tc>
          <w:tcPr>
            <w:tcW w:w="8221" w:type="dxa"/>
            <w:gridSpan w:val="2"/>
            <w:tcBorders>
              <w:top w:val="nil"/>
              <w:left w:val="nil"/>
              <w:bottom w:val="nil"/>
              <w:right w:val="nil"/>
            </w:tcBorders>
          </w:tcPr>
          <w:p w:rsidR="004E10E0" w:rsidRDefault="004E10E0" w:rsidP="000E0653">
            <w:pPr>
              <w:tabs>
                <w:tab w:val="clear" w:pos="1871"/>
                <w:tab w:val="clear" w:pos="2268"/>
                <w:tab w:val="left" w:pos="6123"/>
              </w:tabs>
              <w:spacing w:before="60"/>
              <w:rPr>
                <w:b/>
                <w:bCs/>
                <w:i/>
                <w:iCs/>
                <w:lang w:val="fr-CH"/>
              </w:rPr>
            </w:pPr>
            <w:r>
              <w:rPr>
                <w:lang w:val="fr-CH"/>
              </w:rPr>
              <w:t>E</w:t>
            </w:r>
            <w:r w:rsidRPr="00730563">
              <w:rPr>
                <w:lang w:val="fr-CH"/>
              </w:rPr>
              <w:t>tudes relative</w:t>
            </w:r>
            <w:r>
              <w:rPr>
                <w:lang w:val="fr-CH"/>
              </w:rPr>
              <w:t>s</w:t>
            </w:r>
            <w:r w:rsidRPr="00730563">
              <w:rPr>
                <w:lang w:val="fr-CH"/>
              </w:rPr>
              <w:t xml:space="preserve"> aux attributions au service d</w:t>
            </w:r>
            <w:r>
              <w:rPr>
                <w:lang w:val="fr-CH"/>
              </w:rPr>
              <w:t>'</w:t>
            </w:r>
            <w:r w:rsidRPr="00730563">
              <w:rPr>
                <w:lang w:val="fr-CH"/>
              </w:rPr>
              <w:t>exploitation spatiale dans les gammes de fréquences</w:t>
            </w:r>
            <w:r>
              <w:rPr>
                <w:lang w:val="fr-CH"/>
              </w:rPr>
              <w:t xml:space="preserve"> </w:t>
            </w:r>
            <w:r w:rsidRPr="00730563">
              <w:rPr>
                <w:lang w:val="fr-CH"/>
              </w:rPr>
              <w:t>137-174</w:t>
            </w:r>
            <w:r>
              <w:rPr>
                <w:lang w:val="fr-CH"/>
              </w:rPr>
              <w:t xml:space="preserve"> </w:t>
            </w:r>
            <w:r w:rsidRPr="00730563">
              <w:rPr>
                <w:lang w:val="fr-CH"/>
              </w:rPr>
              <w:t xml:space="preserve">et 230-470 MHz </w:t>
            </w:r>
            <w:r>
              <w:rPr>
                <w:lang w:val="fr-CH"/>
              </w:rPr>
              <w:t>pour tenir compte du</w:t>
            </w:r>
            <w:r w:rsidRPr="00730563">
              <w:rPr>
                <w:lang w:val="fr-CH"/>
              </w:rPr>
              <w:t xml:space="preserve"> nombre croissant</w:t>
            </w:r>
            <w:r>
              <w:rPr>
                <w:lang w:val="fr-CH"/>
              </w:rPr>
              <w:t xml:space="preserve"> </w:t>
            </w:r>
            <w:r w:rsidRPr="00730563">
              <w:rPr>
                <w:lang w:val="fr-CH"/>
              </w:rPr>
              <w:t>de petits satellites non géostationnaires</w:t>
            </w:r>
          </w:p>
        </w:tc>
      </w:tr>
      <w:tr w:rsidR="004E10E0" w:rsidTr="004E10E0">
        <w:tc>
          <w:tcPr>
            <w:tcW w:w="1418" w:type="dxa"/>
            <w:tcBorders>
              <w:top w:val="nil"/>
              <w:left w:val="nil"/>
              <w:bottom w:val="single" w:sz="4" w:space="0" w:color="auto"/>
              <w:right w:val="nil"/>
            </w:tcBorders>
          </w:tcPr>
          <w:p w:rsidR="004E10E0" w:rsidRPr="00FD175A" w:rsidRDefault="004E10E0" w:rsidP="000E0653">
            <w:pPr>
              <w:tabs>
                <w:tab w:val="clear" w:pos="1871"/>
                <w:tab w:val="clear" w:pos="2268"/>
                <w:tab w:val="left" w:pos="6123"/>
              </w:tabs>
              <w:spacing w:before="80"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4E10E0" w:rsidRDefault="004E10E0" w:rsidP="000E0653">
            <w:pPr>
              <w:tabs>
                <w:tab w:val="clear" w:pos="1871"/>
                <w:tab w:val="clear" w:pos="2268"/>
                <w:tab w:val="left" w:pos="6123"/>
              </w:tabs>
              <w:spacing w:before="80"/>
              <w:rPr>
                <w:b/>
                <w:bCs/>
                <w:i/>
                <w:iCs/>
                <w:lang w:val="fr-CH"/>
              </w:rPr>
            </w:pPr>
            <w:r w:rsidRPr="00393191">
              <w:rPr>
                <w:lang w:val="en-US"/>
              </w:rPr>
              <w:t>CEPT</w:t>
            </w:r>
          </w:p>
        </w:tc>
      </w:tr>
      <w:tr w:rsidR="00143628" w:rsidRPr="00143628" w:rsidTr="004E10E0">
        <w:tc>
          <w:tcPr>
            <w:tcW w:w="9639" w:type="dxa"/>
            <w:gridSpan w:val="3"/>
            <w:tcBorders>
              <w:top w:val="single" w:sz="4" w:space="0" w:color="auto"/>
              <w:left w:val="nil"/>
              <w:bottom w:val="single" w:sz="4" w:space="0" w:color="auto"/>
              <w:right w:val="nil"/>
            </w:tcBorders>
          </w:tcPr>
          <w:p w:rsidR="00143628" w:rsidRPr="00730563" w:rsidRDefault="00143628" w:rsidP="00425FA3">
            <w:pPr>
              <w:rPr>
                <w:lang w:val="fr-CH"/>
              </w:rPr>
            </w:pPr>
            <w:r w:rsidRPr="00730563">
              <w:rPr>
                <w:b/>
                <w:bCs/>
                <w:i/>
                <w:iCs/>
                <w:lang w:val="fr-CH"/>
              </w:rPr>
              <w:t>Proposition:</w:t>
            </w:r>
          </w:p>
          <w:p w:rsidR="00143628" w:rsidRPr="00730563" w:rsidRDefault="00A54B86" w:rsidP="000E0653">
            <w:pPr>
              <w:spacing w:before="60"/>
              <w:rPr>
                <w:b/>
                <w:i/>
                <w:lang w:val="fr-CH"/>
              </w:rPr>
            </w:pPr>
            <w:r w:rsidRPr="00730563">
              <w:rPr>
                <w:lang w:val="fr-CH"/>
              </w:rPr>
              <w:t>Envisager de faire des attributions au service d</w:t>
            </w:r>
            <w:r w:rsidR="00B979D7">
              <w:rPr>
                <w:lang w:val="fr-CH"/>
              </w:rPr>
              <w:t>'</w:t>
            </w:r>
            <w:r w:rsidRPr="00730563">
              <w:rPr>
                <w:lang w:val="fr-CH"/>
              </w:rPr>
              <w:t>exploitation spatiale</w:t>
            </w:r>
            <w:r w:rsidR="003228B3">
              <w:rPr>
                <w:lang w:val="fr-CH"/>
              </w:rPr>
              <w:t xml:space="preserve"> </w:t>
            </w:r>
            <w:r w:rsidRPr="00730563">
              <w:rPr>
                <w:lang w:val="fr-CH"/>
              </w:rPr>
              <w:t>dans le sens espace vers Terre ainsi que dans le sens Terre vers espace, limitées aux systèmes non géostationnaires, dans les gammes de fréquences</w:t>
            </w:r>
            <w:r w:rsidR="003228B3">
              <w:rPr>
                <w:lang w:val="fr-CH"/>
              </w:rPr>
              <w:t xml:space="preserve"> </w:t>
            </w:r>
            <w:r w:rsidRPr="00730563">
              <w:rPr>
                <w:lang w:val="fr-CH"/>
              </w:rPr>
              <w:t>137-174</w:t>
            </w:r>
            <w:r w:rsidR="003228B3">
              <w:rPr>
                <w:lang w:val="fr-CH"/>
              </w:rPr>
              <w:t xml:space="preserve"> </w:t>
            </w:r>
            <w:r w:rsidR="00251C68">
              <w:rPr>
                <w:lang w:val="fr-CH"/>
              </w:rPr>
              <w:t xml:space="preserve">MHz </w:t>
            </w:r>
            <w:r w:rsidRPr="00730563">
              <w:rPr>
                <w:lang w:val="fr-CH"/>
              </w:rPr>
              <w:t xml:space="preserve">et 230-470 MHz, pour </w:t>
            </w:r>
            <w:r w:rsidR="00251C68">
              <w:rPr>
                <w:lang w:val="fr-CH"/>
              </w:rPr>
              <w:t>tenir compte du</w:t>
            </w:r>
            <w:r w:rsidRPr="00730563">
              <w:rPr>
                <w:lang w:val="fr-CH"/>
              </w:rPr>
              <w:t xml:space="preserve"> nombre croissant</w:t>
            </w:r>
            <w:r w:rsidR="003228B3">
              <w:rPr>
                <w:lang w:val="fr-CH"/>
              </w:rPr>
              <w:t xml:space="preserve"> </w:t>
            </w:r>
            <w:r w:rsidRPr="00730563">
              <w:rPr>
                <w:lang w:val="fr-CH"/>
              </w:rPr>
              <w:t>de petits satellites non géostationnaires</w:t>
            </w:r>
            <w:r w:rsidR="003228B3">
              <w:rPr>
                <w:lang w:val="fr-CH"/>
              </w:rPr>
              <w:t>,</w:t>
            </w:r>
            <w:r w:rsidRPr="00730563">
              <w:rPr>
                <w:lang w:val="fr-CH"/>
              </w:rPr>
              <w:t xml:space="preserve"> conformément à la Résolution</w:t>
            </w:r>
            <w:r w:rsidR="003228B3">
              <w:rPr>
                <w:lang w:val="fr-CH"/>
              </w:rPr>
              <w:t xml:space="preserve"> </w:t>
            </w:r>
            <w:r w:rsidR="00143628" w:rsidRPr="00730563">
              <w:rPr>
                <w:rStyle w:val="Artdef"/>
                <w:lang w:val="fr-CH"/>
              </w:rPr>
              <w:t>[EUR-I10-8] (</w:t>
            </w:r>
            <w:r w:rsidR="003228B3">
              <w:rPr>
                <w:rStyle w:val="Artdef"/>
                <w:lang w:val="fr-CH"/>
              </w:rPr>
              <w:t>CMR-15</w:t>
            </w:r>
            <w:r w:rsidR="00143628" w:rsidRPr="00730563">
              <w:rPr>
                <w:rStyle w:val="Artdef"/>
                <w:lang w:val="fr-CH"/>
              </w:rPr>
              <w:t>)</w:t>
            </w:r>
            <w:r w:rsidR="004E10E0">
              <w:rPr>
                <w:rStyle w:val="Artdef"/>
                <w:b w:val="0"/>
                <w:bCs/>
                <w:lang w:val="fr-CH"/>
              </w:rPr>
              <w:t>.</w:t>
            </w:r>
          </w:p>
        </w:tc>
      </w:tr>
      <w:tr w:rsidR="00143628" w:rsidRPr="00143628" w:rsidTr="004E10E0">
        <w:tc>
          <w:tcPr>
            <w:tcW w:w="9639" w:type="dxa"/>
            <w:gridSpan w:val="3"/>
            <w:tcBorders>
              <w:top w:val="single" w:sz="4" w:space="0" w:color="auto"/>
              <w:left w:val="nil"/>
              <w:bottom w:val="single" w:sz="4" w:space="0" w:color="auto"/>
              <w:right w:val="nil"/>
            </w:tcBorders>
          </w:tcPr>
          <w:p w:rsidR="00143628" w:rsidRPr="00730563" w:rsidRDefault="00143628" w:rsidP="00425FA3">
            <w:pPr>
              <w:rPr>
                <w:b/>
                <w:bCs/>
                <w:i/>
                <w:iCs/>
                <w:lang w:val="fr-CH"/>
              </w:rPr>
            </w:pPr>
            <w:r w:rsidRPr="00730563">
              <w:rPr>
                <w:b/>
                <w:bCs/>
                <w:i/>
                <w:iCs/>
                <w:lang w:val="fr-CH"/>
              </w:rPr>
              <w:t>Contexte/motif:</w:t>
            </w:r>
          </w:p>
          <w:p w:rsidR="00143628" w:rsidRPr="00730563" w:rsidRDefault="00A54B86" w:rsidP="000E0653">
            <w:pPr>
              <w:spacing w:before="60"/>
              <w:rPr>
                <w:b/>
                <w:i/>
                <w:lang w:val="fr-CH"/>
              </w:rPr>
            </w:pPr>
            <w:r w:rsidRPr="00730563">
              <w:rPr>
                <w:lang w:val="fr-CH"/>
              </w:rPr>
              <w:t>Le nombre de petits satellites</w:t>
            </w:r>
            <w:r w:rsidR="003228B3">
              <w:rPr>
                <w:lang w:val="fr-CH"/>
              </w:rPr>
              <w:t xml:space="preserve"> </w:t>
            </w:r>
            <w:r w:rsidRPr="00730563">
              <w:rPr>
                <w:lang w:val="fr-CH"/>
              </w:rPr>
              <w:t>exploités sur l</w:t>
            </w:r>
            <w:r w:rsidR="00B979D7">
              <w:rPr>
                <w:lang w:val="fr-CH"/>
              </w:rPr>
              <w:t>'</w:t>
            </w:r>
            <w:r w:rsidRPr="00730563">
              <w:rPr>
                <w:lang w:val="fr-CH"/>
              </w:rPr>
              <w:t xml:space="preserve">orbite des satellites non géostationnaires, en particulier </w:t>
            </w:r>
            <w:r w:rsidR="00251C68">
              <w:rPr>
                <w:lang w:val="fr-CH"/>
              </w:rPr>
              <w:t>de satellites désignés</w:t>
            </w:r>
            <w:r w:rsidRPr="00730563">
              <w:rPr>
                <w:lang w:val="fr-CH"/>
              </w:rPr>
              <w:t xml:space="preserve"> sous l</w:t>
            </w:r>
            <w:r w:rsidR="00B979D7">
              <w:rPr>
                <w:lang w:val="fr-CH"/>
              </w:rPr>
              <w:t>'</w:t>
            </w:r>
            <w:r w:rsidRPr="00730563">
              <w:rPr>
                <w:lang w:val="fr-CH"/>
              </w:rPr>
              <w:t xml:space="preserve">appellation de nanosatellites et de picosatellites, connaît une croissance </w:t>
            </w:r>
            <w:r w:rsidR="00251C68" w:rsidRPr="00730563">
              <w:rPr>
                <w:lang w:val="fr-CH"/>
              </w:rPr>
              <w:t>exponentielle</w:t>
            </w:r>
            <w:r w:rsidR="00251C68">
              <w:rPr>
                <w:lang w:val="fr-CH"/>
              </w:rPr>
              <w:t xml:space="preserve">. </w:t>
            </w:r>
            <w:r w:rsidRPr="00730563">
              <w:rPr>
                <w:lang w:val="fr-CH"/>
              </w:rPr>
              <w:t xml:space="preserve">En raison de cette croissance, il devient de plus en plus nécessaire </w:t>
            </w:r>
            <w:r w:rsidR="00251C68">
              <w:rPr>
                <w:lang w:val="fr-CH"/>
              </w:rPr>
              <w:t xml:space="preserve">de permettre la mise en oeuvre </w:t>
            </w:r>
            <w:r w:rsidRPr="00730563">
              <w:rPr>
                <w:lang w:val="fr-CH"/>
              </w:rPr>
              <w:t xml:space="preserve">des fonctions de télémesure, </w:t>
            </w:r>
            <w:r w:rsidR="00251C68">
              <w:rPr>
                <w:lang w:val="fr-CH"/>
              </w:rPr>
              <w:t xml:space="preserve">de </w:t>
            </w:r>
            <w:r w:rsidRPr="00730563">
              <w:rPr>
                <w:lang w:val="fr-CH"/>
              </w:rPr>
              <w:t xml:space="preserve">poursuite et </w:t>
            </w:r>
            <w:r w:rsidR="00251C68">
              <w:rPr>
                <w:lang w:val="fr-CH"/>
              </w:rPr>
              <w:t xml:space="preserve">de </w:t>
            </w:r>
            <w:r w:rsidRPr="00730563">
              <w:rPr>
                <w:lang w:val="fr-CH"/>
              </w:rPr>
              <w:t>télécommande (TT&amp;C</w:t>
            </w:r>
            <w:r w:rsidR="00251C68">
              <w:rPr>
                <w:lang w:val="fr-CH"/>
              </w:rPr>
              <w:t>)</w:t>
            </w:r>
            <w:r w:rsidR="00251C68" w:rsidRPr="00730563">
              <w:rPr>
                <w:lang w:val="fr-CH"/>
              </w:rPr>
              <w:t xml:space="preserve"> pour</w:t>
            </w:r>
            <w:r w:rsidRPr="00730563">
              <w:rPr>
                <w:lang w:val="fr-CH"/>
              </w:rPr>
              <w:t xml:space="preserve"> ces satellites. Le nombre croissant de ces satellites m</w:t>
            </w:r>
            <w:r w:rsidR="00E74F50" w:rsidRPr="00730563">
              <w:rPr>
                <w:lang w:val="fr-CH"/>
              </w:rPr>
              <w:t>et</w:t>
            </w:r>
            <w:r w:rsidRPr="00730563">
              <w:rPr>
                <w:lang w:val="fr-CH"/>
              </w:rPr>
              <w:t xml:space="preserve"> </w:t>
            </w:r>
            <w:r w:rsidR="00E368B2" w:rsidRPr="00730563">
              <w:rPr>
                <w:lang w:val="fr-CH"/>
              </w:rPr>
              <w:t xml:space="preserve">par ailleurs </w:t>
            </w:r>
            <w:r w:rsidRPr="00730563">
              <w:rPr>
                <w:lang w:val="fr-CH"/>
              </w:rPr>
              <w:t>de plus en plus à contribution les attributions actuelles du service d</w:t>
            </w:r>
            <w:r w:rsidR="00B979D7">
              <w:rPr>
                <w:lang w:val="fr-CH"/>
              </w:rPr>
              <w:t>'</w:t>
            </w:r>
            <w:r w:rsidRPr="00730563">
              <w:rPr>
                <w:lang w:val="fr-CH"/>
              </w:rPr>
              <w:t>exploitation spatiale. Un système</w:t>
            </w:r>
            <w:r w:rsidR="003228B3">
              <w:rPr>
                <w:lang w:val="fr-CH"/>
              </w:rPr>
              <w:t xml:space="preserve"> </w:t>
            </w:r>
            <w:r w:rsidR="00E74F50" w:rsidRPr="00730563">
              <w:rPr>
                <w:lang w:val="fr-CH"/>
              </w:rPr>
              <w:t xml:space="preserve">TT&amp;C </w:t>
            </w:r>
            <w:r w:rsidR="00251C68">
              <w:rPr>
                <w:lang w:val="fr-CH"/>
              </w:rPr>
              <w:t>normalisé</w:t>
            </w:r>
            <w:r w:rsidR="00E368B2" w:rsidRPr="00730563">
              <w:rPr>
                <w:lang w:val="fr-CH"/>
              </w:rPr>
              <w:t>,</w:t>
            </w:r>
            <w:r w:rsidRPr="00730563">
              <w:rPr>
                <w:lang w:val="fr-CH"/>
              </w:rPr>
              <w:t xml:space="preserve"> utilisé dans le cadre de cette attribution</w:t>
            </w:r>
            <w:r w:rsidR="00E368B2" w:rsidRPr="00730563">
              <w:rPr>
                <w:lang w:val="fr-CH"/>
              </w:rPr>
              <w:t>,</w:t>
            </w:r>
            <w:r w:rsidRPr="00730563">
              <w:rPr>
                <w:lang w:val="fr-CH"/>
              </w:rPr>
              <w:t xml:space="preserve"> serait de</w:t>
            </w:r>
            <w:r w:rsidR="00251C68">
              <w:rPr>
                <w:lang w:val="fr-CH"/>
              </w:rPr>
              <w:t xml:space="preserve"> nature à</w:t>
            </w:r>
            <w:r w:rsidRPr="00730563">
              <w:rPr>
                <w:lang w:val="fr-CH"/>
              </w:rPr>
              <w:t xml:space="preserve"> simplifier la procédure de coordination et de correspondance. Un système normalisé</w:t>
            </w:r>
            <w:r w:rsidR="00E74F50" w:rsidRPr="00730563">
              <w:rPr>
                <w:lang w:val="fr-CH"/>
              </w:rPr>
              <w:t xml:space="preserve"> TT&amp;C</w:t>
            </w:r>
            <w:r w:rsidR="003228B3">
              <w:rPr>
                <w:lang w:val="fr-CH"/>
              </w:rPr>
              <w:t xml:space="preserve"> </w:t>
            </w:r>
            <w:r w:rsidRPr="00730563">
              <w:rPr>
                <w:lang w:val="fr-CH"/>
              </w:rPr>
              <w:t>utilisé dans le cadre de cette attribution sur la base de la technologie</w:t>
            </w:r>
            <w:r w:rsidR="00E74F50" w:rsidRPr="00730563">
              <w:rPr>
                <w:lang w:val="fr-CH"/>
              </w:rPr>
              <w:t xml:space="preserve"> par étalement</w:t>
            </w:r>
            <w:r w:rsidR="003228B3">
              <w:rPr>
                <w:lang w:val="fr-CH"/>
              </w:rPr>
              <w:t xml:space="preserve"> </w:t>
            </w:r>
            <w:r w:rsidRPr="00730563">
              <w:rPr>
                <w:lang w:val="fr-CH"/>
              </w:rPr>
              <w:t xml:space="preserve">du spectre pourrait </w:t>
            </w:r>
            <w:r w:rsidR="00E368B2" w:rsidRPr="00730563">
              <w:rPr>
                <w:lang w:val="fr-CH"/>
              </w:rPr>
              <w:t xml:space="preserve">également </w:t>
            </w:r>
            <w:r w:rsidRPr="00730563">
              <w:rPr>
                <w:lang w:val="fr-CH"/>
              </w:rPr>
              <w:t>offrir des fonctionnalités de mesure de la distance susceptible</w:t>
            </w:r>
            <w:r w:rsidR="00E74F50" w:rsidRPr="00730563">
              <w:rPr>
                <w:lang w:val="fr-CH"/>
              </w:rPr>
              <w:t>s</w:t>
            </w:r>
            <w:r w:rsidRPr="00730563">
              <w:rPr>
                <w:lang w:val="fr-CH"/>
              </w:rPr>
              <w:t xml:space="preserve"> de faciliter la détermination de l</w:t>
            </w:r>
            <w:r w:rsidR="00B979D7">
              <w:rPr>
                <w:lang w:val="fr-CH"/>
              </w:rPr>
              <w:t>'</w:t>
            </w:r>
            <w:r w:rsidRPr="00730563">
              <w:rPr>
                <w:lang w:val="fr-CH"/>
              </w:rPr>
              <w:t>orbite</w:t>
            </w:r>
            <w:r w:rsidR="00143628" w:rsidRPr="00730563">
              <w:rPr>
                <w:lang w:val="fr-CH"/>
              </w:rPr>
              <w:t>.</w:t>
            </w:r>
            <w:r w:rsidR="003228B3">
              <w:rPr>
                <w:lang w:val="fr-CH"/>
              </w:rPr>
              <w:t xml:space="preserve"> </w:t>
            </w:r>
          </w:p>
        </w:tc>
      </w:tr>
      <w:tr w:rsidR="00143628" w:rsidRPr="00714540" w:rsidTr="004E10E0">
        <w:tc>
          <w:tcPr>
            <w:tcW w:w="9639" w:type="dxa"/>
            <w:gridSpan w:val="3"/>
            <w:tcBorders>
              <w:top w:val="single" w:sz="4" w:space="0" w:color="auto"/>
              <w:left w:val="nil"/>
              <w:bottom w:val="single" w:sz="4" w:space="0" w:color="auto"/>
              <w:right w:val="nil"/>
            </w:tcBorders>
          </w:tcPr>
          <w:p w:rsidR="00143628" w:rsidRPr="00A31EA2" w:rsidRDefault="00143628" w:rsidP="00425FA3">
            <w:r w:rsidRPr="0014454C">
              <w:rPr>
                <w:b/>
                <w:bCs/>
                <w:i/>
                <w:iCs/>
                <w:lang w:val="fr-CH"/>
              </w:rPr>
              <w:t>Services de radiocommunication concernés</w:t>
            </w:r>
            <w:r w:rsidRPr="00A31EA2">
              <w:t>:</w:t>
            </w:r>
          </w:p>
          <w:p w:rsidR="00143628" w:rsidRPr="00714540" w:rsidRDefault="00407E1F" w:rsidP="000E0653">
            <w:pPr>
              <w:spacing w:before="60"/>
              <w:rPr>
                <w:b/>
                <w:i/>
              </w:rPr>
            </w:pPr>
            <w:r>
              <w:t>S</w:t>
            </w:r>
            <w:r w:rsidR="00E74F50">
              <w:t>ervices d</w:t>
            </w:r>
            <w:r w:rsidR="00B979D7">
              <w:t>'</w:t>
            </w:r>
            <w:r w:rsidR="00E74F50">
              <w:t>exploitation spatiale, de recherche spatiale, de météorologie par satellite, fixe et mobile</w:t>
            </w:r>
            <w:r w:rsidR="003228B3">
              <w:t xml:space="preserve"> </w:t>
            </w:r>
          </w:p>
        </w:tc>
      </w:tr>
      <w:tr w:rsidR="00143628" w:rsidRPr="00143628" w:rsidTr="004E10E0">
        <w:tc>
          <w:tcPr>
            <w:tcW w:w="9639" w:type="dxa"/>
            <w:gridSpan w:val="3"/>
            <w:tcBorders>
              <w:top w:val="single" w:sz="4" w:space="0" w:color="auto"/>
              <w:left w:val="nil"/>
              <w:bottom w:val="single" w:sz="4" w:space="0" w:color="auto"/>
              <w:right w:val="nil"/>
            </w:tcBorders>
          </w:tcPr>
          <w:p w:rsidR="00143628" w:rsidRPr="00730563" w:rsidRDefault="00143628" w:rsidP="00425FA3">
            <w:pPr>
              <w:rPr>
                <w:lang w:val="fr-CH"/>
              </w:rPr>
            </w:pPr>
            <w:r w:rsidRPr="00730563">
              <w:rPr>
                <w:b/>
                <w:bCs/>
                <w:i/>
                <w:iCs/>
                <w:lang w:val="fr-CH"/>
              </w:rPr>
              <w:t>Indication des difficultés éventuelles:</w:t>
            </w:r>
          </w:p>
          <w:p w:rsidR="00143628" w:rsidRPr="00730563" w:rsidRDefault="00E74F50" w:rsidP="004E10E0">
            <w:pPr>
              <w:spacing w:before="80"/>
              <w:rPr>
                <w:b/>
                <w:i/>
                <w:lang w:val="fr-CH"/>
              </w:rPr>
            </w:pPr>
            <w:r w:rsidRPr="00730563">
              <w:rPr>
                <w:lang w:val="fr-CH"/>
              </w:rPr>
              <w:t>Détermination des conditions de partage appropriées entre le service d</w:t>
            </w:r>
            <w:r w:rsidR="00B979D7">
              <w:rPr>
                <w:lang w:val="fr-CH"/>
              </w:rPr>
              <w:t>'</w:t>
            </w:r>
            <w:r w:rsidRPr="00730563">
              <w:rPr>
                <w:lang w:val="fr-CH"/>
              </w:rPr>
              <w:t>exploitation spatiale et les autres services</w:t>
            </w:r>
            <w:r w:rsidR="003228B3">
              <w:rPr>
                <w:lang w:val="fr-CH"/>
              </w:rPr>
              <w:t xml:space="preserve"> </w:t>
            </w:r>
          </w:p>
        </w:tc>
      </w:tr>
      <w:tr w:rsidR="00143628" w:rsidRPr="009E4745" w:rsidTr="004E10E0">
        <w:tc>
          <w:tcPr>
            <w:tcW w:w="9639" w:type="dxa"/>
            <w:gridSpan w:val="3"/>
            <w:tcBorders>
              <w:top w:val="single" w:sz="4" w:space="0" w:color="auto"/>
              <w:left w:val="nil"/>
              <w:bottom w:val="single" w:sz="4" w:space="0" w:color="auto"/>
              <w:right w:val="nil"/>
            </w:tcBorders>
          </w:tcPr>
          <w:p w:rsidR="00143628" w:rsidRPr="00A31EA2" w:rsidRDefault="00143628" w:rsidP="00425FA3">
            <w:r w:rsidRPr="003A2ED4">
              <w:rPr>
                <w:b/>
                <w:bCs/>
                <w:i/>
                <w:iCs/>
                <w:lang w:val="fr-CH"/>
              </w:rPr>
              <w:t>Etudes précédentes ou en cours sur la question</w:t>
            </w:r>
            <w:r w:rsidRPr="003A2ED4">
              <w:rPr>
                <w:b/>
                <w:bCs/>
                <w:i/>
                <w:iCs/>
              </w:rPr>
              <w:t>:</w:t>
            </w:r>
          </w:p>
          <w:p w:rsidR="00143628" w:rsidRPr="009E4745" w:rsidRDefault="002E2C8C" w:rsidP="00425FA3">
            <w:pPr>
              <w:rPr>
                <w:b/>
                <w:i/>
                <w:lang w:val="fr-CH"/>
              </w:rPr>
            </w:pPr>
            <w:r>
              <w:rPr>
                <w:lang w:val="fr-CH"/>
              </w:rPr>
              <w:t>UIT</w:t>
            </w:r>
            <w:r w:rsidR="00BF2826">
              <w:rPr>
                <w:lang w:val="fr-CH"/>
              </w:rPr>
              <w:t>-</w:t>
            </w:r>
            <w:r w:rsidR="00143628" w:rsidRPr="00212E27">
              <w:rPr>
                <w:lang w:val="fr-CH"/>
              </w:rPr>
              <w:t xml:space="preserve">R SA.2312, </w:t>
            </w:r>
            <w:r>
              <w:rPr>
                <w:lang w:val="fr-CH"/>
              </w:rPr>
              <w:t>UIT</w:t>
            </w:r>
            <w:r w:rsidR="00BF2826">
              <w:rPr>
                <w:lang w:val="fr-CH"/>
              </w:rPr>
              <w:t>-</w:t>
            </w:r>
            <w:r w:rsidR="00143628" w:rsidRPr="00212E27">
              <w:rPr>
                <w:lang w:val="fr-CH"/>
              </w:rPr>
              <w:t>R SA.2348</w:t>
            </w:r>
          </w:p>
        </w:tc>
      </w:tr>
      <w:tr w:rsidR="00143628" w:rsidRPr="006F6BD1" w:rsidTr="004E10E0">
        <w:tc>
          <w:tcPr>
            <w:tcW w:w="4539" w:type="dxa"/>
            <w:gridSpan w:val="2"/>
            <w:tcBorders>
              <w:top w:val="single" w:sz="4" w:space="0" w:color="auto"/>
              <w:left w:val="nil"/>
              <w:bottom w:val="single" w:sz="4" w:space="0" w:color="auto"/>
              <w:right w:val="single" w:sz="4" w:space="0" w:color="auto"/>
            </w:tcBorders>
          </w:tcPr>
          <w:p w:rsidR="00FC285B" w:rsidRDefault="00143628" w:rsidP="00FC285B">
            <w:r w:rsidRPr="0014454C">
              <w:rPr>
                <w:b/>
                <w:bCs/>
                <w:i/>
                <w:iCs/>
                <w:lang w:val="fr-CH"/>
              </w:rPr>
              <w:t>Etudes devant être réalisées par</w:t>
            </w:r>
            <w:r w:rsidRPr="0014454C">
              <w:rPr>
                <w:b/>
                <w:bCs/>
                <w:i/>
                <w:iCs/>
              </w:rPr>
              <w:t>:</w:t>
            </w:r>
            <w:r w:rsidR="00FC285B">
              <w:t xml:space="preserve"> </w:t>
            </w:r>
          </w:p>
          <w:p w:rsidR="00143628" w:rsidRPr="00FC285B" w:rsidRDefault="00C937A8" w:rsidP="004E10E0">
            <w:pPr>
              <w:spacing w:before="80"/>
            </w:pPr>
            <w:r>
              <w:rPr>
                <w:color w:val="000000"/>
              </w:rPr>
              <w:t>CE</w:t>
            </w:r>
            <w:r w:rsidR="004E10E0">
              <w:rPr>
                <w:color w:val="000000"/>
              </w:rPr>
              <w:t xml:space="preserve"> </w:t>
            </w:r>
            <w:r w:rsidR="006F6BD1">
              <w:rPr>
                <w:color w:val="000000"/>
              </w:rPr>
              <w:t>7</w:t>
            </w:r>
          </w:p>
        </w:tc>
        <w:tc>
          <w:tcPr>
            <w:tcW w:w="5100" w:type="dxa"/>
            <w:tcBorders>
              <w:top w:val="single" w:sz="4" w:space="0" w:color="auto"/>
              <w:left w:val="single" w:sz="4" w:space="0" w:color="auto"/>
              <w:bottom w:val="single" w:sz="4" w:space="0" w:color="auto"/>
              <w:right w:val="nil"/>
            </w:tcBorders>
          </w:tcPr>
          <w:p w:rsidR="00143628" w:rsidRPr="00730563" w:rsidRDefault="00143628" w:rsidP="00425FA3">
            <w:pPr>
              <w:rPr>
                <w:b/>
                <w:bCs/>
                <w:i/>
                <w:iCs/>
                <w:lang w:val="fr-CH"/>
              </w:rPr>
            </w:pPr>
            <w:r w:rsidRPr="00504217">
              <w:rPr>
                <w:b/>
                <w:bCs/>
                <w:i/>
                <w:iCs/>
              </w:rPr>
              <w:t>avec la participation de</w:t>
            </w:r>
            <w:r w:rsidRPr="00730563">
              <w:rPr>
                <w:b/>
                <w:bCs/>
                <w:i/>
                <w:iCs/>
                <w:lang w:val="fr-CH"/>
              </w:rPr>
              <w:t>:</w:t>
            </w:r>
          </w:p>
          <w:p w:rsidR="006F6BD1" w:rsidRPr="00FC285B" w:rsidRDefault="00C203CC" w:rsidP="000E0653">
            <w:pPr>
              <w:spacing w:before="60"/>
              <w:rPr>
                <w:color w:val="000000"/>
                <w:lang w:val="fr-CH"/>
              </w:rPr>
            </w:pPr>
            <w:r w:rsidRPr="00730563">
              <w:rPr>
                <w:color w:val="000000"/>
                <w:lang w:val="fr-CH"/>
              </w:rPr>
              <w:t xml:space="preserve">Administrations et Membres du Secteur de </w:t>
            </w:r>
            <w:r w:rsidR="00FC285B" w:rsidRPr="00730563">
              <w:rPr>
                <w:color w:val="000000"/>
                <w:lang w:val="fr-CH"/>
              </w:rPr>
              <w:t>l</w:t>
            </w:r>
            <w:r w:rsidR="00B979D7">
              <w:rPr>
                <w:color w:val="000000"/>
                <w:lang w:val="fr-CH"/>
              </w:rPr>
              <w:t>'</w:t>
            </w:r>
            <w:r w:rsidR="00FC285B" w:rsidRPr="00730563">
              <w:rPr>
                <w:color w:val="000000"/>
                <w:lang w:val="fr-CH"/>
              </w:rPr>
              <w:t>UIT</w:t>
            </w:r>
            <w:r w:rsidR="00FC285B">
              <w:rPr>
                <w:color w:val="000000"/>
                <w:lang w:val="fr-CH"/>
              </w:rPr>
              <w:noBreakHyphen/>
              <w:t>R,</w:t>
            </w:r>
            <w:r w:rsidR="006F6BD1" w:rsidRPr="00730563">
              <w:rPr>
                <w:color w:val="000000"/>
                <w:lang w:val="fr-CH"/>
              </w:rPr>
              <w:t xml:space="preserve"> </w:t>
            </w:r>
            <w:r w:rsidR="00E74F50" w:rsidRPr="00730563">
              <w:rPr>
                <w:color w:val="000000"/>
                <w:lang w:val="fr-CH"/>
              </w:rPr>
              <w:t>agence</w:t>
            </w:r>
            <w:r w:rsidR="00FC285B">
              <w:rPr>
                <w:color w:val="000000"/>
                <w:lang w:val="fr-CH"/>
              </w:rPr>
              <w:t>s</w:t>
            </w:r>
            <w:r w:rsidR="00E74F50" w:rsidRPr="00730563">
              <w:rPr>
                <w:color w:val="000000"/>
                <w:lang w:val="fr-CH"/>
              </w:rPr>
              <w:t xml:space="preserve"> spatiale</w:t>
            </w:r>
            <w:r w:rsidR="00FC285B">
              <w:rPr>
                <w:color w:val="000000"/>
                <w:lang w:val="fr-CH"/>
              </w:rPr>
              <w:t>s</w:t>
            </w:r>
            <w:r w:rsidR="00E74F50" w:rsidRPr="00730563">
              <w:rPr>
                <w:color w:val="000000"/>
                <w:lang w:val="fr-CH"/>
              </w:rPr>
              <w:t>, concepteurs de satellites, opérateurs de satellites</w:t>
            </w:r>
          </w:p>
        </w:tc>
      </w:tr>
      <w:tr w:rsidR="00143628" w:rsidRPr="009E4745" w:rsidTr="004E10E0">
        <w:tc>
          <w:tcPr>
            <w:tcW w:w="9639" w:type="dxa"/>
            <w:gridSpan w:val="3"/>
            <w:tcBorders>
              <w:top w:val="single" w:sz="4" w:space="0" w:color="auto"/>
              <w:left w:val="nil"/>
              <w:bottom w:val="single" w:sz="4" w:space="0" w:color="auto"/>
              <w:right w:val="nil"/>
            </w:tcBorders>
          </w:tcPr>
          <w:p w:rsidR="00143628" w:rsidRPr="00A31EA2" w:rsidRDefault="00143628" w:rsidP="00425FA3">
            <w:r w:rsidRPr="0014454C">
              <w:rPr>
                <w:b/>
                <w:bCs/>
                <w:i/>
                <w:iCs/>
                <w:lang w:val="fr-CH"/>
              </w:rPr>
              <w:t>Commissions d'études de l'UIT-R concernées</w:t>
            </w:r>
            <w:r w:rsidRPr="00A31EA2">
              <w:rPr>
                <w:b/>
                <w:bCs/>
                <w:i/>
                <w:iCs/>
              </w:rPr>
              <w:t>:</w:t>
            </w:r>
          </w:p>
          <w:p w:rsidR="00143628" w:rsidRPr="009E4745" w:rsidRDefault="00C937A8" w:rsidP="004E10E0">
            <w:pPr>
              <w:spacing w:before="80"/>
              <w:rPr>
                <w:b/>
                <w:i/>
                <w:lang w:val="fr-CH"/>
              </w:rPr>
            </w:pPr>
            <w:r>
              <w:t>CE</w:t>
            </w:r>
            <w:r w:rsidR="004E10E0">
              <w:t xml:space="preserve"> </w:t>
            </w:r>
            <w:r w:rsidR="006F6BD1" w:rsidRPr="00A30A96">
              <w:t xml:space="preserve">4, </w:t>
            </w:r>
            <w:r>
              <w:t>CE</w:t>
            </w:r>
            <w:r w:rsidR="004E10E0">
              <w:t xml:space="preserve"> </w:t>
            </w:r>
            <w:r w:rsidR="006F6BD1" w:rsidRPr="00A30A96">
              <w:t>5</w:t>
            </w:r>
          </w:p>
        </w:tc>
      </w:tr>
      <w:tr w:rsidR="00143628" w:rsidRPr="006F6BD1" w:rsidTr="004E10E0">
        <w:tc>
          <w:tcPr>
            <w:tcW w:w="9639" w:type="dxa"/>
            <w:gridSpan w:val="3"/>
            <w:tcBorders>
              <w:top w:val="single" w:sz="4" w:space="0" w:color="auto"/>
              <w:left w:val="nil"/>
              <w:bottom w:val="single" w:sz="4" w:space="0" w:color="auto"/>
              <w:right w:val="nil"/>
            </w:tcBorders>
          </w:tcPr>
          <w:p w:rsidR="00143628" w:rsidRPr="00A31EA2" w:rsidRDefault="00143628" w:rsidP="000E0653">
            <w:pPr>
              <w:spacing w:before="80"/>
            </w:pPr>
            <w:r w:rsidRPr="0014454C">
              <w:rPr>
                <w:b/>
                <w:bCs/>
                <w:i/>
                <w:iCs/>
              </w:rPr>
              <w:t xml:space="preserve">Répercussions au niveau des ressources de l'UIT, y compris incidences </w:t>
            </w:r>
            <w:r w:rsidR="00FC285B" w:rsidRPr="0014454C">
              <w:rPr>
                <w:b/>
                <w:bCs/>
                <w:i/>
                <w:iCs/>
              </w:rPr>
              <w:t xml:space="preserve">financières </w:t>
            </w:r>
            <w:r w:rsidRPr="0014454C">
              <w:rPr>
                <w:b/>
                <w:bCs/>
                <w:i/>
                <w:iCs/>
              </w:rPr>
              <w:br/>
              <w:t>(voir le numéro 126 de la Convention):</w:t>
            </w:r>
          </w:p>
          <w:p w:rsidR="00143628" w:rsidRPr="00730563" w:rsidRDefault="00E74F50"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r w:rsidR="003228B3">
              <w:rPr>
                <w:lang w:val="fr-CH"/>
              </w:rPr>
              <w:t xml:space="preserve"> </w:t>
            </w:r>
          </w:p>
        </w:tc>
      </w:tr>
      <w:tr w:rsidR="00143628" w:rsidRPr="009E4745" w:rsidTr="004E10E0">
        <w:tc>
          <w:tcPr>
            <w:tcW w:w="4539" w:type="dxa"/>
            <w:gridSpan w:val="2"/>
            <w:tcBorders>
              <w:top w:val="single" w:sz="4" w:space="0" w:color="auto"/>
              <w:left w:val="nil"/>
              <w:bottom w:val="single" w:sz="4" w:space="0" w:color="auto"/>
              <w:right w:val="nil"/>
            </w:tcBorders>
          </w:tcPr>
          <w:p w:rsidR="00143628" w:rsidRPr="009E4745" w:rsidRDefault="00143628" w:rsidP="000E0653">
            <w:pPr>
              <w:spacing w:before="80"/>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143628" w:rsidRPr="00A31EA2" w:rsidRDefault="00143628" w:rsidP="000E0653">
            <w:pPr>
              <w:spacing w:before="80"/>
            </w:pPr>
            <w:r w:rsidRPr="00695ABE">
              <w:rPr>
                <w:b/>
                <w:bCs/>
                <w:i/>
                <w:iCs/>
              </w:rPr>
              <w:t>Proposition soumise par plusieurs pays:</w:t>
            </w:r>
            <w:r w:rsidRPr="008C0EDF">
              <w:rPr>
                <w:b/>
                <w:bCs/>
              </w:rPr>
              <w:t xml:space="preserve"> </w:t>
            </w:r>
            <w:r w:rsidRPr="009217A6">
              <w:t>Non</w:t>
            </w:r>
          </w:p>
          <w:p w:rsidR="00143628" w:rsidRPr="00FC285B" w:rsidRDefault="00143628" w:rsidP="000E0653">
            <w:pPr>
              <w:spacing w:before="80"/>
            </w:pPr>
            <w:r w:rsidRPr="003A2ED4">
              <w:rPr>
                <w:b/>
                <w:bCs/>
                <w:i/>
                <w:iCs/>
                <w:lang w:val="fr-CH"/>
              </w:rPr>
              <w:t>Nombre de pays:</w:t>
            </w:r>
          </w:p>
        </w:tc>
      </w:tr>
      <w:tr w:rsidR="00143628" w:rsidRPr="00714540" w:rsidTr="004E10E0">
        <w:tc>
          <w:tcPr>
            <w:tcW w:w="9639" w:type="dxa"/>
            <w:gridSpan w:val="3"/>
            <w:tcBorders>
              <w:top w:val="single" w:sz="4" w:space="0" w:color="auto"/>
              <w:left w:val="nil"/>
              <w:bottom w:val="nil"/>
              <w:right w:val="nil"/>
            </w:tcBorders>
          </w:tcPr>
          <w:p w:rsidR="006F6BD1" w:rsidRPr="006F6BD1" w:rsidRDefault="00143628" w:rsidP="000E0653">
            <w:pPr>
              <w:spacing w:before="60"/>
              <w:rPr>
                <w:b/>
                <w:bCs/>
                <w:i/>
                <w:iCs/>
              </w:rPr>
            </w:pPr>
            <w:r w:rsidRPr="003A2ED4">
              <w:rPr>
                <w:b/>
                <w:bCs/>
                <w:i/>
                <w:iCs/>
              </w:rPr>
              <w:t>Observations</w:t>
            </w:r>
          </w:p>
          <w:p w:rsidR="00143628" w:rsidRPr="00714540" w:rsidRDefault="004E10E0" w:rsidP="000E0653">
            <w:pPr>
              <w:spacing w:before="60"/>
              <w:rPr>
                <w:b/>
                <w:i/>
              </w:rPr>
            </w:pPr>
            <w:r>
              <w:t>N</w:t>
            </w:r>
            <w:r w:rsidR="00A500DC">
              <w:t xml:space="preserve">éant </w:t>
            </w:r>
          </w:p>
        </w:tc>
      </w:tr>
    </w:tbl>
    <w:p w:rsidR="006B1FD4" w:rsidRDefault="00A846F5" w:rsidP="00425FA3">
      <w:pPr>
        <w:pStyle w:val="Proposal"/>
        <w:rPr>
          <w:lang w:val="en-US"/>
        </w:rPr>
      </w:pPr>
      <w:r w:rsidRPr="00B65685">
        <w:rPr>
          <w:lang w:val="en-US"/>
        </w:rPr>
        <w:lastRenderedPageBreak/>
        <w:t>ADD</w:t>
      </w:r>
      <w:r w:rsidRPr="00B65685">
        <w:rPr>
          <w:lang w:val="en-US"/>
        </w:rPr>
        <w:tab/>
        <w:t>EUR/9A25/11</w:t>
      </w:r>
    </w:p>
    <w:p w:rsidR="006B1FD4" w:rsidRPr="00730563" w:rsidRDefault="001261B0" w:rsidP="00425FA3">
      <w:pPr>
        <w:pStyle w:val="ResNo"/>
        <w:rPr>
          <w:lang w:val="fr-CH"/>
        </w:rPr>
      </w:pPr>
      <w:r w:rsidRPr="00730563">
        <w:rPr>
          <w:lang w:val="fr-CH"/>
        </w:rPr>
        <w:t xml:space="preserve">PROJET DE NOUVELLE </w:t>
      </w:r>
      <w:r w:rsidR="00BB138D">
        <w:rPr>
          <w:lang w:val="fr-CH"/>
        </w:rPr>
        <w:t>RÉSOLUTION</w:t>
      </w:r>
      <w:r w:rsidR="006F6BD1" w:rsidRPr="00730563">
        <w:rPr>
          <w:lang w:val="fr-CH"/>
        </w:rPr>
        <w:t xml:space="preserve"> [EUR-J10-9] (</w:t>
      </w:r>
      <w:r w:rsidR="003228B3">
        <w:rPr>
          <w:lang w:val="fr-CH"/>
        </w:rPr>
        <w:t>CMR-15</w:t>
      </w:r>
      <w:r w:rsidR="006F6BD1" w:rsidRPr="00730563">
        <w:rPr>
          <w:lang w:val="fr-CH"/>
        </w:rPr>
        <w:t>)</w:t>
      </w:r>
    </w:p>
    <w:p w:rsidR="00E368B2" w:rsidRPr="00730563" w:rsidRDefault="00E368B2" w:rsidP="000E0653">
      <w:pPr>
        <w:pStyle w:val="Restitle"/>
        <w:rPr>
          <w:lang w:val="fr-CH"/>
        </w:rPr>
      </w:pPr>
      <w:r w:rsidRPr="00730563">
        <w:rPr>
          <w:lang w:val="fr-CH"/>
        </w:rPr>
        <w:t>Utilisation des bandes de fréquences</w:t>
      </w:r>
      <w:r w:rsidR="003228B3">
        <w:rPr>
          <w:lang w:val="fr-CH"/>
        </w:rPr>
        <w:t xml:space="preserve"> </w:t>
      </w:r>
      <w:r w:rsidRPr="00730563">
        <w:rPr>
          <w:lang w:val="fr-CH"/>
        </w:rPr>
        <w:t>17</w:t>
      </w:r>
      <w:r w:rsidR="000E0653">
        <w:rPr>
          <w:lang w:val="fr-CH"/>
        </w:rPr>
        <w:t>,</w:t>
      </w:r>
      <w:r w:rsidRPr="00730563">
        <w:rPr>
          <w:lang w:val="fr-CH"/>
        </w:rPr>
        <w:t>7-19</w:t>
      </w:r>
      <w:r w:rsidR="000E0653">
        <w:rPr>
          <w:lang w:val="fr-CH"/>
        </w:rPr>
        <w:t>,</w:t>
      </w:r>
      <w:r w:rsidRPr="00730563">
        <w:rPr>
          <w:lang w:val="fr-CH"/>
        </w:rPr>
        <w:t>7 GHz</w:t>
      </w:r>
      <w:r w:rsidR="003228B3">
        <w:rPr>
          <w:lang w:val="fr-CH"/>
        </w:rPr>
        <w:t xml:space="preserve"> </w:t>
      </w:r>
      <w:r w:rsidRPr="00730563">
        <w:rPr>
          <w:lang w:val="fr-CH"/>
        </w:rPr>
        <w:t>et</w:t>
      </w:r>
      <w:r w:rsidR="003228B3">
        <w:rPr>
          <w:lang w:val="fr-CH"/>
        </w:rPr>
        <w:t xml:space="preserve"> </w:t>
      </w:r>
      <w:r w:rsidRPr="00730563">
        <w:rPr>
          <w:lang w:val="fr-CH"/>
        </w:rPr>
        <w:t>27</w:t>
      </w:r>
      <w:r w:rsidR="000E0653">
        <w:rPr>
          <w:lang w:val="fr-CH"/>
        </w:rPr>
        <w:t>,</w:t>
      </w:r>
      <w:r w:rsidRPr="00730563">
        <w:rPr>
          <w:lang w:val="fr-CH"/>
        </w:rPr>
        <w:t>5-29</w:t>
      </w:r>
      <w:r w:rsidR="000E0653">
        <w:rPr>
          <w:lang w:val="fr-CH"/>
        </w:rPr>
        <w:t>,</w:t>
      </w:r>
      <w:r w:rsidRPr="00730563">
        <w:rPr>
          <w:lang w:val="fr-CH"/>
        </w:rPr>
        <w:t xml:space="preserve">5 GHz par les stations terriennes placées sur des plates-formes mobiles communiquant </w:t>
      </w:r>
      <w:r w:rsidR="000E0653">
        <w:rPr>
          <w:lang w:val="fr-CH"/>
        </w:rPr>
        <w:br/>
      </w:r>
      <w:r w:rsidRPr="00730563">
        <w:rPr>
          <w:lang w:val="fr-CH"/>
        </w:rPr>
        <w:t xml:space="preserve">avec des stations spatiales géostationnaires du service fixe par satellite </w:t>
      </w:r>
    </w:p>
    <w:p w:rsidR="006F6BD1" w:rsidRPr="00730563" w:rsidRDefault="001261B0" w:rsidP="00425FA3">
      <w:pPr>
        <w:pStyle w:val="Normalaftertitle"/>
        <w:rPr>
          <w:lang w:val="fr-CH"/>
        </w:rPr>
      </w:pPr>
      <w:r w:rsidRPr="00730563">
        <w:rPr>
          <w:lang w:val="fr-CH"/>
        </w:rPr>
        <w:t xml:space="preserve">La Conférence mondiale des radiocommunications </w:t>
      </w:r>
      <w:r w:rsidR="006F6BD1" w:rsidRPr="00730563">
        <w:rPr>
          <w:lang w:val="fr-CH"/>
        </w:rPr>
        <w:t>(</w:t>
      </w:r>
      <w:r w:rsidRPr="00730563">
        <w:rPr>
          <w:lang w:val="fr-CH"/>
        </w:rPr>
        <w:t>Genève</w:t>
      </w:r>
      <w:r w:rsidR="003228B3">
        <w:rPr>
          <w:lang w:val="fr-CH"/>
        </w:rPr>
        <w:t>,</w:t>
      </w:r>
      <w:r w:rsidR="006F6BD1" w:rsidRPr="00730563">
        <w:rPr>
          <w:lang w:val="fr-CH"/>
        </w:rPr>
        <w:t xml:space="preserve"> 2015),</w:t>
      </w:r>
    </w:p>
    <w:p w:rsidR="00036633" w:rsidRPr="00FD22D6" w:rsidRDefault="00036633" w:rsidP="00425FA3">
      <w:pPr>
        <w:pStyle w:val="Call"/>
      </w:pPr>
      <w:r w:rsidRPr="00FD22D6">
        <w:t>consid</w:t>
      </w:r>
      <w:r>
        <w:t>érant</w:t>
      </w:r>
    </w:p>
    <w:p w:rsidR="00036633" w:rsidRPr="00FD22D6" w:rsidRDefault="00036633" w:rsidP="00425FA3">
      <w:r w:rsidRPr="000E0653">
        <w:rPr>
          <w:i/>
          <w:iCs/>
        </w:rPr>
        <w:t>a)</w:t>
      </w:r>
      <w:r w:rsidRPr="00FD22D6">
        <w:tab/>
      </w:r>
      <w:r>
        <w:t xml:space="preserve">que les </w:t>
      </w:r>
      <w:r w:rsidRPr="00FD22D6">
        <w:t>band</w:t>
      </w:r>
      <w:r>
        <w:t>e</w:t>
      </w:r>
      <w:r w:rsidRPr="00FD22D6">
        <w:t>s 19</w:t>
      </w:r>
      <w:r>
        <w:t>,</w:t>
      </w:r>
      <w:r w:rsidRPr="00FD22D6">
        <w:t>7-20</w:t>
      </w:r>
      <w:r>
        <w:t>,</w:t>
      </w:r>
      <w:r w:rsidRPr="00FD22D6">
        <w:t xml:space="preserve">2 GHz </w:t>
      </w:r>
      <w:r>
        <w:t xml:space="preserve">et </w:t>
      </w:r>
      <w:r w:rsidRPr="00FD22D6">
        <w:t>29</w:t>
      </w:r>
      <w:r>
        <w:t>,</w:t>
      </w:r>
      <w:r w:rsidRPr="00FD22D6">
        <w:t>5-30</w:t>
      </w:r>
      <w:r>
        <w:t>,</w:t>
      </w:r>
      <w:r w:rsidRPr="00FD22D6">
        <w:t xml:space="preserve">0 GHz </w:t>
      </w:r>
      <w:r>
        <w:t xml:space="preserve">sont attribuées à l'échelle mondiale à titre primaire au </w:t>
      </w:r>
      <w:r w:rsidR="00E368B2">
        <w:t>service fixe par satellite (SFS</w:t>
      </w:r>
      <w:r w:rsidR="00FC285B">
        <w:t>) et</w:t>
      </w:r>
      <w:r>
        <w:t xml:space="preserve"> qu'un grand nombre de réseaux à satellite géostationnaire du SFS fonctionnent dans ces bandes de fréquences</w:t>
      </w:r>
      <w:r w:rsidRPr="00FD22D6">
        <w:t>;</w:t>
      </w:r>
    </w:p>
    <w:p w:rsidR="006F6BD1" w:rsidRPr="00036633" w:rsidRDefault="00036633" w:rsidP="00425FA3">
      <w:pPr>
        <w:rPr>
          <w:lang w:val="fr-CH"/>
        </w:rPr>
      </w:pPr>
      <w:r w:rsidRPr="000E0653">
        <w:rPr>
          <w:i/>
          <w:iCs/>
        </w:rPr>
        <w:t>b)</w:t>
      </w:r>
      <w:r w:rsidRPr="00FD22D6">
        <w:tab/>
      </w:r>
      <w:r>
        <w:t xml:space="preserve">que l'on a de plus en besoin de </w:t>
      </w:r>
      <w:r w:rsidRPr="00FD22D6">
        <w:t>communications</w:t>
      </w:r>
      <w:r>
        <w:t xml:space="preserve"> mobiles</w:t>
      </w:r>
      <w:r w:rsidRPr="00FD22D6">
        <w:t xml:space="preserve">, </w:t>
      </w:r>
      <w:r>
        <w:t>y compris de services par satellite large bande au niveau mondial</w:t>
      </w:r>
      <w:r w:rsidRPr="00FD22D6">
        <w:t xml:space="preserve">, </w:t>
      </w:r>
      <w:r>
        <w:t>et</w:t>
      </w:r>
      <w:r w:rsidR="003228B3">
        <w:t xml:space="preserve"> </w:t>
      </w:r>
      <w:r w:rsidR="00E368B2">
        <w:rPr>
          <w:color w:val="000000"/>
        </w:rPr>
        <w:t>qu'il est possible de satisfaire en partie à ces besoins</w:t>
      </w:r>
      <w:r w:rsidR="00E368B2">
        <w:t xml:space="preserve"> </w:t>
      </w:r>
      <w:r>
        <w:t xml:space="preserve">en permettant </w:t>
      </w:r>
      <w:r w:rsidR="00A6620D">
        <w:t>aux</w:t>
      </w:r>
      <w:r>
        <w:t xml:space="preserve"> stations terriennes</w:t>
      </w:r>
      <w:r w:rsidR="003228B3">
        <w:t xml:space="preserve"> </w:t>
      </w:r>
      <w:r>
        <w:t xml:space="preserve">placées </w:t>
      </w:r>
      <w:r w:rsidR="00A6620D">
        <w:t>sur</w:t>
      </w:r>
      <w:r>
        <w:t xml:space="preserve"> de</w:t>
      </w:r>
      <w:r w:rsidR="00A6620D">
        <w:t>s</w:t>
      </w:r>
      <w:r>
        <w:t xml:space="preserve"> </w:t>
      </w:r>
      <w:r w:rsidRPr="00FD22D6">
        <w:t>plat</w:t>
      </w:r>
      <w:r>
        <w:t>es-</w:t>
      </w:r>
      <w:r w:rsidRPr="00FD22D6">
        <w:t>form</w:t>
      </w:r>
      <w:r>
        <w:t>e</w:t>
      </w:r>
      <w:r w:rsidRPr="00FD22D6">
        <w:t xml:space="preserve">s </w:t>
      </w:r>
      <w:r w:rsidR="00FC285B">
        <w:t xml:space="preserve">mobiles </w:t>
      </w:r>
      <w:r w:rsidRPr="00FD22D6">
        <w:t>(</w:t>
      </w:r>
      <w:r>
        <w:t>navires</w:t>
      </w:r>
      <w:r w:rsidRPr="00FD22D6">
        <w:t xml:space="preserve">, </w:t>
      </w:r>
      <w:r>
        <w:t>aéronefs et véhicules terrestres</w:t>
      </w:r>
      <w:r w:rsidR="00FC285B">
        <w:t>,</w:t>
      </w:r>
      <w:r>
        <w:t xml:space="preserve"> par exemple</w:t>
      </w:r>
      <w:r w:rsidR="00BF2826">
        <w:t>)</w:t>
      </w:r>
      <w:r w:rsidR="000E0653">
        <w:t xml:space="preserve"> </w:t>
      </w:r>
      <w:r>
        <w:t xml:space="preserve">de communiquer avec des stations spatiales du SFS fonctionnant dans les bandes de fréquences </w:t>
      </w:r>
      <w:r w:rsidR="00A6620D">
        <w:t>17,7-</w:t>
      </w:r>
      <w:r w:rsidRPr="00FD22D6">
        <w:t>19</w:t>
      </w:r>
      <w:r>
        <w:t>,</w:t>
      </w:r>
      <w:r w:rsidRPr="00FD22D6">
        <w:t>7</w:t>
      </w:r>
      <w:r w:rsidR="003228B3">
        <w:t xml:space="preserve"> </w:t>
      </w:r>
      <w:r w:rsidRPr="00FD22D6">
        <w:t xml:space="preserve">GHz </w:t>
      </w:r>
      <w:r>
        <w:t xml:space="preserve">et </w:t>
      </w:r>
      <w:r w:rsidR="00A6620D">
        <w:t>27,5-</w:t>
      </w:r>
      <w:r w:rsidRPr="00FD22D6">
        <w:t>29</w:t>
      </w:r>
      <w:r>
        <w:t>,</w:t>
      </w:r>
      <w:r w:rsidRPr="00FD22D6">
        <w:t>5</w:t>
      </w:r>
      <w:r w:rsidR="003228B3">
        <w:t xml:space="preserve"> </w:t>
      </w:r>
      <w:r w:rsidRPr="00FD22D6">
        <w:t>GHz;</w:t>
      </w:r>
    </w:p>
    <w:p w:rsidR="006F6BD1" w:rsidRPr="00730563" w:rsidRDefault="00036633" w:rsidP="000E0653">
      <w:pPr>
        <w:rPr>
          <w:lang w:val="fr-CH"/>
        </w:rPr>
      </w:pPr>
      <w:r w:rsidRPr="000E0653">
        <w:rPr>
          <w:i/>
          <w:iCs/>
          <w:lang w:val="fr-CH"/>
        </w:rPr>
        <w:t>c)</w:t>
      </w:r>
      <w:r w:rsidRPr="00730563">
        <w:rPr>
          <w:lang w:val="fr-CH"/>
        </w:rPr>
        <w:tab/>
      </w:r>
      <w:r w:rsidR="000F4198" w:rsidRPr="00730563">
        <w:rPr>
          <w:lang w:val="fr-CH"/>
        </w:rPr>
        <w:t xml:space="preserve">que, conformément au numéro </w:t>
      </w:r>
      <w:r w:rsidRPr="00730563">
        <w:rPr>
          <w:b/>
          <w:bCs/>
          <w:lang w:val="fr-CH"/>
        </w:rPr>
        <w:t>5.526</w:t>
      </w:r>
      <w:r w:rsidR="003228B3">
        <w:rPr>
          <w:lang w:val="fr-CH"/>
        </w:rPr>
        <w:t>,</w:t>
      </w:r>
      <w:r w:rsidR="000F4198" w:rsidRPr="00730563">
        <w:rPr>
          <w:lang w:val="fr-CH"/>
        </w:rPr>
        <w:t xml:space="preserve"> les stations terriennes placées sur des plates</w:t>
      </w:r>
      <w:r w:rsidR="000E0653">
        <w:rPr>
          <w:lang w:val="fr-CH"/>
        </w:rPr>
        <w:noBreakHyphen/>
      </w:r>
      <w:r w:rsidR="000F4198" w:rsidRPr="00730563">
        <w:rPr>
          <w:lang w:val="fr-CH"/>
        </w:rPr>
        <w:t>formes mobiles peuvent fonctionner avec les réseaux du SFS dans certaines bandes de fréquences</w:t>
      </w:r>
      <w:r w:rsidR="003228B3">
        <w:rPr>
          <w:lang w:val="fr-CH"/>
        </w:rPr>
        <w:t>;</w:t>
      </w:r>
    </w:p>
    <w:p w:rsidR="006F6BD1" w:rsidRPr="00036633" w:rsidRDefault="00036633" w:rsidP="00425FA3">
      <w:pPr>
        <w:rPr>
          <w:lang w:val="fr-CH"/>
        </w:rPr>
      </w:pPr>
      <w:r w:rsidRPr="000E0653">
        <w:rPr>
          <w:i/>
          <w:iCs/>
          <w:lang w:val="fr-CH"/>
        </w:rPr>
        <w:t>d)</w:t>
      </w:r>
      <w:r w:rsidRPr="00FD22D6">
        <w:tab/>
      </w:r>
      <w:r>
        <w:t xml:space="preserve">que certaines </w:t>
      </w:r>
      <w:r w:rsidRPr="00FD22D6">
        <w:t xml:space="preserve">administrations </w:t>
      </w:r>
      <w:r>
        <w:t xml:space="preserve">ont déjà </w:t>
      </w:r>
      <w:r w:rsidR="000F4198">
        <w:t>mis en place des stations terriennes</w:t>
      </w:r>
      <w:r w:rsidR="000F4198" w:rsidRPr="000F4198">
        <w:t xml:space="preserve"> </w:t>
      </w:r>
      <w:r w:rsidR="000F4198">
        <w:t>de ce type</w:t>
      </w:r>
      <w:r w:rsidRPr="00FD22D6">
        <w:t xml:space="preserve">, </w:t>
      </w:r>
      <w:r w:rsidR="000F4198">
        <w:rPr>
          <w:color w:val="000000"/>
        </w:rPr>
        <w:t>et qu'elles envisagent d'utiliser davantage</w:t>
      </w:r>
      <w:r w:rsidR="003228B3">
        <w:rPr>
          <w:color w:val="000000"/>
        </w:rPr>
        <w:t xml:space="preserve"> </w:t>
      </w:r>
      <w:r w:rsidR="00926ABD">
        <w:t>ces</w:t>
      </w:r>
      <w:r w:rsidR="000F4198">
        <w:t xml:space="preserve"> stations terriennes</w:t>
      </w:r>
      <w:r w:rsidR="00FC285B">
        <w:t>,</w:t>
      </w:r>
      <w:r w:rsidR="003228B3">
        <w:t xml:space="preserve"> </w:t>
      </w:r>
      <w:r>
        <w:t>avec des réseaux</w:t>
      </w:r>
      <w:r w:rsidR="000F4198">
        <w:t xml:space="preserve"> géostationnaires</w:t>
      </w:r>
      <w:r>
        <w:t xml:space="preserve"> du SFS</w:t>
      </w:r>
      <w:r w:rsidR="003228B3">
        <w:t xml:space="preserve"> </w:t>
      </w:r>
      <w:r>
        <w:t>opérationnels ou futurs</w:t>
      </w:r>
      <w:r w:rsidRPr="00FD22D6">
        <w:t>;</w:t>
      </w:r>
    </w:p>
    <w:p w:rsidR="006F6BD1" w:rsidRPr="00036633" w:rsidRDefault="00036633" w:rsidP="000E0653">
      <w:pPr>
        <w:rPr>
          <w:lang w:val="fr-CH"/>
        </w:rPr>
      </w:pPr>
      <w:r w:rsidRPr="000E0653">
        <w:rPr>
          <w:i/>
          <w:iCs/>
          <w:lang w:val="fr-CH"/>
        </w:rPr>
        <w:t>e)</w:t>
      </w:r>
      <w:r w:rsidRPr="00FD22D6">
        <w:tab/>
      </w:r>
      <w:r w:rsidR="00926ABD">
        <w:t>que</w:t>
      </w:r>
      <w:r>
        <w:t xml:space="preserve"> les réseaux</w:t>
      </w:r>
      <w:r w:rsidR="000F4198" w:rsidRPr="000F4198">
        <w:t xml:space="preserve"> </w:t>
      </w:r>
      <w:r w:rsidR="000F4198">
        <w:t>géostationnaires</w:t>
      </w:r>
      <w:r w:rsidR="003228B3">
        <w:t xml:space="preserve"> </w:t>
      </w:r>
      <w:r>
        <w:t>du SFS dans les bandes </w:t>
      </w:r>
      <w:r w:rsidR="00926ABD">
        <w:t>17,7-</w:t>
      </w:r>
      <w:r w:rsidR="00926ABD" w:rsidRPr="00FD22D6">
        <w:t>19</w:t>
      </w:r>
      <w:r w:rsidR="00926ABD">
        <w:t>,</w:t>
      </w:r>
      <w:r w:rsidR="00926ABD" w:rsidRPr="00FD22D6">
        <w:t>7</w:t>
      </w:r>
      <w:r w:rsidR="003228B3">
        <w:t xml:space="preserve"> </w:t>
      </w:r>
      <w:r w:rsidR="00926ABD" w:rsidRPr="00FD22D6">
        <w:t xml:space="preserve">GHz </w:t>
      </w:r>
      <w:r w:rsidR="00926ABD">
        <w:t>et 27,5-</w:t>
      </w:r>
      <w:r w:rsidR="00926ABD" w:rsidRPr="00FD22D6">
        <w:t>29</w:t>
      </w:r>
      <w:r w:rsidR="00926ABD">
        <w:t>,</w:t>
      </w:r>
      <w:r w:rsidR="00926ABD" w:rsidRPr="00FD22D6">
        <w:t>5</w:t>
      </w:r>
      <w:r w:rsidR="000E0653">
        <w:t> </w:t>
      </w:r>
      <w:r w:rsidRPr="00FD22D6">
        <w:t xml:space="preserve">GHz </w:t>
      </w:r>
      <w:r w:rsidR="00926ABD">
        <w:rPr>
          <w:color w:val="000000"/>
        </w:rPr>
        <w:t>doivent faire l'objet d'une coordination</w:t>
      </w:r>
      <w:r w:rsidR="00FC285B">
        <w:rPr>
          <w:color w:val="000000"/>
        </w:rPr>
        <w:t xml:space="preserve"> </w:t>
      </w:r>
      <w:r>
        <w:t xml:space="preserve">conformément aux dispositions des </w:t>
      </w:r>
      <w:r w:rsidRPr="00FD22D6">
        <w:t xml:space="preserve">Articles </w:t>
      </w:r>
      <w:r w:rsidRPr="00FD22D6">
        <w:rPr>
          <w:b/>
          <w:bCs/>
        </w:rPr>
        <w:t>9</w:t>
      </w:r>
      <w:r w:rsidRPr="00FD22D6">
        <w:t xml:space="preserve"> </w:t>
      </w:r>
      <w:r>
        <w:t>et</w:t>
      </w:r>
      <w:r w:rsidR="000E0653">
        <w:t> </w:t>
      </w:r>
      <w:r w:rsidRPr="00FD22D6">
        <w:rPr>
          <w:b/>
          <w:bCs/>
        </w:rPr>
        <w:t>11</w:t>
      </w:r>
      <w:r w:rsidRPr="00FD22D6">
        <w:t xml:space="preserve"> </w:t>
      </w:r>
      <w:r>
        <w:t>du Règlement des radiocommunications</w:t>
      </w:r>
      <w:r w:rsidRPr="00FD22D6">
        <w:t xml:space="preserve">, </w:t>
      </w:r>
      <w:r>
        <w:t xml:space="preserve">afin </w:t>
      </w:r>
      <w:r w:rsidR="00926ABD">
        <w:t>de tenir compte de la probabilité</w:t>
      </w:r>
      <w:r>
        <w:t xml:space="preserve"> de brouillage entre ces réseaux et les autres services bénéficiant d'une attribution dans </w:t>
      </w:r>
      <w:r w:rsidR="00926ABD">
        <w:t>la</w:t>
      </w:r>
      <w:r>
        <w:t xml:space="preserve"> bande</w:t>
      </w:r>
      <w:r w:rsidR="003228B3">
        <w:t>;</w:t>
      </w:r>
    </w:p>
    <w:p w:rsidR="00036633" w:rsidRPr="00730563" w:rsidRDefault="00036633" w:rsidP="000E0653">
      <w:pPr>
        <w:rPr>
          <w:lang w:val="fr-CH"/>
        </w:rPr>
      </w:pPr>
      <w:r w:rsidRPr="000E0653">
        <w:rPr>
          <w:i/>
          <w:iCs/>
          <w:lang w:val="fr-CH"/>
        </w:rPr>
        <w:t>f)</w:t>
      </w:r>
      <w:r w:rsidRPr="00730563">
        <w:rPr>
          <w:lang w:val="fr-CH"/>
        </w:rPr>
        <w:tab/>
      </w:r>
      <w:r w:rsidR="00926ABD" w:rsidRPr="00730563">
        <w:rPr>
          <w:lang w:val="fr-CH"/>
        </w:rPr>
        <w:t xml:space="preserve">que les bandes </w:t>
      </w:r>
      <w:r w:rsidRPr="00730563">
        <w:rPr>
          <w:lang w:val="fr-CH"/>
        </w:rPr>
        <w:t>17</w:t>
      </w:r>
      <w:r w:rsidR="000E0653">
        <w:rPr>
          <w:lang w:val="fr-CH"/>
        </w:rPr>
        <w:t>,</w:t>
      </w:r>
      <w:r w:rsidRPr="00730563">
        <w:rPr>
          <w:lang w:val="fr-CH"/>
        </w:rPr>
        <w:t>7-19</w:t>
      </w:r>
      <w:r w:rsidR="000E0653">
        <w:rPr>
          <w:lang w:val="fr-CH"/>
        </w:rPr>
        <w:t>,</w:t>
      </w:r>
      <w:r w:rsidRPr="00730563">
        <w:rPr>
          <w:lang w:val="fr-CH"/>
        </w:rPr>
        <w:t>7 GHz</w:t>
      </w:r>
      <w:r w:rsidR="00926ABD" w:rsidRPr="00730563">
        <w:rPr>
          <w:lang w:val="fr-CH"/>
        </w:rPr>
        <w:t xml:space="preserve"> et </w:t>
      </w:r>
      <w:r w:rsidRPr="00730563">
        <w:rPr>
          <w:lang w:val="fr-CH"/>
        </w:rPr>
        <w:t>27</w:t>
      </w:r>
      <w:r w:rsidR="000E0653">
        <w:rPr>
          <w:lang w:val="fr-CH"/>
        </w:rPr>
        <w:t>,</w:t>
      </w:r>
      <w:r w:rsidRPr="00730563">
        <w:rPr>
          <w:lang w:val="fr-CH"/>
        </w:rPr>
        <w:t>5-29</w:t>
      </w:r>
      <w:r w:rsidR="000E0653">
        <w:rPr>
          <w:lang w:val="fr-CH"/>
        </w:rPr>
        <w:t>,</w:t>
      </w:r>
      <w:r w:rsidRPr="00730563">
        <w:rPr>
          <w:lang w:val="fr-CH"/>
        </w:rPr>
        <w:t xml:space="preserve">5 GHz </w:t>
      </w:r>
      <w:r w:rsidR="00926ABD" w:rsidRPr="00730563">
        <w:rPr>
          <w:lang w:val="fr-CH"/>
        </w:rPr>
        <w:t>sont, de plus, attribuées à plusieurs autres services à titre primaire et sont utilisés par divers systèmes différents dans de nombreuses administrations</w:t>
      </w:r>
      <w:r w:rsidR="003228B3">
        <w:rPr>
          <w:lang w:val="fr-CH"/>
        </w:rPr>
        <w:t>;</w:t>
      </w:r>
    </w:p>
    <w:p w:rsidR="00036633" w:rsidRPr="00730563" w:rsidRDefault="00036633" w:rsidP="000E0653">
      <w:pPr>
        <w:rPr>
          <w:lang w:val="fr-CH"/>
        </w:rPr>
      </w:pPr>
      <w:r w:rsidRPr="000E0653">
        <w:rPr>
          <w:i/>
          <w:iCs/>
          <w:lang w:val="fr-CH"/>
        </w:rPr>
        <w:t>g)</w:t>
      </w:r>
      <w:r w:rsidRPr="00730563">
        <w:rPr>
          <w:lang w:val="fr-CH"/>
        </w:rPr>
        <w:tab/>
      </w:r>
      <w:r w:rsidR="00F60EF9" w:rsidRPr="00730563">
        <w:rPr>
          <w:lang w:val="fr-CH"/>
        </w:rPr>
        <w:t>que certaines r</w:t>
      </w:r>
      <w:r w:rsidR="000E0653">
        <w:rPr>
          <w:lang w:val="fr-CH"/>
        </w:rPr>
        <w:t>é</w:t>
      </w:r>
      <w:r w:rsidR="00F60EF9" w:rsidRPr="00730563">
        <w:rPr>
          <w:lang w:val="fr-CH"/>
        </w:rPr>
        <w:t>gions ont</w:t>
      </w:r>
      <w:r w:rsidR="003228B3">
        <w:rPr>
          <w:lang w:val="fr-CH"/>
        </w:rPr>
        <w:t xml:space="preserve"> </w:t>
      </w:r>
      <w:r w:rsidR="00F60EF9" w:rsidRPr="00730563">
        <w:rPr>
          <w:lang w:val="fr-CH"/>
        </w:rPr>
        <w:t>segmenté la bande 27</w:t>
      </w:r>
      <w:r w:rsidR="000E0653">
        <w:rPr>
          <w:lang w:val="fr-CH"/>
        </w:rPr>
        <w:t>,</w:t>
      </w:r>
      <w:r w:rsidR="00F60EF9" w:rsidRPr="00730563">
        <w:rPr>
          <w:lang w:val="fr-CH"/>
        </w:rPr>
        <w:t>5-29</w:t>
      </w:r>
      <w:r w:rsidR="000E0653">
        <w:rPr>
          <w:lang w:val="fr-CH"/>
        </w:rPr>
        <w:t>,</w:t>
      </w:r>
      <w:r w:rsidR="00F60EF9" w:rsidRPr="00730563">
        <w:rPr>
          <w:lang w:val="fr-CH"/>
        </w:rPr>
        <w:t>5 GHz entre le SFS et le service fixe, afin de répondre aux besoins de ces deux services</w:t>
      </w:r>
      <w:r w:rsidR="003228B3">
        <w:rPr>
          <w:lang w:val="fr-CH"/>
        </w:rPr>
        <w:t>,</w:t>
      </w:r>
    </w:p>
    <w:p w:rsidR="006F6BD1" w:rsidRPr="00730563" w:rsidRDefault="00036633" w:rsidP="00425FA3">
      <w:pPr>
        <w:pStyle w:val="Call"/>
        <w:rPr>
          <w:lang w:val="fr-CH"/>
        </w:rPr>
      </w:pPr>
      <w:r w:rsidRPr="00730563">
        <w:rPr>
          <w:lang w:val="fr-CH"/>
        </w:rPr>
        <w:t>reconnaissant</w:t>
      </w:r>
    </w:p>
    <w:p w:rsidR="00036633" w:rsidRPr="00730563" w:rsidRDefault="00036633" w:rsidP="00425FA3">
      <w:pPr>
        <w:rPr>
          <w:lang w:val="fr-CH"/>
        </w:rPr>
      </w:pPr>
      <w:r w:rsidRPr="000E0653">
        <w:rPr>
          <w:i/>
          <w:iCs/>
          <w:lang w:val="fr-CH"/>
        </w:rPr>
        <w:t>a)</w:t>
      </w:r>
      <w:r w:rsidRPr="00730563">
        <w:rPr>
          <w:lang w:val="fr-CH"/>
        </w:rPr>
        <w:tab/>
      </w:r>
      <w:r w:rsidR="00F60EF9">
        <w:rPr>
          <w:color w:val="000000"/>
        </w:rPr>
        <w:t xml:space="preserve">que les stations terriennes </w:t>
      </w:r>
      <w:r w:rsidR="00F60EF9">
        <w:t xml:space="preserve">placées sur des </w:t>
      </w:r>
      <w:r w:rsidR="00F60EF9">
        <w:rPr>
          <w:color w:val="000000"/>
        </w:rPr>
        <w:t>plates-formes mobiles examinées dans la présente Résolution ne sont pas destinées à être utilisées pour</w:t>
      </w:r>
      <w:r w:rsidR="003228B3">
        <w:rPr>
          <w:color w:val="000000"/>
        </w:rPr>
        <w:t xml:space="preserve"> </w:t>
      </w:r>
      <w:r w:rsidR="00F60EF9">
        <w:rPr>
          <w:color w:val="000000"/>
        </w:rPr>
        <w:t>des</w:t>
      </w:r>
      <w:r w:rsidR="003228B3">
        <w:rPr>
          <w:color w:val="000000"/>
        </w:rPr>
        <w:t xml:space="preserve"> </w:t>
      </w:r>
      <w:r w:rsidR="00F60EF9">
        <w:rPr>
          <w:color w:val="000000"/>
        </w:rPr>
        <w:t>applications de sécurité</w:t>
      </w:r>
      <w:r w:rsidR="003228B3">
        <w:rPr>
          <w:lang w:val="fr-CH"/>
        </w:rPr>
        <w:t>;</w:t>
      </w:r>
    </w:p>
    <w:p w:rsidR="00036633" w:rsidRPr="00730563" w:rsidRDefault="00036633" w:rsidP="000E0653">
      <w:pPr>
        <w:rPr>
          <w:lang w:val="fr-CH"/>
        </w:rPr>
      </w:pPr>
      <w:r w:rsidRPr="000E0653">
        <w:rPr>
          <w:i/>
          <w:iCs/>
          <w:lang w:val="fr-CH"/>
        </w:rPr>
        <w:t>b)</w:t>
      </w:r>
      <w:r w:rsidRPr="00730563">
        <w:rPr>
          <w:lang w:val="fr-CH"/>
        </w:rPr>
        <w:tab/>
      </w:r>
      <w:r w:rsidR="00F60EF9" w:rsidRPr="00730563">
        <w:rPr>
          <w:lang w:val="fr-CH"/>
        </w:rPr>
        <w:t>que la</w:t>
      </w:r>
      <w:r w:rsidR="003228B3">
        <w:rPr>
          <w:lang w:val="fr-CH"/>
        </w:rPr>
        <w:t xml:space="preserve"> CMR-15</w:t>
      </w:r>
      <w:r w:rsidRPr="00730563">
        <w:rPr>
          <w:lang w:val="fr-CH"/>
        </w:rPr>
        <w:t xml:space="preserve"> </w:t>
      </w:r>
      <w:r w:rsidR="00F60EF9" w:rsidRPr="00730563">
        <w:rPr>
          <w:lang w:val="fr-CH"/>
        </w:rPr>
        <w:t xml:space="preserve">a traité </w:t>
      </w:r>
      <w:r w:rsidR="00F60EF9">
        <w:rPr>
          <w:color w:val="000000"/>
        </w:rPr>
        <w:t xml:space="preserve">ce problème </w:t>
      </w:r>
      <w:r w:rsidR="00F60EF9" w:rsidRPr="00730563">
        <w:rPr>
          <w:lang w:val="fr-CH"/>
        </w:rPr>
        <w:t>dans les bandes</w:t>
      </w:r>
      <w:r w:rsidR="003228B3">
        <w:rPr>
          <w:lang w:val="fr-CH"/>
        </w:rPr>
        <w:t xml:space="preserve"> </w:t>
      </w:r>
      <w:r w:rsidRPr="00730563">
        <w:rPr>
          <w:lang w:val="fr-CH"/>
        </w:rPr>
        <w:t>19</w:t>
      </w:r>
      <w:r w:rsidR="000E0653">
        <w:rPr>
          <w:lang w:val="fr-CH"/>
        </w:rPr>
        <w:t>,</w:t>
      </w:r>
      <w:r w:rsidRPr="00730563">
        <w:rPr>
          <w:lang w:val="fr-CH"/>
        </w:rPr>
        <w:t>7-20</w:t>
      </w:r>
      <w:r w:rsidR="000E0653">
        <w:rPr>
          <w:lang w:val="fr-CH"/>
        </w:rPr>
        <w:t>,</w:t>
      </w:r>
      <w:r w:rsidRPr="00730563">
        <w:rPr>
          <w:lang w:val="fr-CH"/>
        </w:rPr>
        <w:t>2 GHz</w:t>
      </w:r>
      <w:r w:rsidR="003228B3">
        <w:rPr>
          <w:lang w:val="fr-CH"/>
        </w:rPr>
        <w:t xml:space="preserve"> </w:t>
      </w:r>
      <w:r w:rsidR="00F60EF9" w:rsidRPr="00730563">
        <w:rPr>
          <w:lang w:val="fr-CH"/>
        </w:rPr>
        <w:t>et</w:t>
      </w:r>
      <w:r w:rsidR="003228B3">
        <w:rPr>
          <w:lang w:val="fr-CH"/>
        </w:rPr>
        <w:t xml:space="preserve"> </w:t>
      </w:r>
      <w:r w:rsidRPr="00730563">
        <w:rPr>
          <w:lang w:val="fr-CH"/>
        </w:rPr>
        <w:t>29</w:t>
      </w:r>
      <w:r w:rsidR="000E0653">
        <w:rPr>
          <w:lang w:val="fr-CH"/>
        </w:rPr>
        <w:t>,</w:t>
      </w:r>
      <w:r w:rsidRPr="00730563">
        <w:rPr>
          <w:lang w:val="fr-CH"/>
        </w:rPr>
        <w:t>5-30</w:t>
      </w:r>
      <w:r w:rsidR="000E0653">
        <w:rPr>
          <w:lang w:val="fr-CH"/>
        </w:rPr>
        <w:t>,</w:t>
      </w:r>
      <w:r w:rsidRPr="00730563">
        <w:rPr>
          <w:lang w:val="fr-CH"/>
        </w:rPr>
        <w:t>0 GHz,</w:t>
      </w:r>
    </w:p>
    <w:p w:rsidR="00036633" w:rsidRPr="00036633" w:rsidRDefault="00036633" w:rsidP="00425FA3">
      <w:pPr>
        <w:pStyle w:val="Call"/>
        <w:rPr>
          <w:lang w:val="fr-CH"/>
        </w:rPr>
      </w:pPr>
      <w:r w:rsidRPr="00036633">
        <w:rPr>
          <w:lang w:val="fr-CH"/>
        </w:rPr>
        <w:t>considérant en outre</w:t>
      </w:r>
    </w:p>
    <w:p w:rsidR="00036633" w:rsidRPr="00FD22D6" w:rsidRDefault="00036633" w:rsidP="00425FA3">
      <w:r w:rsidRPr="000E0653">
        <w:rPr>
          <w:i/>
          <w:iCs/>
          <w:lang w:val="fr-CH"/>
        </w:rPr>
        <w:t>a)</w:t>
      </w:r>
      <w:r w:rsidRPr="00FD22D6">
        <w:tab/>
      </w:r>
      <w:r>
        <w:t xml:space="preserve">que certaines </w:t>
      </w:r>
      <w:r w:rsidRPr="00FD22D6">
        <w:t xml:space="preserve">administrations </w:t>
      </w:r>
      <w:r>
        <w:t xml:space="preserve">ont </w:t>
      </w:r>
      <w:r w:rsidR="00F60EF9">
        <w:t xml:space="preserve">réglé </w:t>
      </w:r>
      <w:r w:rsidR="00F60EF9">
        <w:rPr>
          <w:color w:val="000000"/>
        </w:rPr>
        <w:t>ce problème au niveau national</w:t>
      </w:r>
      <w:r w:rsidR="00F60EF9">
        <w:t xml:space="preserve"> </w:t>
      </w:r>
      <w:r>
        <w:t>ou régional</w:t>
      </w:r>
      <w:r w:rsidR="003228B3">
        <w:t xml:space="preserve"> </w:t>
      </w:r>
      <w:r>
        <w:t>en adoptant des critères techniques et opérationnels pour l'exploitation de</w:t>
      </w:r>
      <w:r w:rsidR="00F60EF9">
        <w:t>s</w:t>
      </w:r>
      <w:r w:rsidR="003228B3">
        <w:t xml:space="preserve"> </w:t>
      </w:r>
      <w:r w:rsidRPr="00FD22D6">
        <w:t>stations</w:t>
      </w:r>
      <w:r>
        <w:t xml:space="preserve"> terriennes</w:t>
      </w:r>
      <w:r w:rsidR="00F60EF9">
        <w:t xml:space="preserve"> placées sur des plates-formes mobiles</w:t>
      </w:r>
      <w:r w:rsidR="003228B3">
        <w:t>;</w:t>
      </w:r>
    </w:p>
    <w:p w:rsidR="00036633" w:rsidRPr="00036633" w:rsidRDefault="00036633" w:rsidP="00425FA3">
      <w:pPr>
        <w:rPr>
          <w:lang w:val="fr-CH"/>
        </w:rPr>
      </w:pPr>
      <w:r w:rsidRPr="000E0653">
        <w:rPr>
          <w:i/>
          <w:iCs/>
          <w:lang w:val="fr-CH"/>
        </w:rPr>
        <w:lastRenderedPageBreak/>
        <w:t>b)</w:t>
      </w:r>
      <w:r w:rsidRPr="00FD22D6">
        <w:tab/>
      </w:r>
      <w:r>
        <w:t>qu'une approche cohérente relative au déploiement de ces stations terriennes permettra de répondre à ces besoins importants et croissants de communications au niveau mondial</w:t>
      </w:r>
      <w:r w:rsidR="003228B3">
        <w:t>;</w:t>
      </w:r>
    </w:p>
    <w:p w:rsidR="00F150E4" w:rsidRPr="00730563" w:rsidRDefault="00F150E4" w:rsidP="00425FA3">
      <w:pPr>
        <w:rPr>
          <w:lang w:val="fr-CH"/>
        </w:rPr>
      </w:pPr>
      <w:r w:rsidRPr="000E0653">
        <w:rPr>
          <w:i/>
          <w:iCs/>
          <w:lang w:val="fr-CH"/>
        </w:rPr>
        <w:t>c)</w:t>
      </w:r>
      <w:r w:rsidRPr="00730563">
        <w:rPr>
          <w:lang w:val="fr-CH"/>
        </w:rPr>
        <w:tab/>
      </w:r>
      <w:r w:rsidR="00F60EF9" w:rsidRPr="00730563">
        <w:rPr>
          <w:lang w:val="fr-CH"/>
        </w:rPr>
        <w:t>que l</w:t>
      </w:r>
      <w:r w:rsidR="00B979D7">
        <w:rPr>
          <w:lang w:val="fr-CH"/>
        </w:rPr>
        <w:t>'</w:t>
      </w:r>
      <w:r w:rsidR="00F60EF9" w:rsidRPr="00730563">
        <w:rPr>
          <w:lang w:val="fr-CH"/>
        </w:rPr>
        <w:t>UIT-R a adopté</w:t>
      </w:r>
      <w:r w:rsidR="003228B3">
        <w:rPr>
          <w:lang w:val="fr-CH"/>
        </w:rPr>
        <w:t xml:space="preserve"> </w:t>
      </w:r>
      <w:r w:rsidR="00F60EF9" w:rsidRPr="00730563">
        <w:rPr>
          <w:lang w:val="fr-CH"/>
        </w:rPr>
        <w:t xml:space="preserve">les </w:t>
      </w:r>
      <w:r w:rsidR="000E0653" w:rsidRPr="00730563">
        <w:rPr>
          <w:lang w:val="fr-CH"/>
        </w:rPr>
        <w:t>R</w:t>
      </w:r>
      <w:r w:rsidR="00F60EF9" w:rsidRPr="00730563">
        <w:rPr>
          <w:lang w:val="fr-CH"/>
        </w:rPr>
        <w:t>apports</w:t>
      </w:r>
      <w:r w:rsidR="003228B3">
        <w:rPr>
          <w:lang w:val="fr-CH"/>
        </w:rPr>
        <w:t xml:space="preserve"> </w:t>
      </w:r>
      <w:r w:rsidR="002E2C8C" w:rsidRPr="00730563">
        <w:rPr>
          <w:lang w:val="fr-CH"/>
        </w:rPr>
        <w:t>UIT</w:t>
      </w:r>
      <w:r w:rsidR="00BF2826">
        <w:rPr>
          <w:lang w:val="fr-CH"/>
        </w:rPr>
        <w:t>-</w:t>
      </w:r>
      <w:r w:rsidRPr="00730563">
        <w:rPr>
          <w:lang w:val="fr-CH"/>
        </w:rPr>
        <w:t>R S.2223</w:t>
      </w:r>
      <w:r w:rsidR="00F60EF9" w:rsidRPr="00730563">
        <w:rPr>
          <w:lang w:val="fr-CH"/>
        </w:rPr>
        <w:t xml:space="preserve"> et</w:t>
      </w:r>
      <w:r w:rsidR="003228B3">
        <w:rPr>
          <w:lang w:val="fr-CH"/>
        </w:rPr>
        <w:t xml:space="preserve"> </w:t>
      </w:r>
      <w:r w:rsidRPr="00730563">
        <w:rPr>
          <w:lang w:val="fr-CH"/>
        </w:rPr>
        <w:t>S.2357,</w:t>
      </w:r>
    </w:p>
    <w:p w:rsidR="00F150E4" w:rsidRPr="00730563" w:rsidRDefault="00F60EF9" w:rsidP="00425FA3">
      <w:pPr>
        <w:pStyle w:val="Call"/>
        <w:rPr>
          <w:lang w:val="fr-CH"/>
        </w:rPr>
      </w:pPr>
      <w:r w:rsidRPr="00730563">
        <w:rPr>
          <w:lang w:val="fr-CH"/>
        </w:rPr>
        <w:t>décide d</w:t>
      </w:r>
      <w:r w:rsidR="00B979D7">
        <w:rPr>
          <w:lang w:val="fr-CH"/>
        </w:rPr>
        <w:t>'</w:t>
      </w:r>
      <w:r w:rsidRPr="00730563">
        <w:rPr>
          <w:lang w:val="fr-CH"/>
        </w:rPr>
        <w:t>inviter l</w:t>
      </w:r>
      <w:r w:rsidR="00B979D7">
        <w:rPr>
          <w:lang w:val="fr-CH"/>
        </w:rPr>
        <w:t>'</w:t>
      </w:r>
      <w:r w:rsidRPr="00730563">
        <w:rPr>
          <w:lang w:val="fr-CH"/>
        </w:rPr>
        <w:t>UIT-R</w:t>
      </w:r>
      <w:r w:rsidR="003228B3">
        <w:rPr>
          <w:lang w:val="fr-CH"/>
        </w:rPr>
        <w:t xml:space="preserve"> </w:t>
      </w:r>
    </w:p>
    <w:p w:rsidR="00F150E4" w:rsidRPr="00730563" w:rsidRDefault="00D15FCD" w:rsidP="000E0653">
      <w:pPr>
        <w:rPr>
          <w:lang w:val="fr-CH"/>
        </w:rPr>
      </w:pPr>
      <w:r w:rsidRPr="00730563">
        <w:rPr>
          <w:lang w:val="fr-CH"/>
        </w:rPr>
        <w:t>à étudier le partage entre les stations terriennes placées sur des plates-formes mobiles fonctionnant avec des réseaux géostationnaires du SFS et les systèmes, actuels et en projet, des services ayant des attributions à titre primaire dans les bandes</w:t>
      </w:r>
      <w:r w:rsidR="003228B3">
        <w:rPr>
          <w:lang w:val="fr-CH"/>
        </w:rPr>
        <w:t xml:space="preserve"> </w:t>
      </w:r>
      <w:r w:rsidR="00F150E4" w:rsidRPr="00730563">
        <w:rPr>
          <w:lang w:val="fr-CH"/>
        </w:rPr>
        <w:t>17</w:t>
      </w:r>
      <w:r w:rsidR="000E0653">
        <w:rPr>
          <w:lang w:val="fr-CH"/>
        </w:rPr>
        <w:t>,</w:t>
      </w:r>
      <w:r w:rsidR="00F150E4" w:rsidRPr="00730563">
        <w:rPr>
          <w:lang w:val="fr-CH"/>
        </w:rPr>
        <w:t>7-19</w:t>
      </w:r>
      <w:r w:rsidR="000E0653">
        <w:rPr>
          <w:lang w:val="fr-CH"/>
        </w:rPr>
        <w:t>,</w:t>
      </w:r>
      <w:r w:rsidR="00F150E4" w:rsidRPr="00730563">
        <w:rPr>
          <w:lang w:val="fr-CH"/>
        </w:rPr>
        <w:t>7 GHz</w:t>
      </w:r>
      <w:r w:rsidR="003228B3">
        <w:rPr>
          <w:lang w:val="fr-CH"/>
        </w:rPr>
        <w:t xml:space="preserve"> </w:t>
      </w:r>
      <w:r w:rsidRPr="00730563">
        <w:rPr>
          <w:lang w:val="fr-CH"/>
        </w:rPr>
        <w:t xml:space="preserve">et </w:t>
      </w:r>
      <w:r w:rsidR="00F150E4" w:rsidRPr="00730563">
        <w:rPr>
          <w:lang w:val="fr-CH"/>
        </w:rPr>
        <w:t>27</w:t>
      </w:r>
      <w:r w:rsidR="000E0653">
        <w:rPr>
          <w:lang w:val="fr-CH"/>
        </w:rPr>
        <w:t>,</w:t>
      </w:r>
      <w:r w:rsidR="00F150E4" w:rsidRPr="00730563">
        <w:rPr>
          <w:lang w:val="fr-CH"/>
        </w:rPr>
        <w:t>5-29</w:t>
      </w:r>
      <w:r w:rsidR="000E0653">
        <w:rPr>
          <w:lang w:val="fr-CH"/>
        </w:rPr>
        <w:t>,</w:t>
      </w:r>
      <w:r w:rsidR="00F150E4" w:rsidRPr="00730563">
        <w:rPr>
          <w:lang w:val="fr-CH"/>
        </w:rPr>
        <w:t>5 GHz,</w:t>
      </w:r>
    </w:p>
    <w:p w:rsidR="00F150E4" w:rsidRPr="00730563" w:rsidRDefault="00D15FCD" w:rsidP="00425FA3">
      <w:pPr>
        <w:pStyle w:val="Call"/>
        <w:rPr>
          <w:lang w:val="fr-CH"/>
        </w:rPr>
      </w:pPr>
      <w:r w:rsidRPr="00730563">
        <w:rPr>
          <w:lang w:val="fr-CH"/>
        </w:rPr>
        <w:t>décide d</w:t>
      </w:r>
      <w:r w:rsidR="00B979D7">
        <w:rPr>
          <w:lang w:val="fr-CH"/>
        </w:rPr>
        <w:t>'</w:t>
      </w:r>
      <w:r w:rsidRPr="00730563">
        <w:rPr>
          <w:lang w:val="fr-CH"/>
        </w:rPr>
        <w:t>inviter la</w:t>
      </w:r>
      <w:r w:rsidR="00F150E4" w:rsidRPr="00730563">
        <w:rPr>
          <w:lang w:val="fr-CH"/>
        </w:rPr>
        <w:t xml:space="preserve"> </w:t>
      </w:r>
      <w:r w:rsidR="00F50032">
        <w:rPr>
          <w:lang w:val="fr-CH"/>
        </w:rPr>
        <w:t>CMR</w:t>
      </w:r>
      <w:r w:rsidR="00F150E4" w:rsidRPr="00730563">
        <w:rPr>
          <w:lang w:val="fr-CH"/>
        </w:rPr>
        <w:t>-19</w:t>
      </w:r>
    </w:p>
    <w:p w:rsidR="00FC285B" w:rsidRDefault="00D15FCD" w:rsidP="00425FA3">
      <w:pPr>
        <w:rPr>
          <w:lang w:val="fr-CH"/>
        </w:rPr>
      </w:pPr>
      <w:r w:rsidRPr="00730563">
        <w:rPr>
          <w:lang w:val="fr-CH"/>
        </w:rPr>
        <w:t xml:space="preserve">à examiner les résultats des études susmentionnées et à prendre les mesures </w:t>
      </w:r>
      <w:r w:rsidR="00FC285B" w:rsidRPr="00730563">
        <w:rPr>
          <w:lang w:val="fr-CH"/>
        </w:rPr>
        <w:t>voulues</w:t>
      </w:r>
      <w:r w:rsidR="00FC285B">
        <w:rPr>
          <w:lang w:val="fr-CH"/>
        </w:rPr>
        <w:t>.</w:t>
      </w:r>
    </w:p>
    <w:p w:rsidR="0041346B" w:rsidRDefault="0041346B" w:rsidP="0041346B">
      <w:pPr>
        <w:pStyle w:val="Reasons"/>
        <w:rPr>
          <w:lang w:val="fr-CH"/>
        </w:rPr>
      </w:pPr>
    </w:p>
    <w:p w:rsidR="00FC285B" w:rsidRDefault="00FC285B">
      <w:pPr>
        <w:tabs>
          <w:tab w:val="clear" w:pos="1134"/>
          <w:tab w:val="clear" w:pos="1871"/>
          <w:tab w:val="clear" w:pos="2268"/>
        </w:tabs>
        <w:overflowPunct/>
        <w:autoSpaceDE/>
        <w:autoSpaceDN/>
        <w:adjustRightInd/>
        <w:spacing w:before="0"/>
        <w:textAlignment w:val="auto"/>
        <w:rPr>
          <w:lang w:val="fr-CH"/>
        </w:rPr>
      </w:pPr>
      <w:r>
        <w:rPr>
          <w:lang w:val="fr-CH"/>
        </w:rPr>
        <w:br w:type="page"/>
      </w:r>
    </w:p>
    <w:p w:rsidR="00D15FCD" w:rsidRPr="00730563" w:rsidRDefault="00D15FCD" w:rsidP="00425FA3">
      <w:pPr>
        <w:pStyle w:val="Appendixtitle"/>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144B80">
        <w:rPr>
          <w:lang w:val="fr-CH"/>
        </w:rPr>
        <w:t>CMR-19</w:t>
      </w:r>
      <w:r w:rsidR="003228B3">
        <w:rPr>
          <w:lang w:val="fr-CH"/>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0E0653" w:rsidTr="008653E6">
        <w:tc>
          <w:tcPr>
            <w:tcW w:w="1418" w:type="dxa"/>
            <w:tcBorders>
              <w:top w:val="nil"/>
              <w:left w:val="nil"/>
              <w:bottom w:val="nil"/>
              <w:right w:val="nil"/>
            </w:tcBorders>
          </w:tcPr>
          <w:p w:rsidR="000E0653" w:rsidRPr="00FD175A" w:rsidRDefault="000E0653" w:rsidP="008653E6">
            <w:pPr>
              <w:tabs>
                <w:tab w:val="clear" w:pos="1871"/>
                <w:tab w:val="clear" w:pos="2268"/>
                <w:tab w:val="left" w:pos="6123"/>
              </w:tabs>
              <w:spacing w:before="60"/>
              <w:rPr>
                <w:b/>
                <w:bCs/>
                <w:i/>
                <w:iCs/>
                <w:lang w:val="fr-CH"/>
              </w:rPr>
            </w:pPr>
            <w:r w:rsidRPr="00FD175A">
              <w:rPr>
                <w:b/>
                <w:bCs/>
                <w:i/>
                <w:iCs/>
                <w:lang w:val="fr-CH"/>
              </w:rPr>
              <w:t>Objet:</w:t>
            </w:r>
          </w:p>
        </w:tc>
        <w:tc>
          <w:tcPr>
            <w:tcW w:w="8221" w:type="dxa"/>
            <w:gridSpan w:val="2"/>
            <w:tcBorders>
              <w:top w:val="nil"/>
              <w:left w:val="nil"/>
              <w:bottom w:val="nil"/>
              <w:right w:val="nil"/>
            </w:tcBorders>
          </w:tcPr>
          <w:p w:rsidR="000E0653" w:rsidRDefault="000E0653" w:rsidP="000E0653">
            <w:pPr>
              <w:tabs>
                <w:tab w:val="clear" w:pos="1871"/>
                <w:tab w:val="clear" w:pos="2268"/>
                <w:tab w:val="left" w:pos="6123"/>
              </w:tabs>
              <w:spacing w:before="60"/>
              <w:rPr>
                <w:b/>
                <w:bCs/>
                <w:i/>
                <w:iCs/>
                <w:lang w:val="fr-CH"/>
              </w:rPr>
            </w:pPr>
            <w:r w:rsidRPr="00730563">
              <w:rPr>
                <w:lang w:val="fr-CH"/>
              </w:rPr>
              <w:t>Utilisation des bandes de fréquences</w:t>
            </w:r>
            <w:r>
              <w:rPr>
                <w:lang w:val="fr-CH"/>
              </w:rPr>
              <w:t xml:space="preserve"> </w:t>
            </w:r>
            <w:r w:rsidRPr="00730563">
              <w:rPr>
                <w:lang w:val="fr-CH"/>
              </w:rPr>
              <w:t>17</w:t>
            </w:r>
            <w:r>
              <w:rPr>
                <w:lang w:val="fr-CH"/>
              </w:rPr>
              <w:t>,</w:t>
            </w:r>
            <w:r w:rsidRPr="00730563">
              <w:rPr>
                <w:lang w:val="fr-CH"/>
              </w:rPr>
              <w:t>7-19</w:t>
            </w:r>
            <w:r>
              <w:rPr>
                <w:lang w:val="fr-CH"/>
              </w:rPr>
              <w:t>,</w:t>
            </w:r>
            <w:r w:rsidRPr="00730563">
              <w:rPr>
                <w:lang w:val="fr-CH"/>
              </w:rPr>
              <w:t>7 GHz</w:t>
            </w:r>
            <w:r>
              <w:rPr>
                <w:lang w:val="fr-CH"/>
              </w:rPr>
              <w:t xml:space="preserve"> </w:t>
            </w:r>
            <w:r w:rsidRPr="00730563">
              <w:rPr>
                <w:lang w:val="fr-CH"/>
              </w:rPr>
              <w:t>et</w:t>
            </w:r>
            <w:r>
              <w:rPr>
                <w:lang w:val="fr-CH"/>
              </w:rPr>
              <w:t xml:space="preserve"> </w:t>
            </w:r>
            <w:r w:rsidRPr="00730563">
              <w:rPr>
                <w:lang w:val="fr-CH"/>
              </w:rPr>
              <w:t>27</w:t>
            </w:r>
            <w:r>
              <w:rPr>
                <w:lang w:val="fr-CH"/>
              </w:rPr>
              <w:t>,</w:t>
            </w:r>
            <w:r w:rsidRPr="00730563">
              <w:rPr>
                <w:lang w:val="fr-CH"/>
              </w:rPr>
              <w:t>5-29</w:t>
            </w:r>
            <w:r>
              <w:rPr>
                <w:lang w:val="fr-CH"/>
              </w:rPr>
              <w:t>,</w:t>
            </w:r>
            <w:r w:rsidRPr="00730563">
              <w:rPr>
                <w:lang w:val="fr-CH"/>
              </w:rPr>
              <w:t>5 GHz par les stations terriennes placées sur des plates-formes mobiles communiquant avec des stations spatiales géostationnaires du service fixe par satellite</w:t>
            </w:r>
          </w:p>
        </w:tc>
      </w:tr>
      <w:tr w:rsidR="000E0653" w:rsidTr="008653E6">
        <w:tc>
          <w:tcPr>
            <w:tcW w:w="1418" w:type="dxa"/>
            <w:tcBorders>
              <w:top w:val="nil"/>
              <w:left w:val="nil"/>
              <w:bottom w:val="single" w:sz="4" w:space="0" w:color="auto"/>
              <w:right w:val="nil"/>
            </w:tcBorders>
          </w:tcPr>
          <w:p w:rsidR="000E0653" w:rsidRPr="00FD175A" w:rsidRDefault="000E0653" w:rsidP="008653E6">
            <w:pPr>
              <w:tabs>
                <w:tab w:val="clear" w:pos="1871"/>
                <w:tab w:val="clear" w:pos="2268"/>
                <w:tab w:val="left" w:pos="6123"/>
              </w:tabs>
              <w:spacing w:before="80"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0E0653" w:rsidRDefault="000E0653" w:rsidP="008653E6">
            <w:pPr>
              <w:tabs>
                <w:tab w:val="clear" w:pos="1871"/>
                <w:tab w:val="clear" w:pos="2268"/>
                <w:tab w:val="left" w:pos="6123"/>
              </w:tabs>
              <w:spacing w:before="80"/>
              <w:rPr>
                <w:b/>
                <w:bCs/>
                <w:i/>
                <w:iCs/>
                <w:lang w:val="fr-CH"/>
              </w:rPr>
            </w:pPr>
            <w:r w:rsidRPr="00393191">
              <w:rPr>
                <w:lang w:val="en-US"/>
              </w:rPr>
              <w:t>CEPT</w:t>
            </w:r>
          </w:p>
        </w:tc>
      </w:tr>
      <w:tr w:rsidR="00F150E4" w:rsidRPr="00F150E4" w:rsidTr="002B6D60">
        <w:tc>
          <w:tcPr>
            <w:tcW w:w="9639" w:type="dxa"/>
            <w:gridSpan w:val="3"/>
            <w:tcBorders>
              <w:top w:val="single" w:sz="4" w:space="0" w:color="auto"/>
              <w:left w:val="nil"/>
              <w:bottom w:val="single" w:sz="4" w:space="0" w:color="auto"/>
              <w:right w:val="nil"/>
            </w:tcBorders>
          </w:tcPr>
          <w:p w:rsidR="00F150E4" w:rsidRPr="00730563" w:rsidRDefault="00F150E4" w:rsidP="00425FA3">
            <w:pPr>
              <w:rPr>
                <w:lang w:val="fr-CH"/>
              </w:rPr>
            </w:pPr>
            <w:r w:rsidRPr="00730563">
              <w:rPr>
                <w:b/>
                <w:bCs/>
                <w:i/>
                <w:iCs/>
                <w:lang w:val="fr-CH"/>
              </w:rPr>
              <w:t>Proposition:</w:t>
            </w:r>
          </w:p>
          <w:p w:rsidR="00F150E4" w:rsidRPr="00730563" w:rsidRDefault="00D15FCD" w:rsidP="0081024B">
            <w:pPr>
              <w:rPr>
                <w:b/>
                <w:i/>
                <w:lang w:val="fr-CH"/>
              </w:rPr>
            </w:pPr>
            <w:r w:rsidRPr="00730563">
              <w:rPr>
                <w:lang w:val="fr-CH"/>
              </w:rPr>
              <w:t>examiner</w:t>
            </w:r>
            <w:r w:rsidR="003228B3">
              <w:rPr>
                <w:lang w:val="fr-CH"/>
              </w:rPr>
              <w:t xml:space="preserve"> </w:t>
            </w:r>
            <w:r w:rsidRPr="00730563">
              <w:rPr>
                <w:lang w:val="fr-CH"/>
              </w:rPr>
              <w:t>l</w:t>
            </w:r>
            <w:r w:rsidR="00B979D7">
              <w:rPr>
                <w:lang w:val="fr-CH"/>
              </w:rPr>
              <w:t>'</w:t>
            </w:r>
            <w:r w:rsidRPr="00730563">
              <w:rPr>
                <w:lang w:val="fr-CH"/>
              </w:rPr>
              <w:t>utilisation des bandes de fréquences</w:t>
            </w:r>
            <w:r w:rsidR="003228B3">
              <w:rPr>
                <w:lang w:val="fr-CH"/>
              </w:rPr>
              <w:t xml:space="preserve"> </w:t>
            </w:r>
            <w:r w:rsidRPr="00730563">
              <w:rPr>
                <w:lang w:val="fr-CH"/>
              </w:rPr>
              <w:t>17</w:t>
            </w:r>
            <w:r w:rsidR="0081024B">
              <w:rPr>
                <w:lang w:val="fr-CH"/>
              </w:rPr>
              <w:t>,</w:t>
            </w:r>
            <w:r w:rsidRPr="00730563">
              <w:rPr>
                <w:lang w:val="fr-CH"/>
              </w:rPr>
              <w:t>7-19</w:t>
            </w:r>
            <w:r w:rsidR="0081024B">
              <w:rPr>
                <w:lang w:val="fr-CH"/>
              </w:rPr>
              <w:t>,</w:t>
            </w:r>
            <w:r w:rsidRPr="00730563">
              <w:rPr>
                <w:lang w:val="fr-CH"/>
              </w:rPr>
              <w:t>7 GHz</w:t>
            </w:r>
            <w:r w:rsidR="003228B3">
              <w:rPr>
                <w:lang w:val="fr-CH"/>
              </w:rPr>
              <w:t xml:space="preserve"> </w:t>
            </w:r>
            <w:r w:rsidRPr="00730563">
              <w:rPr>
                <w:lang w:val="fr-CH"/>
              </w:rPr>
              <w:t>et</w:t>
            </w:r>
            <w:r w:rsidR="003228B3">
              <w:rPr>
                <w:lang w:val="fr-CH"/>
              </w:rPr>
              <w:t xml:space="preserve"> </w:t>
            </w:r>
            <w:r w:rsidRPr="00730563">
              <w:rPr>
                <w:lang w:val="fr-CH"/>
              </w:rPr>
              <w:t>27</w:t>
            </w:r>
            <w:r w:rsidR="0081024B">
              <w:rPr>
                <w:lang w:val="fr-CH"/>
              </w:rPr>
              <w:t>,</w:t>
            </w:r>
            <w:r w:rsidRPr="00730563">
              <w:rPr>
                <w:lang w:val="fr-CH"/>
              </w:rPr>
              <w:t>5-29</w:t>
            </w:r>
            <w:r w:rsidR="0081024B">
              <w:rPr>
                <w:lang w:val="fr-CH"/>
              </w:rPr>
              <w:t>,</w:t>
            </w:r>
            <w:r w:rsidRPr="00730563">
              <w:rPr>
                <w:lang w:val="fr-CH"/>
              </w:rPr>
              <w:t>5 GHz par les stations terriennes placées sur des plates-formes mobiles communiquant avec des stations spatiales géostationnaires du service fixe par satellite</w:t>
            </w:r>
            <w:r w:rsidR="003228B3" w:rsidRPr="009D1AA2">
              <w:rPr>
                <w:lang w:val="fr-CH"/>
              </w:rPr>
              <w:t>,</w:t>
            </w:r>
            <w:r w:rsidRPr="00730563">
              <w:rPr>
                <w:lang w:val="fr-CH"/>
              </w:rPr>
              <w:t xml:space="preserve"> conformément</w:t>
            </w:r>
            <w:r w:rsidR="003228B3">
              <w:rPr>
                <w:lang w:val="fr-CH"/>
              </w:rPr>
              <w:t xml:space="preserve"> </w:t>
            </w:r>
            <w:r w:rsidRPr="00730563">
              <w:rPr>
                <w:lang w:val="fr-CH"/>
              </w:rPr>
              <w:t>à la</w:t>
            </w:r>
            <w:r w:rsidR="003228B3">
              <w:rPr>
                <w:lang w:val="fr-CH"/>
              </w:rPr>
              <w:t xml:space="preserve"> </w:t>
            </w:r>
            <w:r w:rsidR="00BB138D">
              <w:rPr>
                <w:rStyle w:val="Artdef"/>
                <w:lang w:val="fr-CH"/>
              </w:rPr>
              <w:t>Résolution</w:t>
            </w:r>
            <w:r w:rsidR="00F150E4" w:rsidRPr="00730563">
              <w:rPr>
                <w:rStyle w:val="Artdef"/>
                <w:lang w:val="fr-CH"/>
              </w:rPr>
              <w:t xml:space="preserve"> [EUR-J10-9] (</w:t>
            </w:r>
            <w:r w:rsidR="003228B3">
              <w:rPr>
                <w:rStyle w:val="Artdef"/>
                <w:lang w:val="fr-CH"/>
              </w:rPr>
              <w:t>CMR-15</w:t>
            </w:r>
            <w:r w:rsidR="00F150E4" w:rsidRPr="00730563">
              <w:rPr>
                <w:rStyle w:val="Artdef"/>
                <w:lang w:val="fr-CH"/>
              </w:rPr>
              <w:t>)</w:t>
            </w:r>
            <w:r w:rsidR="0041346B">
              <w:rPr>
                <w:rStyle w:val="Artdef"/>
                <w:b w:val="0"/>
                <w:bCs/>
                <w:lang w:val="fr-CH"/>
              </w:rPr>
              <w:t>.</w:t>
            </w:r>
          </w:p>
        </w:tc>
      </w:tr>
      <w:tr w:rsidR="00F150E4" w:rsidRPr="00F150E4" w:rsidTr="002B6D60">
        <w:tc>
          <w:tcPr>
            <w:tcW w:w="9639" w:type="dxa"/>
            <w:gridSpan w:val="3"/>
            <w:tcBorders>
              <w:top w:val="single" w:sz="4" w:space="0" w:color="auto"/>
              <w:left w:val="nil"/>
              <w:bottom w:val="single" w:sz="4" w:space="0" w:color="auto"/>
              <w:right w:val="nil"/>
            </w:tcBorders>
          </w:tcPr>
          <w:p w:rsidR="00F150E4" w:rsidRPr="00730563" w:rsidRDefault="00F150E4" w:rsidP="00425FA3">
            <w:pPr>
              <w:rPr>
                <w:b/>
                <w:bCs/>
                <w:i/>
                <w:iCs/>
                <w:lang w:val="fr-CH"/>
              </w:rPr>
            </w:pPr>
            <w:r w:rsidRPr="00730563">
              <w:rPr>
                <w:b/>
                <w:bCs/>
                <w:i/>
                <w:iCs/>
                <w:lang w:val="fr-CH"/>
              </w:rPr>
              <w:t>Contexte/motif:</w:t>
            </w:r>
          </w:p>
          <w:p w:rsidR="00F150E4" w:rsidRPr="00730563" w:rsidRDefault="00D15FCD" w:rsidP="000E0653">
            <w:pPr>
              <w:keepNext/>
              <w:rPr>
                <w:lang w:val="fr-CH"/>
              </w:rPr>
            </w:pPr>
            <w:r w:rsidRPr="00730563">
              <w:rPr>
                <w:lang w:val="fr-CH"/>
              </w:rPr>
              <w:t xml:space="preserve">Des propositions ont été soumises à la </w:t>
            </w:r>
            <w:r w:rsidR="00F50032">
              <w:rPr>
                <w:lang w:val="fr-CH"/>
              </w:rPr>
              <w:t>CMR</w:t>
            </w:r>
            <w:r w:rsidR="000E0653">
              <w:rPr>
                <w:lang w:val="fr-CH"/>
              </w:rPr>
              <w:noBreakHyphen/>
            </w:r>
            <w:r w:rsidRPr="00730563">
              <w:rPr>
                <w:lang w:val="fr-CH"/>
              </w:rPr>
              <w:t>15, au titre du point</w:t>
            </w:r>
            <w:r w:rsidR="003228B3">
              <w:rPr>
                <w:lang w:val="fr-CH"/>
              </w:rPr>
              <w:t xml:space="preserve"> </w:t>
            </w:r>
            <w:r w:rsidRPr="00730563">
              <w:rPr>
                <w:lang w:val="fr-CH"/>
              </w:rPr>
              <w:t>9.2</w:t>
            </w:r>
            <w:r w:rsidR="003228B3">
              <w:rPr>
                <w:lang w:val="fr-CH"/>
              </w:rPr>
              <w:t xml:space="preserve"> </w:t>
            </w:r>
            <w:r w:rsidRPr="00730563">
              <w:rPr>
                <w:lang w:val="fr-CH"/>
              </w:rPr>
              <w:t>de l</w:t>
            </w:r>
            <w:r w:rsidR="00B979D7">
              <w:rPr>
                <w:lang w:val="fr-CH"/>
              </w:rPr>
              <w:t>'</w:t>
            </w:r>
            <w:r w:rsidRPr="00730563">
              <w:rPr>
                <w:lang w:val="fr-CH"/>
              </w:rPr>
              <w:t>ordre du jour, afin de clarifier l</w:t>
            </w:r>
            <w:r w:rsidR="00B979D7">
              <w:rPr>
                <w:lang w:val="fr-CH"/>
              </w:rPr>
              <w:t>'</w:t>
            </w:r>
            <w:r w:rsidR="000E0653">
              <w:rPr>
                <w:lang w:val="fr-CH"/>
              </w:rPr>
              <w:t>utilisation du numéro 5.</w:t>
            </w:r>
            <w:r w:rsidRPr="00730563">
              <w:rPr>
                <w:lang w:val="fr-CH"/>
              </w:rPr>
              <w:t>526. Ces propositions visent à élargir l</w:t>
            </w:r>
            <w:r w:rsidR="00B979D7">
              <w:rPr>
                <w:lang w:val="fr-CH"/>
              </w:rPr>
              <w:t>'</w:t>
            </w:r>
            <w:r w:rsidRPr="00730563">
              <w:rPr>
                <w:lang w:val="fr-CH"/>
              </w:rPr>
              <w:t>application de ce numéro aux bandes 29</w:t>
            </w:r>
            <w:r w:rsidR="000E0653">
              <w:rPr>
                <w:lang w:val="fr-CH"/>
              </w:rPr>
              <w:t>,</w:t>
            </w:r>
            <w:r w:rsidRPr="00730563">
              <w:rPr>
                <w:lang w:val="fr-CH"/>
              </w:rPr>
              <w:t>5-30 GHz</w:t>
            </w:r>
            <w:r w:rsidR="003228B3">
              <w:rPr>
                <w:lang w:val="fr-CH"/>
              </w:rPr>
              <w:t xml:space="preserve"> </w:t>
            </w:r>
            <w:r w:rsidRPr="00730563">
              <w:rPr>
                <w:lang w:val="fr-CH"/>
              </w:rPr>
              <w:t>et 19</w:t>
            </w:r>
            <w:r w:rsidR="000E0653">
              <w:rPr>
                <w:lang w:val="fr-CH"/>
              </w:rPr>
              <w:t>,</w:t>
            </w:r>
            <w:r w:rsidRPr="00730563">
              <w:rPr>
                <w:lang w:val="fr-CH"/>
              </w:rPr>
              <w:t>7-20</w:t>
            </w:r>
            <w:r w:rsidR="000E0653">
              <w:rPr>
                <w:lang w:val="fr-CH"/>
              </w:rPr>
              <w:t>,</w:t>
            </w:r>
            <w:r w:rsidRPr="00730563">
              <w:rPr>
                <w:lang w:val="fr-CH"/>
              </w:rPr>
              <w:t>2 GHz</w:t>
            </w:r>
            <w:r w:rsidR="003228B3">
              <w:rPr>
                <w:lang w:val="fr-CH"/>
              </w:rPr>
              <w:t xml:space="preserve"> </w:t>
            </w:r>
            <w:r w:rsidRPr="00730563">
              <w:rPr>
                <w:lang w:val="fr-CH"/>
              </w:rPr>
              <w:t>dans les trois Régions de l</w:t>
            </w:r>
            <w:r w:rsidR="00B979D7">
              <w:rPr>
                <w:lang w:val="fr-CH"/>
              </w:rPr>
              <w:t>'</w:t>
            </w:r>
            <w:r w:rsidRPr="00730563">
              <w:rPr>
                <w:lang w:val="fr-CH"/>
              </w:rPr>
              <w:t>UIT, à</w:t>
            </w:r>
            <w:r w:rsidR="003228B3">
              <w:rPr>
                <w:lang w:val="fr-CH"/>
              </w:rPr>
              <w:t xml:space="preserve"> </w:t>
            </w:r>
            <w:r w:rsidRPr="00730563">
              <w:rPr>
                <w:lang w:val="fr-CH"/>
              </w:rPr>
              <w:t>supprimer l</w:t>
            </w:r>
            <w:r w:rsidR="00B979D7">
              <w:rPr>
                <w:lang w:val="fr-CH"/>
              </w:rPr>
              <w:t>'</w:t>
            </w:r>
            <w:r w:rsidRPr="00730563">
              <w:rPr>
                <w:lang w:val="fr-CH"/>
              </w:rPr>
              <w:t xml:space="preserve">association au SMS des stations terriennes fonctionnant conformément au numéro </w:t>
            </w:r>
            <w:r w:rsidRPr="000E0653">
              <w:rPr>
                <w:rStyle w:val="Artdef"/>
                <w:b w:val="0"/>
                <w:lang w:val="fr-CH"/>
              </w:rPr>
              <w:t>5.526</w:t>
            </w:r>
            <w:r w:rsidRPr="00730563">
              <w:rPr>
                <w:lang w:val="fr-CH"/>
              </w:rPr>
              <w:t>, et à imposer des conditions techniques à ces stations terriennes, afin de garantir la compatibilité de leur fonctionnement avec les autres réseaux du SFS dans ces bandes.</w:t>
            </w:r>
          </w:p>
          <w:p w:rsidR="00F150E4" w:rsidRPr="00730563" w:rsidRDefault="00D15FCD" w:rsidP="0041346B">
            <w:pPr>
              <w:keepNext/>
              <w:rPr>
                <w:lang w:val="fr-CH"/>
              </w:rPr>
            </w:pPr>
            <w:r w:rsidRPr="00730563">
              <w:rPr>
                <w:lang w:val="fr-CH"/>
              </w:rPr>
              <w:t xml:space="preserve">En </w:t>
            </w:r>
            <w:r w:rsidR="00F150E4" w:rsidRPr="00730563">
              <w:rPr>
                <w:lang w:val="fr-CH"/>
              </w:rPr>
              <w:t xml:space="preserve">Europe, </w:t>
            </w:r>
            <w:r w:rsidRPr="00730563">
              <w:rPr>
                <w:lang w:val="fr-CH"/>
              </w:rPr>
              <w:t xml:space="preserve">il est </w:t>
            </w:r>
            <w:r w:rsidR="00FC285B">
              <w:rPr>
                <w:lang w:val="fr-CH"/>
              </w:rPr>
              <w:t>également possible d</w:t>
            </w:r>
            <w:r w:rsidR="00B979D7">
              <w:rPr>
                <w:lang w:val="fr-CH"/>
              </w:rPr>
              <w:t>'</w:t>
            </w:r>
            <w:r w:rsidR="00FC285B">
              <w:rPr>
                <w:lang w:val="fr-CH"/>
              </w:rPr>
              <w:t>exploiter d</w:t>
            </w:r>
            <w:r w:rsidRPr="00730563">
              <w:rPr>
                <w:lang w:val="fr-CH"/>
              </w:rPr>
              <w:t>es stations terriennes placées sur des plates</w:t>
            </w:r>
            <w:r w:rsidR="0041346B">
              <w:rPr>
                <w:lang w:val="fr-CH"/>
              </w:rPr>
              <w:noBreakHyphen/>
            </w:r>
            <w:r w:rsidRPr="00730563">
              <w:rPr>
                <w:lang w:val="fr-CH"/>
              </w:rPr>
              <w:t>formes mobiles dans les bandes 17</w:t>
            </w:r>
            <w:r w:rsidR="000E0653">
              <w:rPr>
                <w:lang w:val="fr-CH"/>
              </w:rPr>
              <w:t>,</w:t>
            </w:r>
            <w:r w:rsidRPr="00730563">
              <w:rPr>
                <w:lang w:val="fr-CH"/>
              </w:rPr>
              <w:t>7-19</w:t>
            </w:r>
            <w:r w:rsidR="000E0653">
              <w:rPr>
                <w:lang w:val="fr-CH"/>
              </w:rPr>
              <w:t>,</w:t>
            </w:r>
            <w:r w:rsidRPr="00730563">
              <w:rPr>
                <w:lang w:val="fr-CH"/>
              </w:rPr>
              <w:t>7 GHz</w:t>
            </w:r>
            <w:r w:rsidR="003228B3">
              <w:rPr>
                <w:lang w:val="fr-CH"/>
              </w:rPr>
              <w:t xml:space="preserve"> </w:t>
            </w:r>
            <w:r w:rsidRPr="00730563">
              <w:rPr>
                <w:lang w:val="fr-CH"/>
              </w:rPr>
              <w:t>et 27</w:t>
            </w:r>
            <w:r w:rsidR="000E0653">
              <w:rPr>
                <w:lang w:val="fr-CH"/>
              </w:rPr>
              <w:t>,</w:t>
            </w:r>
            <w:r w:rsidRPr="00730563">
              <w:rPr>
                <w:lang w:val="fr-CH"/>
              </w:rPr>
              <w:t>5-29</w:t>
            </w:r>
            <w:r w:rsidR="000E0653">
              <w:rPr>
                <w:lang w:val="fr-CH"/>
              </w:rPr>
              <w:t>,</w:t>
            </w:r>
            <w:r w:rsidRPr="00730563">
              <w:rPr>
                <w:lang w:val="fr-CH"/>
              </w:rPr>
              <w:t xml:space="preserve">5 GHz, sous réserve </w:t>
            </w:r>
            <w:r w:rsidR="00FC285B">
              <w:rPr>
                <w:lang w:val="fr-CH"/>
              </w:rPr>
              <w:t>du respect</w:t>
            </w:r>
            <w:r w:rsidRPr="00730563">
              <w:rPr>
                <w:lang w:val="fr-CH"/>
              </w:rPr>
              <w:t xml:space="preserve"> </w:t>
            </w:r>
            <w:r w:rsidR="00FC285B">
              <w:rPr>
                <w:lang w:val="fr-CH"/>
              </w:rPr>
              <w:t>des</w:t>
            </w:r>
            <w:r w:rsidRPr="00730563">
              <w:rPr>
                <w:lang w:val="fr-CH"/>
              </w:rPr>
              <w:t xml:space="preserve"> conditions de partage avec les systèmes fonctionnant dans le cadre d</w:t>
            </w:r>
            <w:r w:rsidR="00B979D7">
              <w:rPr>
                <w:lang w:val="fr-CH"/>
              </w:rPr>
              <w:t>'</w:t>
            </w:r>
            <w:r w:rsidRPr="00730563">
              <w:rPr>
                <w:lang w:val="fr-CH"/>
              </w:rPr>
              <w:t>attributions à titre primaire aux services de Terre</w:t>
            </w:r>
            <w:r w:rsidR="003228B3">
              <w:rPr>
                <w:lang w:val="fr-CH"/>
              </w:rPr>
              <w:t xml:space="preserve"> </w:t>
            </w:r>
            <w:r w:rsidR="00F150E4" w:rsidRPr="00730563">
              <w:rPr>
                <w:lang w:val="fr-CH"/>
              </w:rPr>
              <w:t>(</w:t>
            </w:r>
            <w:r w:rsidRPr="00730563">
              <w:rPr>
                <w:lang w:val="fr-CH"/>
              </w:rPr>
              <w:t>voir la</w:t>
            </w:r>
            <w:r w:rsidR="003228B3">
              <w:rPr>
                <w:lang w:val="fr-CH"/>
              </w:rPr>
              <w:t xml:space="preserve"> </w:t>
            </w:r>
            <w:r w:rsidR="000E0653">
              <w:rPr>
                <w:lang w:val="fr-CH"/>
              </w:rPr>
              <w:t>D</w:t>
            </w:r>
            <w:r w:rsidR="00B1634C">
              <w:rPr>
                <w:lang w:val="fr-CH"/>
              </w:rPr>
              <w:t>é</w:t>
            </w:r>
            <w:r w:rsidR="00F150E4" w:rsidRPr="00730563">
              <w:rPr>
                <w:lang w:val="fr-CH"/>
              </w:rPr>
              <w:t>cision</w:t>
            </w:r>
            <w:r w:rsidR="003228B3">
              <w:rPr>
                <w:lang w:val="fr-CH"/>
              </w:rPr>
              <w:t xml:space="preserve"> </w:t>
            </w:r>
            <w:r w:rsidR="00F150E4" w:rsidRPr="00730563">
              <w:rPr>
                <w:lang w:val="fr-CH"/>
              </w:rPr>
              <w:t>(13)01</w:t>
            </w:r>
            <w:r w:rsidR="003228B3">
              <w:rPr>
                <w:lang w:val="fr-CH"/>
              </w:rPr>
              <w:t xml:space="preserve"> </w:t>
            </w:r>
            <w:r>
              <w:rPr>
                <w:color w:val="000000"/>
              </w:rPr>
              <w:t>de l'ECC</w:t>
            </w:r>
            <w:r w:rsidR="00F150E4" w:rsidRPr="00730563">
              <w:rPr>
                <w:lang w:val="fr-CH"/>
              </w:rPr>
              <w:t>).</w:t>
            </w:r>
          </w:p>
          <w:p w:rsidR="00F150E4" w:rsidRPr="00730563" w:rsidRDefault="00D15FCD" w:rsidP="000E0653">
            <w:pPr>
              <w:rPr>
                <w:b/>
                <w:i/>
                <w:lang w:val="fr-CH"/>
              </w:rPr>
            </w:pPr>
            <w:r w:rsidRPr="00730563">
              <w:rPr>
                <w:lang w:val="fr-CH"/>
              </w:rPr>
              <w:t>Il est proposé de procéder à des études</w:t>
            </w:r>
            <w:r w:rsidR="003228B3">
              <w:rPr>
                <w:lang w:val="fr-CH"/>
              </w:rPr>
              <w:t xml:space="preserve"> </w:t>
            </w:r>
            <w:r w:rsidRPr="00730563">
              <w:rPr>
                <w:lang w:val="fr-CH"/>
              </w:rPr>
              <w:t>techniques de partage entre les stations terriennes placées sur des plates-formes mobiles fonctionnant dans les réseaux du SFS et les systèmes des autres services ayant des attributions à titre primaire dans les bandes 17</w:t>
            </w:r>
            <w:r w:rsidR="000E0653">
              <w:rPr>
                <w:lang w:val="fr-CH"/>
              </w:rPr>
              <w:t>,</w:t>
            </w:r>
            <w:r w:rsidRPr="00730563">
              <w:rPr>
                <w:lang w:val="fr-CH"/>
              </w:rPr>
              <w:t>7-19</w:t>
            </w:r>
            <w:r w:rsidR="000E0653">
              <w:rPr>
                <w:lang w:val="fr-CH"/>
              </w:rPr>
              <w:t>,</w:t>
            </w:r>
            <w:r w:rsidRPr="00730563">
              <w:rPr>
                <w:lang w:val="fr-CH"/>
              </w:rPr>
              <w:t>7 GHz</w:t>
            </w:r>
            <w:r w:rsidR="003228B3">
              <w:rPr>
                <w:lang w:val="fr-CH"/>
              </w:rPr>
              <w:t xml:space="preserve"> </w:t>
            </w:r>
            <w:r w:rsidRPr="00730563">
              <w:rPr>
                <w:lang w:val="fr-CH"/>
              </w:rPr>
              <w:t>et</w:t>
            </w:r>
            <w:r w:rsidR="003228B3">
              <w:rPr>
                <w:lang w:val="fr-CH"/>
              </w:rPr>
              <w:t xml:space="preserve"> </w:t>
            </w:r>
            <w:r w:rsidRPr="00730563">
              <w:rPr>
                <w:lang w:val="fr-CH"/>
              </w:rPr>
              <w:t>27</w:t>
            </w:r>
            <w:r w:rsidR="000E0653">
              <w:rPr>
                <w:lang w:val="fr-CH"/>
              </w:rPr>
              <w:t>,</w:t>
            </w:r>
            <w:r w:rsidRPr="00730563">
              <w:rPr>
                <w:lang w:val="fr-CH"/>
              </w:rPr>
              <w:t>5-29</w:t>
            </w:r>
            <w:r w:rsidR="000E0653">
              <w:rPr>
                <w:lang w:val="fr-CH"/>
              </w:rPr>
              <w:t>,</w:t>
            </w:r>
            <w:r w:rsidRPr="00730563">
              <w:rPr>
                <w:lang w:val="fr-CH"/>
              </w:rPr>
              <w:t>5 GHz, et d</w:t>
            </w:r>
            <w:r w:rsidR="00B979D7">
              <w:rPr>
                <w:lang w:val="fr-CH"/>
              </w:rPr>
              <w:t>'</w:t>
            </w:r>
            <w:r w:rsidRPr="00730563">
              <w:rPr>
                <w:lang w:val="fr-CH"/>
              </w:rPr>
              <w:t>élaborer les dispositions techniques et réglementaires appropriées pour faciliter le fonctionnement de ces stations terriennes, tout en veillant à ce qu</w:t>
            </w:r>
            <w:r w:rsidR="00B979D7">
              <w:rPr>
                <w:lang w:val="fr-CH"/>
              </w:rPr>
              <w:t>'</w:t>
            </w:r>
            <w:r w:rsidRPr="00730563">
              <w:rPr>
                <w:lang w:val="fr-CH"/>
              </w:rPr>
              <w:t>aucun brouillage préjudiciable ne soit causé aux stations du SFS, du SF et des autres services primaires.</w:t>
            </w:r>
          </w:p>
        </w:tc>
      </w:tr>
      <w:tr w:rsidR="00F150E4" w:rsidRPr="00714540" w:rsidTr="002B6D60">
        <w:tc>
          <w:tcPr>
            <w:tcW w:w="9639" w:type="dxa"/>
            <w:gridSpan w:val="3"/>
            <w:tcBorders>
              <w:top w:val="single" w:sz="4" w:space="0" w:color="auto"/>
              <w:left w:val="nil"/>
              <w:bottom w:val="single" w:sz="4" w:space="0" w:color="auto"/>
              <w:right w:val="nil"/>
            </w:tcBorders>
          </w:tcPr>
          <w:p w:rsidR="00F150E4" w:rsidRPr="00A31EA2" w:rsidRDefault="00F150E4" w:rsidP="00425FA3">
            <w:r w:rsidRPr="0014454C">
              <w:rPr>
                <w:b/>
                <w:bCs/>
                <w:i/>
                <w:iCs/>
                <w:lang w:val="fr-CH"/>
              </w:rPr>
              <w:t>Services de radiocommunication concernés</w:t>
            </w:r>
            <w:r w:rsidRPr="00A31EA2">
              <w:t>:</w:t>
            </w:r>
          </w:p>
          <w:p w:rsidR="00F150E4" w:rsidRPr="00714540" w:rsidRDefault="00FD203B" w:rsidP="00425FA3">
            <w:pPr>
              <w:rPr>
                <w:b/>
                <w:i/>
              </w:rPr>
            </w:pPr>
            <w:r>
              <w:t>Services fixe par satellite, fixe, mobile, d</w:t>
            </w:r>
            <w:r w:rsidR="00B979D7">
              <w:t>'</w:t>
            </w:r>
            <w:r>
              <w:t>exploration de la Terre par satellite et de recherche spatiale</w:t>
            </w:r>
            <w:r w:rsidR="003228B3">
              <w:t xml:space="preserve"> </w:t>
            </w:r>
            <w:r w:rsidR="00F150E4" w:rsidRPr="00FE5E25">
              <w:t>(passive)</w:t>
            </w:r>
          </w:p>
        </w:tc>
      </w:tr>
      <w:tr w:rsidR="00F150E4" w:rsidRPr="00714540" w:rsidTr="002B6D60">
        <w:tc>
          <w:tcPr>
            <w:tcW w:w="9639" w:type="dxa"/>
            <w:gridSpan w:val="3"/>
            <w:tcBorders>
              <w:top w:val="single" w:sz="4" w:space="0" w:color="auto"/>
              <w:left w:val="nil"/>
              <w:bottom w:val="single" w:sz="4" w:space="0" w:color="auto"/>
              <w:right w:val="nil"/>
            </w:tcBorders>
          </w:tcPr>
          <w:p w:rsidR="00F150E4" w:rsidRPr="00A31EA2" w:rsidRDefault="00F150E4" w:rsidP="00425FA3">
            <w:r w:rsidRPr="0014454C">
              <w:rPr>
                <w:b/>
                <w:bCs/>
                <w:i/>
                <w:iCs/>
                <w:lang w:val="fr-CH"/>
              </w:rPr>
              <w:t>Indication des difficultés éventuelles</w:t>
            </w:r>
            <w:r w:rsidRPr="0014454C">
              <w:rPr>
                <w:b/>
                <w:bCs/>
                <w:i/>
                <w:iCs/>
              </w:rPr>
              <w:t>:</w:t>
            </w:r>
          </w:p>
          <w:p w:rsidR="00F150E4" w:rsidRPr="00714540" w:rsidRDefault="000E0653" w:rsidP="00425FA3">
            <w:pPr>
              <w:rPr>
                <w:b/>
                <w:i/>
              </w:rPr>
            </w:pPr>
            <w:r>
              <w:t>N</w:t>
            </w:r>
            <w:r w:rsidR="00A500DC">
              <w:t xml:space="preserve">éant </w:t>
            </w:r>
          </w:p>
        </w:tc>
      </w:tr>
      <w:tr w:rsidR="00F150E4" w:rsidRPr="00F150E4" w:rsidTr="002B6D60">
        <w:tc>
          <w:tcPr>
            <w:tcW w:w="9639" w:type="dxa"/>
            <w:gridSpan w:val="3"/>
            <w:tcBorders>
              <w:top w:val="single" w:sz="4" w:space="0" w:color="auto"/>
              <w:left w:val="nil"/>
              <w:bottom w:val="single" w:sz="4" w:space="0" w:color="auto"/>
              <w:right w:val="nil"/>
            </w:tcBorders>
          </w:tcPr>
          <w:p w:rsidR="00F150E4" w:rsidRPr="00A31EA2" w:rsidRDefault="00F150E4" w:rsidP="00425FA3">
            <w:r w:rsidRPr="003A2ED4">
              <w:rPr>
                <w:b/>
                <w:bCs/>
                <w:i/>
                <w:iCs/>
                <w:lang w:val="fr-CH"/>
              </w:rPr>
              <w:t>Etudes précédentes ou en cours sur la question</w:t>
            </w:r>
            <w:r w:rsidRPr="003A2ED4">
              <w:rPr>
                <w:b/>
                <w:bCs/>
                <w:i/>
                <w:iCs/>
              </w:rPr>
              <w:t>:</w:t>
            </w:r>
          </w:p>
          <w:p w:rsidR="00F150E4" w:rsidRPr="00730563" w:rsidRDefault="00DA268C" w:rsidP="00425FA3">
            <w:pPr>
              <w:rPr>
                <w:b/>
                <w:i/>
                <w:lang w:val="fr-CH"/>
              </w:rPr>
            </w:pPr>
            <w:r w:rsidRPr="00730563">
              <w:rPr>
                <w:lang w:val="fr-CH"/>
              </w:rPr>
              <w:t>L</w:t>
            </w:r>
            <w:r w:rsidR="00B979D7">
              <w:rPr>
                <w:lang w:val="fr-CH"/>
              </w:rPr>
              <w:t>'</w:t>
            </w:r>
            <w:r w:rsidRPr="00730563">
              <w:rPr>
                <w:lang w:val="fr-CH"/>
              </w:rPr>
              <w:t>UIT-R a effectué des études relatives à la compatibilité entre les stations terriennes placées sur des plates-formes mobiles et</w:t>
            </w:r>
            <w:r w:rsidR="003228B3">
              <w:rPr>
                <w:lang w:val="fr-CH"/>
              </w:rPr>
              <w:t xml:space="preserve"> </w:t>
            </w:r>
            <w:r w:rsidRPr="00730563">
              <w:rPr>
                <w:lang w:val="fr-CH"/>
              </w:rPr>
              <w:t>d</w:t>
            </w:r>
            <w:r w:rsidR="00B979D7">
              <w:rPr>
                <w:lang w:val="fr-CH"/>
              </w:rPr>
              <w:t>'</w:t>
            </w:r>
            <w:r w:rsidRPr="00730563">
              <w:rPr>
                <w:lang w:val="fr-CH"/>
              </w:rPr>
              <w:t>autres applications du SFS,</w:t>
            </w:r>
            <w:r w:rsidR="003228B3">
              <w:rPr>
                <w:lang w:val="fr-CH"/>
              </w:rPr>
              <w:t xml:space="preserve"> </w:t>
            </w:r>
            <w:r w:rsidRPr="00730563">
              <w:rPr>
                <w:lang w:val="fr-CH"/>
              </w:rPr>
              <w:t>qui font l</w:t>
            </w:r>
            <w:r w:rsidR="00B979D7">
              <w:rPr>
                <w:lang w:val="fr-CH"/>
              </w:rPr>
              <w:t>'</w:t>
            </w:r>
            <w:r w:rsidRPr="00730563">
              <w:rPr>
                <w:lang w:val="fr-CH"/>
              </w:rPr>
              <w:t xml:space="preserve">objet des </w:t>
            </w:r>
            <w:r w:rsidR="000E0653" w:rsidRPr="00730563">
              <w:rPr>
                <w:lang w:val="fr-CH"/>
              </w:rPr>
              <w:t>R</w:t>
            </w:r>
            <w:r w:rsidRPr="00730563">
              <w:rPr>
                <w:lang w:val="fr-CH"/>
              </w:rPr>
              <w:t>apports UIT</w:t>
            </w:r>
            <w:r w:rsidR="00BF2826">
              <w:rPr>
                <w:lang w:val="fr-CH"/>
              </w:rPr>
              <w:t>-</w:t>
            </w:r>
            <w:r w:rsidRPr="00730563">
              <w:rPr>
                <w:lang w:val="fr-CH"/>
              </w:rPr>
              <w:t>R</w:t>
            </w:r>
            <w:r w:rsidR="003228B3">
              <w:rPr>
                <w:lang w:val="fr-CH"/>
              </w:rPr>
              <w:t xml:space="preserve"> </w:t>
            </w:r>
            <w:r w:rsidRPr="00730563">
              <w:rPr>
                <w:lang w:val="fr-CH"/>
              </w:rPr>
              <w:t>S.2223</w:t>
            </w:r>
            <w:r w:rsidR="003228B3">
              <w:rPr>
                <w:lang w:val="fr-CH"/>
              </w:rPr>
              <w:t xml:space="preserve"> </w:t>
            </w:r>
            <w:r w:rsidRPr="00730563">
              <w:rPr>
                <w:lang w:val="fr-CH"/>
              </w:rPr>
              <w:t>et</w:t>
            </w:r>
            <w:r w:rsidR="003228B3">
              <w:rPr>
                <w:lang w:val="fr-CH"/>
              </w:rPr>
              <w:t xml:space="preserve"> </w:t>
            </w:r>
            <w:r w:rsidRPr="00730563">
              <w:rPr>
                <w:lang w:val="fr-CH"/>
              </w:rPr>
              <w:t>S.2357. Des études sur le partage avec les systèmes de Terre ont été effectuées au niveau régional au sein de la</w:t>
            </w:r>
            <w:r w:rsidR="003228B3">
              <w:rPr>
                <w:lang w:val="fr-CH"/>
              </w:rPr>
              <w:t xml:space="preserve"> </w:t>
            </w:r>
            <w:r w:rsidR="00F150E4" w:rsidRPr="00730563">
              <w:rPr>
                <w:lang w:val="fr-CH"/>
              </w:rPr>
              <w:t>CEPT.</w:t>
            </w:r>
          </w:p>
        </w:tc>
      </w:tr>
      <w:tr w:rsidR="00F150E4" w:rsidRPr="00F150E4" w:rsidTr="002B6D60">
        <w:tc>
          <w:tcPr>
            <w:tcW w:w="4539" w:type="dxa"/>
            <w:gridSpan w:val="2"/>
            <w:tcBorders>
              <w:top w:val="single" w:sz="4" w:space="0" w:color="auto"/>
              <w:left w:val="nil"/>
              <w:bottom w:val="single" w:sz="4" w:space="0" w:color="auto"/>
              <w:right w:val="single" w:sz="4" w:space="0" w:color="auto"/>
            </w:tcBorders>
          </w:tcPr>
          <w:p w:rsidR="00F150E4" w:rsidRPr="00A31EA2" w:rsidRDefault="00F150E4" w:rsidP="00425FA3">
            <w:r w:rsidRPr="0014454C">
              <w:rPr>
                <w:b/>
                <w:bCs/>
                <w:i/>
                <w:iCs/>
                <w:lang w:val="fr-CH"/>
              </w:rPr>
              <w:t>Etudes devant être réalisées par</w:t>
            </w:r>
            <w:r w:rsidRPr="0014454C">
              <w:rPr>
                <w:b/>
                <w:bCs/>
                <w:i/>
                <w:iCs/>
              </w:rPr>
              <w:t>:</w:t>
            </w:r>
          </w:p>
          <w:p w:rsidR="00F150E4" w:rsidRPr="009E4745" w:rsidRDefault="00872994" w:rsidP="00425FA3">
            <w:pPr>
              <w:rPr>
                <w:b/>
                <w:i/>
                <w:color w:val="000000"/>
                <w:lang w:val="fr-CH"/>
              </w:rPr>
            </w:pPr>
            <w:r>
              <w:rPr>
                <w:color w:val="000000"/>
              </w:rPr>
              <w:t xml:space="preserve">GT </w:t>
            </w:r>
            <w:r w:rsidR="00F150E4">
              <w:rPr>
                <w:color w:val="000000"/>
              </w:rPr>
              <w:t>4A</w:t>
            </w:r>
          </w:p>
        </w:tc>
        <w:tc>
          <w:tcPr>
            <w:tcW w:w="5100" w:type="dxa"/>
            <w:tcBorders>
              <w:top w:val="single" w:sz="4" w:space="0" w:color="auto"/>
              <w:left w:val="single" w:sz="4" w:space="0" w:color="auto"/>
              <w:bottom w:val="single" w:sz="4" w:space="0" w:color="auto"/>
              <w:right w:val="nil"/>
            </w:tcBorders>
          </w:tcPr>
          <w:p w:rsidR="00F150E4" w:rsidRPr="00730563" w:rsidRDefault="00F150E4" w:rsidP="00425FA3">
            <w:pPr>
              <w:rPr>
                <w:b/>
                <w:bCs/>
                <w:i/>
                <w:iCs/>
                <w:lang w:val="fr-CH"/>
              </w:rPr>
            </w:pPr>
            <w:r w:rsidRPr="00504217">
              <w:rPr>
                <w:b/>
                <w:bCs/>
                <w:i/>
                <w:iCs/>
              </w:rPr>
              <w:t>avec la participation de</w:t>
            </w:r>
            <w:r w:rsidRPr="00730563">
              <w:rPr>
                <w:b/>
                <w:bCs/>
                <w:i/>
                <w:iCs/>
                <w:lang w:val="fr-CH"/>
              </w:rPr>
              <w:t>:</w:t>
            </w:r>
          </w:p>
          <w:p w:rsidR="00F150E4" w:rsidRPr="002B6D60" w:rsidRDefault="00C203CC" w:rsidP="002B6D60">
            <w:pPr>
              <w:rPr>
                <w:color w:val="000000"/>
                <w:lang w:val="fr-CH"/>
              </w:rPr>
            </w:pPr>
            <w:r w:rsidRPr="00730563">
              <w:rPr>
                <w:color w:val="000000"/>
                <w:lang w:val="fr-CH"/>
              </w:rPr>
              <w:t xml:space="preserve">Administrations et Membres du Secteur de </w:t>
            </w:r>
            <w:r w:rsidR="002B6D60" w:rsidRPr="00730563">
              <w:rPr>
                <w:color w:val="000000"/>
                <w:lang w:val="fr-CH"/>
              </w:rPr>
              <w:t>l</w:t>
            </w:r>
            <w:r w:rsidR="00B979D7">
              <w:rPr>
                <w:color w:val="000000"/>
                <w:lang w:val="fr-CH"/>
              </w:rPr>
              <w:t>'</w:t>
            </w:r>
            <w:r w:rsidR="002B6D60" w:rsidRPr="00730563">
              <w:rPr>
                <w:color w:val="000000"/>
                <w:lang w:val="fr-CH"/>
              </w:rPr>
              <w:t>UIT</w:t>
            </w:r>
            <w:r w:rsidR="002B6D60">
              <w:rPr>
                <w:color w:val="000000"/>
                <w:lang w:val="fr-CH"/>
              </w:rPr>
              <w:noBreakHyphen/>
            </w:r>
            <w:r w:rsidR="00F150E4" w:rsidRPr="00730563">
              <w:rPr>
                <w:color w:val="000000"/>
                <w:lang w:val="fr-CH"/>
              </w:rPr>
              <w:t xml:space="preserve">R </w:t>
            </w:r>
            <w:r w:rsidR="00DA268C" w:rsidRPr="00730563">
              <w:rPr>
                <w:color w:val="000000"/>
                <w:lang w:val="fr-CH"/>
              </w:rPr>
              <w:t>–</w:t>
            </w:r>
            <w:r w:rsidR="000E0653">
              <w:rPr>
                <w:color w:val="000000"/>
                <w:lang w:val="fr-CH"/>
              </w:rPr>
              <w:t xml:space="preserve"> </w:t>
            </w:r>
            <w:r w:rsidR="00DA268C" w:rsidRPr="00730563">
              <w:rPr>
                <w:color w:val="000000"/>
                <w:lang w:val="fr-CH"/>
              </w:rPr>
              <w:t xml:space="preserve">opérateurs de systèmes à satellites et opérateurs de systèmes de Terre </w:t>
            </w:r>
          </w:p>
        </w:tc>
      </w:tr>
    </w:tbl>
    <w:p w:rsidR="002B6D60" w:rsidRDefault="002B6D60" w:rsidP="00425FA3">
      <w:pPr>
        <w:rPr>
          <w:b/>
          <w:bCs/>
          <w:i/>
          <w:iCs/>
          <w:lang w:val="fr-CH"/>
        </w:rPr>
      </w:pPr>
    </w:p>
    <w:p w:rsidR="000E0653" w:rsidRDefault="000E0653" w:rsidP="00425FA3">
      <w:pPr>
        <w:rPr>
          <w:b/>
          <w:bCs/>
          <w:i/>
          <w:iCs/>
          <w:lang w:val="fr-CH"/>
        </w:rPr>
      </w:pPr>
    </w:p>
    <w:tbl>
      <w:tblPr>
        <w:tblStyle w:val="TableGrid"/>
        <w:tblpPr w:leftFromText="180" w:rightFromText="180" w:vertAnchor="text" w:tblpY="1"/>
        <w:tblOverlap w:val="never"/>
        <w:tblW w:w="0" w:type="auto"/>
        <w:tblLook w:val="04A0" w:firstRow="1" w:lastRow="0" w:firstColumn="1" w:lastColumn="0" w:noHBand="0" w:noVBand="1"/>
      </w:tblPr>
      <w:tblGrid>
        <w:gridCol w:w="4539"/>
        <w:gridCol w:w="5100"/>
      </w:tblGrid>
      <w:tr w:rsidR="00F150E4" w:rsidRPr="009E4745" w:rsidTr="002B6D60">
        <w:tc>
          <w:tcPr>
            <w:tcW w:w="9639" w:type="dxa"/>
            <w:gridSpan w:val="2"/>
            <w:tcBorders>
              <w:top w:val="single" w:sz="4" w:space="0" w:color="auto"/>
              <w:left w:val="nil"/>
              <w:bottom w:val="single" w:sz="4" w:space="0" w:color="auto"/>
              <w:right w:val="nil"/>
            </w:tcBorders>
          </w:tcPr>
          <w:p w:rsidR="00F150E4" w:rsidRPr="00A31EA2" w:rsidRDefault="00F150E4" w:rsidP="00425FA3">
            <w:r w:rsidRPr="0014454C">
              <w:rPr>
                <w:b/>
                <w:bCs/>
                <w:i/>
                <w:iCs/>
                <w:lang w:val="fr-CH"/>
              </w:rPr>
              <w:t>Commissions d'études de l'UIT-R concernées</w:t>
            </w:r>
            <w:r w:rsidRPr="00A31EA2">
              <w:rPr>
                <w:b/>
                <w:bCs/>
                <w:i/>
                <w:iCs/>
              </w:rPr>
              <w:t>:</w:t>
            </w:r>
          </w:p>
          <w:p w:rsidR="00F150E4" w:rsidRPr="009E4745" w:rsidRDefault="00C937A8" w:rsidP="00425FA3">
            <w:pPr>
              <w:rPr>
                <w:b/>
                <w:i/>
                <w:lang w:val="fr-CH"/>
              </w:rPr>
            </w:pPr>
            <w:r>
              <w:t>CE</w:t>
            </w:r>
            <w:r w:rsidR="000E0653">
              <w:t xml:space="preserve"> </w:t>
            </w:r>
            <w:r w:rsidR="00F150E4" w:rsidRPr="00FE5E25">
              <w:t>5 (</w:t>
            </w:r>
            <w:r w:rsidR="00872994">
              <w:t xml:space="preserve">GT </w:t>
            </w:r>
            <w:r w:rsidR="00F150E4" w:rsidRPr="00FE5E25">
              <w:t xml:space="preserve">5A, </w:t>
            </w:r>
            <w:r w:rsidR="00872994">
              <w:t xml:space="preserve">GT </w:t>
            </w:r>
            <w:r w:rsidR="00F150E4" w:rsidRPr="00FE5E25">
              <w:t>5C)</w:t>
            </w:r>
          </w:p>
        </w:tc>
      </w:tr>
      <w:tr w:rsidR="00F150E4" w:rsidRPr="00F150E4" w:rsidTr="002B6D60">
        <w:tc>
          <w:tcPr>
            <w:tcW w:w="9639" w:type="dxa"/>
            <w:gridSpan w:val="2"/>
            <w:tcBorders>
              <w:top w:val="single" w:sz="4" w:space="0" w:color="auto"/>
              <w:left w:val="nil"/>
              <w:bottom w:val="single" w:sz="4" w:space="0" w:color="auto"/>
              <w:right w:val="nil"/>
            </w:tcBorders>
          </w:tcPr>
          <w:p w:rsidR="00F150E4" w:rsidRPr="00A31EA2" w:rsidRDefault="00F150E4" w:rsidP="00425FA3">
            <w:r w:rsidRPr="0014454C">
              <w:rPr>
                <w:b/>
                <w:bCs/>
                <w:i/>
                <w:iCs/>
              </w:rPr>
              <w:t xml:space="preserve">Répercussions au niveau des ressources de l'UIT, y compris incidences </w:t>
            </w:r>
            <w:r w:rsidR="002B6D60" w:rsidRPr="0014454C">
              <w:rPr>
                <w:b/>
                <w:bCs/>
                <w:i/>
                <w:iCs/>
              </w:rPr>
              <w:t xml:space="preserve">financières </w:t>
            </w:r>
            <w:r w:rsidRPr="0014454C">
              <w:rPr>
                <w:b/>
                <w:bCs/>
                <w:i/>
                <w:iCs/>
              </w:rPr>
              <w:br/>
              <w:t>(voir le numéro 126 de la Convention):</w:t>
            </w:r>
          </w:p>
          <w:p w:rsidR="00F150E4" w:rsidRPr="00730563" w:rsidRDefault="00DA268C"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r w:rsidR="003228B3">
              <w:rPr>
                <w:lang w:val="fr-CH"/>
              </w:rPr>
              <w:t xml:space="preserve"> </w:t>
            </w:r>
          </w:p>
        </w:tc>
      </w:tr>
      <w:tr w:rsidR="00F150E4" w:rsidRPr="009E4745" w:rsidTr="002B6D60">
        <w:tc>
          <w:tcPr>
            <w:tcW w:w="4539" w:type="dxa"/>
            <w:tcBorders>
              <w:top w:val="single" w:sz="4" w:space="0" w:color="auto"/>
              <w:left w:val="nil"/>
              <w:bottom w:val="single" w:sz="4" w:space="0" w:color="auto"/>
              <w:right w:val="nil"/>
            </w:tcBorders>
          </w:tcPr>
          <w:p w:rsidR="00F150E4" w:rsidRPr="009E4745" w:rsidRDefault="00F150E4" w:rsidP="00425FA3">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F150E4" w:rsidRPr="00A31EA2" w:rsidRDefault="00F150E4" w:rsidP="00425FA3">
            <w:r w:rsidRPr="00695ABE">
              <w:rPr>
                <w:b/>
                <w:bCs/>
                <w:i/>
                <w:iCs/>
              </w:rPr>
              <w:t>Proposition soumise par plusieurs pays:</w:t>
            </w:r>
            <w:r w:rsidRPr="008C0EDF">
              <w:rPr>
                <w:b/>
                <w:bCs/>
              </w:rPr>
              <w:t xml:space="preserve"> </w:t>
            </w:r>
            <w:r w:rsidRPr="009217A6">
              <w:t>Non</w:t>
            </w:r>
          </w:p>
          <w:p w:rsidR="00F150E4" w:rsidRPr="002B6D60" w:rsidRDefault="00F150E4" w:rsidP="002B6D60">
            <w:r w:rsidRPr="003A2ED4">
              <w:rPr>
                <w:b/>
                <w:bCs/>
                <w:i/>
                <w:iCs/>
                <w:lang w:val="fr-CH"/>
              </w:rPr>
              <w:t>Nombre de pays</w:t>
            </w:r>
          </w:p>
        </w:tc>
      </w:tr>
      <w:tr w:rsidR="00F150E4" w:rsidRPr="00714540" w:rsidTr="002B6D60">
        <w:tc>
          <w:tcPr>
            <w:tcW w:w="9639" w:type="dxa"/>
            <w:gridSpan w:val="2"/>
            <w:tcBorders>
              <w:top w:val="single" w:sz="4" w:space="0" w:color="auto"/>
              <w:left w:val="nil"/>
              <w:bottom w:val="nil"/>
              <w:right w:val="nil"/>
            </w:tcBorders>
          </w:tcPr>
          <w:p w:rsidR="00F150E4" w:rsidRPr="00A31EA2" w:rsidRDefault="00F150E4" w:rsidP="00425FA3">
            <w:r w:rsidRPr="003A2ED4">
              <w:rPr>
                <w:b/>
                <w:bCs/>
                <w:i/>
                <w:iCs/>
              </w:rPr>
              <w:t>Observations</w:t>
            </w:r>
          </w:p>
          <w:p w:rsidR="00F150E4" w:rsidRPr="00714540" w:rsidRDefault="000E0653" w:rsidP="00425FA3">
            <w:pPr>
              <w:rPr>
                <w:b/>
                <w:i/>
              </w:rPr>
            </w:pPr>
            <w:r>
              <w:t>N</w:t>
            </w:r>
            <w:r w:rsidR="00A500DC">
              <w:t xml:space="preserve">éant </w:t>
            </w:r>
          </w:p>
        </w:tc>
      </w:tr>
    </w:tbl>
    <w:p w:rsidR="00F150E4" w:rsidRDefault="00F150E4" w:rsidP="00425F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6B1FD4" w:rsidRDefault="00A846F5" w:rsidP="00425FA3">
      <w:pPr>
        <w:pStyle w:val="Proposal"/>
        <w:rPr>
          <w:lang w:val="en-US"/>
        </w:rPr>
      </w:pPr>
      <w:r w:rsidRPr="00B65685">
        <w:rPr>
          <w:lang w:val="en-US"/>
        </w:rPr>
        <w:lastRenderedPageBreak/>
        <w:t>ADD</w:t>
      </w:r>
      <w:r w:rsidRPr="00B65685">
        <w:rPr>
          <w:lang w:val="en-US"/>
        </w:rPr>
        <w:tab/>
        <w:t>EUR/9A25/12</w:t>
      </w:r>
    </w:p>
    <w:p w:rsidR="00FE2A11" w:rsidRPr="00730563" w:rsidRDefault="001261B0" w:rsidP="00425FA3">
      <w:pPr>
        <w:pStyle w:val="ResNo"/>
        <w:rPr>
          <w:lang w:val="fr-CH"/>
        </w:rPr>
      </w:pPr>
      <w:r w:rsidRPr="00730563">
        <w:rPr>
          <w:lang w:val="fr-CH"/>
        </w:rPr>
        <w:t xml:space="preserve">PROJET DE NOUVELLE </w:t>
      </w:r>
      <w:r w:rsidR="00BB138D">
        <w:rPr>
          <w:lang w:val="fr-CH"/>
        </w:rPr>
        <w:t>RÉSOLUTION</w:t>
      </w:r>
      <w:r w:rsidR="00FE2A11" w:rsidRPr="00730563">
        <w:rPr>
          <w:lang w:val="fr-CH"/>
        </w:rPr>
        <w:t xml:space="preserve"> [EUR-K10-10] (</w:t>
      </w:r>
      <w:r w:rsidR="003228B3">
        <w:rPr>
          <w:lang w:val="fr-CH"/>
        </w:rPr>
        <w:t>CMR-15</w:t>
      </w:r>
      <w:r w:rsidR="00FE2A11" w:rsidRPr="00730563">
        <w:rPr>
          <w:lang w:val="fr-CH"/>
        </w:rPr>
        <w:t>)</w:t>
      </w:r>
    </w:p>
    <w:p w:rsidR="00FE2A11" w:rsidRPr="00730563" w:rsidRDefault="00DA268C" w:rsidP="000E0653">
      <w:pPr>
        <w:pStyle w:val="Restitle"/>
        <w:rPr>
          <w:lang w:val="fr-CH"/>
        </w:rPr>
      </w:pPr>
      <w:r w:rsidRPr="00730563">
        <w:rPr>
          <w:lang w:val="fr-CH"/>
        </w:rPr>
        <w:t>Examen de la révision</w:t>
      </w:r>
      <w:r w:rsidR="003228B3">
        <w:rPr>
          <w:lang w:val="fr-CH"/>
        </w:rPr>
        <w:t xml:space="preserve"> </w:t>
      </w:r>
      <w:r w:rsidRPr="00730563">
        <w:rPr>
          <w:lang w:val="fr-CH"/>
        </w:rPr>
        <w:t>de l</w:t>
      </w:r>
      <w:r w:rsidR="00B979D7">
        <w:rPr>
          <w:lang w:val="fr-CH"/>
        </w:rPr>
        <w:t>'</w:t>
      </w:r>
      <w:r w:rsidR="002B6D60">
        <w:rPr>
          <w:lang w:val="fr-CH"/>
        </w:rPr>
        <w:t>Annexe</w:t>
      </w:r>
      <w:r w:rsidRPr="00730563">
        <w:rPr>
          <w:lang w:val="fr-CH"/>
        </w:rPr>
        <w:t xml:space="preserve"> 7 de l</w:t>
      </w:r>
      <w:r w:rsidR="00B979D7">
        <w:rPr>
          <w:lang w:val="fr-CH"/>
        </w:rPr>
        <w:t>'</w:t>
      </w:r>
      <w:r w:rsidRPr="00730563">
        <w:rPr>
          <w:lang w:val="fr-CH"/>
        </w:rPr>
        <w:t>Appendice 30 du RR</w:t>
      </w:r>
      <w:r w:rsidR="003228B3">
        <w:rPr>
          <w:lang w:val="fr-CH"/>
        </w:rPr>
        <w:t xml:space="preserve"> </w:t>
      </w:r>
    </w:p>
    <w:p w:rsidR="00FE2A11" w:rsidRPr="00730563" w:rsidRDefault="001261B0" w:rsidP="00425FA3">
      <w:pPr>
        <w:pStyle w:val="Normalaftertitle"/>
        <w:rPr>
          <w:lang w:val="fr-CH"/>
        </w:rPr>
      </w:pPr>
      <w:r w:rsidRPr="00730563">
        <w:rPr>
          <w:lang w:val="fr-CH"/>
        </w:rPr>
        <w:t xml:space="preserve">La Conférence mondiale des radiocommunications </w:t>
      </w:r>
      <w:r w:rsidR="00FE2A11" w:rsidRPr="00730563">
        <w:rPr>
          <w:lang w:val="fr-CH"/>
        </w:rPr>
        <w:t>(</w:t>
      </w:r>
      <w:r w:rsidRPr="00730563">
        <w:rPr>
          <w:lang w:val="fr-CH"/>
        </w:rPr>
        <w:t>Genève</w:t>
      </w:r>
      <w:r w:rsidR="003228B3">
        <w:rPr>
          <w:lang w:val="fr-CH"/>
        </w:rPr>
        <w:t>,</w:t>
      </w:r>
      <w:r w:rsidR="00FE2A11" w:rsidRPr="00730563">
        <w:rPr>
          <w:lang w:val="fr-CH"/>
        </w:rPr>
        <w:t xml:space="preserve"> 2015),</w:t>
      </w:r>
    </w:p>
    <w:p w:rsidR="00FE2A11" w:rsidRPr="00730563" w:rsidRDefault="00071B1B" w:rsidP="00425FA3">
      <w:pPr>
        <w:pStyle w:val="Call"/>
        <w:rPr>
          <w:lang w:val="fr-CH"/>
        </w:rPr>
      </w:pPr>
      <w:r w:rsidRPr="00730563">
        <w:rPr>
          <w:lang w:val="fr-CH"/>
        </w:rPr>
        <w:t xml:space="preserve">considérant </w:t>
      </w:r>
    </w:p>
    <w:p w:rsidR="00FE2A11" w:rsidRPr="00730563" w:rsidRDefault="00FE2A11" w:rsidP="002B6D60">
      <w:pPr>
        <w:rPr>
          <w:lang w:val="fr-CH"/>
        </w:rPr>
      </w:pPr>
      <w:r w:rsidRPr="000E0653">
        <w:rPr>
          <w:i/>
          <w:iCs/>
          <w:lang w:val="fr-CH"/>
        </w:rPr>
        <w:t>a)</w:t>
      </w:r>
      <w:r w:rsidRPr="00730563">
        <w:rPr>
          <w:lang w:val="fr-CH"/>
        </w:rPr>
        <w:tab/>
      </w:r>
      <w:r w:rsidR="00DA268C" w:rsidRPr="00730563">
        <w:rPr>
          <w:lang w:val="fr-CH"/>
        </w:rPr>
        <w:t>que la Conférence administrative mondiale des radiocommunications tenue</w:t>
      </w:r>
      <w:r w:rsidR="003228B3">
        <w:rPr>
          <w:lang w:val="fr-CH"/>
        </w:rPr>
        <w:t xml:space="preserve"> </w:t>
      </w:r>
      <w:r w:rsidR="00DA268C" w:rsidRPr="00730563">
        <w:rPr>
          <w:lang w:val="fr-CH"/>
        </w:rPr>
        <w:t>en 1977</w:t>
      </w:r>
      <w:r w:rsidR="003228B3">
        <w:rPr>
          <w:lang w:val="fr-CH"/>
        </w:rPr>
        <w:t xml:space="preserve"> </w:t>
      </w:r>
      <w:r w:rsidRPr="00730563">
        <w:rPr>
          <w:lang w:val="fr-CH"/>
        </w:rPr>
        <w:t>(</w:t>
      </w:r>
      <w:r w:rsidR="00DA268C" w:rsidRPr="00730563">
        <w:rPr>
          <w:lang w:val="fr-CH"/>
        </w:rPr>
        <w:t>CAMR</w:t>
      </w:r>
      <w:r w:rsidRPr="00730563">
        <w:rPr>
          <w:lang w:val="fr-CH"/>
        </w:rPr>
        <w:t>-77</w:t>
      </w:r>
      <w:r w:rsidR="00B1634C">
        <w:rPr>
          <w:lang w:val="fr-CH"/>
        </w:rPr>
        <w:t>)</w:t>
      </w:r>
      <w:r w:rsidR="00B1634C" w:rsidRPr="00730563">
        <w:rPr>
          <w:lang w:val="fr-CH"/>
        </w:rPr>
        <w:t xml:space="preserve"> a</w:t>
      </w:r>
      <w:r w:rsidR="00DA268C" w:rsidRPr="00730563">
        <w:rPr>
          <w:lang w:val="fr-CH"/>
        </w:rPr>
        <w:t xml:space="preserve"> élaboré un</w:t>
      </w:r>
      <w:r w:rsidRPr="00730563">
        <w:rPr>
          <w:lang w:val="fr-CH"/>
        </w:rPr>
        <w:t xml:space="preserve"> </w:t>
      </w:r>
      <w:r w:rsidR="00DA268C">
        <w:rPr>
          <w:color w:val="000000"/>
        </w:rPr>
        <w:t>Plan pour le service de radiodiffusion par satellite (SRS</w:t>
      </w:r>
      <w:r w:rsidR="00B1634C">
        <w:rPr>
          <w:color w:val="000000"/>
        </w:rPr>
        <w:t>) dans</w:t>
      </w:r>
      <w:r w:rsidR="003228B3">
        <w:rPr>
          <w:color w:val="000000"/>
        </w:rPr>
        <w:t xml:space="preserve"> </w:t>
      </w:r>
      <w:r w:rsidR="00DA268C">
        <w:rPr>
          <w:color w:val="000000"/>
        </w:rPr>
        <w:t>les bandes</w:t>
      </w:r>
      <w:r w:rsidR="003228B3">
        <w:rPr>
          <w:color w:val="000000"/>
        </w:rPr>
        <w:t xml:space="preserve"> </w:t>
      </w:r>
      <w:r w:rsidR="00DA268C">
        <w:rPr>
          <w:color w:val="000000"/>
        </w:rPr>
        <w:t>11,7-12,5 GHz</w:t>
      </w:r>
      <w:r w:rsidR="003228B3">
        <w:rPr>
          <w:color w:val="000000"/>
        </w:rPr>
        <w:t xml:space="preserve"> </w:t>
      </w:r>
      <w:r w:rsidR="00DA268C">
        <w:rPr>
          <w:color w:val="000000"/>
        </w:rPr>
        <w:t>(Région 1</w:t>
      </w:r>
      <w:r w:rsidR="00BF2826">
        <w:rPr>
          <w:color w:val="000000"/>
        </w:rPr>
        <w:t>)</w:t>
      </w:r>
      <w:r w:rsidR="00B1634C">
        <w:rPr>
          <w:color w:val="000000"/>
        </w:rPr>
        <w:t xml:space="preserve"> </w:t>
      </w:r>
      <w:r w:rsidR="00DA268C">
        <w:rPr>
          <w:color w:val="000000"/>
        </w:rPr>
        <w:t>et 11,7-12,2 GHz</w:t>
      </w:r>
      <w:r w:rsidR="003228B3">
        <w:rPr>
          <w:color w:val="000000"/>
        </w:rPr>
        <w:t xml:space="preserve"> </w:t>
      </w:r>
      <w:r w:rsidR="00DA268C">
        <w:rPr>
          <w:color w:val="000000"/>
        </w:rPr>
        <w:t>(Région 3</w:t>
      </w:r>
      <w:r w:rsidR="00BF2826">
        <w:rPr>
          <w:color w:val="000000"/>
        </w:rPr>
        <w:t>)</w:t>
      </w:r>
      <w:r w:rsidR="00B1634C">
        <w:rPr>
          <w:color w:val="000000"/>
        </w:rPr>
        <w:t xml:space="preserve"> </w:t>
      </w:r>
      <w:r w:rsidR="002B6D60">
        <w:rPr>
          <w:lang w:val="fr-CH"/>
        </w:rPr>
        <w:t>indiquant</w:t>
      </w:r>
      <w:r w:rsidRPr="00730563">
        <w:rPr>
          <w:lang w:val="fr-CH"/>
        </w:rPr>
        <w:t>:</w:t>
      </w:r>
    </w:p>
    <w:p w:rsidR="00FE2A11" w:rsidRPr="00FE2A11" w:rsidRDefault="00FE2A11" w:rsidP="00425FA3">
      <w:pPr>
        <w:rPr>
          <w:lang w:val="fr-CH"/>
        </w:rPr>
      </w:pPr>
      <w:r w:rsidRPr="000E0653">
        <w:rPr>
          <w:i/>
          <w:iCs/>
        </w:rPr>
        <w:t>b)</w:t>
      </w:r>
      <w:r>
        <w:tab/>
      </w:r>
      <w:r w:rsidR="003228B3">
        <w:t xml:space="preserve"> </w:t>
      </w:r>
      <w:r w:rsidRPr="00FB207D">
        <w:t>les critères de partage</w:t>
      </w:r>
      <w:r w:rsidR="003228B3">
        <w:t xml:space="preserve"> </w:t>
      </w:r>
      <w:r>
        <w:t>pour les bandes 11,7-12,</w:t>
      </w:r>
      <w:r w:rsidRPr="00FB207D">
        <w:t xml:space="preserve">2 GHz </w:t>
      </w:r>
      <w:r>
        <w:t>(dans les Régions 2 et 3</w:t>
      </w:r>
      <w:r w:rsidR="002B6D60">
        <w:t>) et</w:t>
      </w:r>
      <w:r>
        <w:t xml:space="preserve"> 11,7</w:t>
      </w:r>
      <w:r>
        <w:noBreakHyphen/>
        <w:t>12,</w:t>
      </w:r>
      <w:r w:rsidRPr="00FB207D">
        <w:t>5 GHz (dans la Région 1</w:t>
      </w:r>
      <w:r w:rsidR="002B6D60">
        <w:t>)</w:t>
      </w:r>
      <w:r w:rsidR="002B6D60" w:rsidRPr="00FB207D">
        <w:t xml:space="preserve"> entre</w:t>
      </w:r>
      <w:r w:rsidRPr="00FB207D">
        <w:t xml:space="preserve"> le service de radiodiffusion par satellite et les autres services auxquels ces bandes sont attribuées</w:t>
      </w:r>
      <w:r>
        <w:t>;</w:t>
      </w:r>
    </w:p>
    <w:p w:rsidR="00FE2A11" w:rsidRPr="00730563" w:rsidRDefault="00FE2A11" w:rsidP="00425FA3">
      <w:pPr>
        <w:rPr>
          <w:lang w:val="fr-CH"/>
        </w:rPr>
      </w:pPr>
      <w:r w:rsidRPr="000E0653">
        <w:rPr>
          <w:i/>
          <w:iCs/>
          <w:lang w:val="fr-CH"/>
        </w:rPr>
        <w:t>c)</w:t>
      </w:r>
      <w:r w:rsidRPr="00730563">
        <w:rPr>
          <w:lang w:val="fr-CH"/>
        </w:rPr>
        <w:tab/>
      </w:r>
      <w:r w:rsidR="00B06704" w:rsidRPr="00730563">
        <w:rPr>
          <w:lang w:val="fr-CH"/>
        </w:rPr>
        <w:t>les procédures régissant l</w:t>
      </w:r>
      <w:r w:rsidR="00B979D7">
        <w:rPr>
          <w:lang w:val="fr-CH"/>
        </w:rPr>
        <w:t>'</w:t>
      </w:r>
      <w:r w:rsidR="00B06704" w:rsidRPr="00730563">
        <w:rPr>
          <w:lang w:val="fr-CH"/>
        </w:rPr>
        <w:t>utilisation de ces bandes par le service de radiodiffusion par satellite</w:t>
      </w:r>
      <w:r w:rsidR="003228B3">
        <w:rPr>
          <w:lang w:val="fr-CH"/>
        </w:rPr>
        <w:t xml:space="preserve"> </w:t>
      </w:r>
      <w:r w:rsidR="00B06704" w:rsidRPr="00730563">
        <w:rPr>
          <w:lang w:val="fr-CH"/>
        </w:rPr>
        <w:t>et les autres services auxquels ces bandes sont attribuées</w:t>
      </w:r>
      <w:r w:rsidR="003228B3">
        <w:rPr>
          <w:lang w:val="fr-CH"/>
        </w:rPr>
        <w:t>;</w:t>
      </w:r>
    </w:p>
    <w:p w:rsidR="00FE2A11" w:rsidRPr="00730563" w:rsidRDefault="00FE2A11" w:rsidP="0041346B">
      <w:pPr>
        <w:rPr>
          <w:lang w:val="fr-CH"/>
        </w:rPr>
      </w:pPr>
      <w:r w:rsidRPr="000E0653">
        <w:rPr>
          <w:i/>
          <w:iCs/>
          <w:lang w:val="fr-CH"/>
        </w:rPr>
        <w:t>d)</w:t>
      </w:r>
      <w:r w:rsidRPr="00730563">
        <w:rPr>
          <w:lang w:val="fr-CH"/>
        </w:rPr>
        <w:tab/>
      </w:r>
      <w:r w:rsidR="00B06704" w:rsidRPr="00730563">
        <w:rPr>
          <w:lang w:val="fr-CH"/>
        </w:rPr>
        <w:t>que, pour</w:t>
      </w:r>
      <w:r w:rsidR="003228B3">
        <w:rPr>
          <w:lang w:val="fr-CH"/>
        </w:rPr>
        <w:t xml:space="preserve"> </w:t>
      </w:r>
      <w:r w:rsidR="00B06704">
        <w:rPr>
          <w:color w:val="000000"/>
        </w:rPr>
        <w:t>préserver l'accès à l'orbite des satellites géostationnaires par le service fixe par satellite (SFS</w:t>
      </w:r>
      <w:r w:rsidR="00BF2826">
        <w:rPr>
          <w:color w:val="000000"/>
        </w:rPr>
        <w:t>)</w:t>
      </w:r>
      <w:r w:rsidR="0032652F">
        <w:rPr>
          <w:color w:val="000000"/>
        </w:rPr>
        <w:t xml:space="preserve"> </w:t>
      </w:r>
      <w:r w:rsidR="00B06704">
        <w:rPr>
          <w:color w:val="000000"/>
        </w:rPr>
        <w:t>en Région 2</w:t>
      </w:r>
      <w:r w:rsidR="003228B3">
        <w:rPr>
          <w:lang w:val="fr-CH"/>
        </w:rPr>
        <w:t>,</w:t>
      </w:r>
      <w:r w:rsidR="00B06704" w:rsidRPr="00730563">
        <w:rPr>
          <w:lang w:val="fr-CH"/>
        </w:rPr>
        <w:t xml:space="preserve"> la</w:t>
      </w:r>
      <w:r w:rsidRPr="00730563">
        <w:rPr>
          <w:lang w:val="fr-CH"/>
        </w:rPr>
        <w:t xml:space="preserve"> </w:t>
      </w:r>
      <w:r w:rsidR="00B06704" w:rsidRPr="00730563">
        <w:rPr>
          <w:lang w:val="fr-CH"/>
        </w:rPr>
        <w:t>CAMR</w:t>
      </w:r>
      <w:r w:rsidR="00BF2826">
        <w:rPr>
          <w:lang w:val="fr-CH"/>
        </w:rPr>
        <w:t>-</w:t>
      </w:r>
      <w:r w:rsidRPr="00730563">
        <w:rPr>
          <w:lang w:val="fr-CH"/>
        </w:rPr>
        <w:t xml:space="preserve">77 </w:t>
      </w:r>
      <w:r w:rsidR="00B06704" w:rsidRPr="00730563">
        <w:rPr>
          <w:lang w:val="fr-CH"/>
        </w:rPr>
        <w:t>a décidé de limiter l</w:t>
      </w:r>
      <w:r w:rsidR="00B979D7">
        <w:rPr>
          <w:lang w:val="fr-CH"/>
        </w:rPr>
        <w:t>'</w:t>
      </w:r>
      <w:r w:rsidR="00B06704" w:rsidRPr="00730563">
        <w:rPr>
          <w:lang w:val="fr-CH"/>
        </w:rPr>
        <w:t>utilisation des positions orbitales entre</w:t>
      </w:r>
      <w:r w:rsidR="003228B3">
        <w:rPr>
          <w:lang w:val="fr-CH"/>
        </w:rPr>
        <w:t xml:space="preserve"> </w:t>
      </w:r>
      <w:r w:rsidRPr="00730563">
        <w:rPr>
          <w:lang w:val="fr-CH"/>
        </w:rPr>
        <w:t>37</w:t>
      </w:r>
      <w:r w:rsidR="0041346B">
        <w:rPr>
          <w:lang w:val="fr-CH"/>
        </w:rPr>
        <w:t>,</w:t>
      </w:r>
      <w:r w:rsidRPr="00730563">
        <w:rPr>
          <w:lang w:val="fr-CH"/>
        </w:rPr>
        <w:t>2°</w:t>
      </w:r>
      <w:r w:rsidR="0032652F">
        <w:rPr>
          <w:lang w:val="fr-CH"/>
        </w:rPr>
        <w:t xml:space="preserve"> </w:t>
      </w:r>
      <w:r w:rsidRPr="00730563">
        <w:rPr>
          <w:lang w:val="fr-CH"/>
        </w:rPr>
        <w:t>W</w:t>
      </w:r>
      <w:r w:rsidR="003228B3">
        <w:rPr>
          <w:lang w:val="fr-CH"/>
        </w:rPr>
        <w:t xml:space="preserve"> </w:t>
      </w:r>
      <w:r w:rsidR="00B06704" w:rsidRPr="00730563">
        <w:rPr>
          <w:lang w:val="fr-CH"/>
        </w:rPr>
        <w:t xml:space="preserve">et </w:t>
      </w:r>
      <w:r w:rsidRPr="00730563">
        <w:rPr>
          <w:lang w:val="fr-CH"/>
        </w:rPr>
        <w:t>10°</w:t>
      </w:r>
      <w:r w:rsidR="0032652F">
        <w:rPr>
          <w:lang w:val="fr-CH"/>
        </w:rPr>
        <w:t xml:space="preserve"> </w:t>
      </w:r>
      <w:r w:rsidRPr="00730563">
        <w:rPr>
          <w:lang w:val="fr-CH"/>
        </w:rPr>
        <w:t xml:space="preserve">E </w:t>
      </w:r>
      <w:r w:rsidR="00B06704" w:rsidRPr="00730563">
        <w:rPr>
          <w:lang w:val="fr-CH"/>
        </w:rPr>
        <w:t xml:space="preserve">pour les </w:t>
      </w:r>
      <w:r w:rsidR="00B06704">
        <w:rPr>
          <w:color w:val="000000"/>
        </w:rPr>
        <w:t>assignations du SRS nouvelles ou modifiées dans la bande</w:t>
      </w:r>
      <w:r w:rsidR="003228B3">
        <w:rPr>
          <w:lang w:val="fr-CH"/>
        </w:rPr>
        <w:t xml:space="preserve"> </w:t>
      </w:r>
      <w:r w:rsidRPr="00730563">
        <w:rPr>
          <w:lang w:val="fr-CH"/>
        </w:rPr>
        <w:t>11</w:t>
      </w:r>
      <w:r w:rsidR="000E0653">
        <w:rPr>
          <w:lang w:val="fr-CH"/>
        </w:rPr>
        <w:t>,</w:t>
      </w:r>
      <w:r w:rsidRPr="00730563">
        <w:rPr>
          <w:lang w:val="fr-CH"/>
        </w:rPr>
        <w:t>7-12</w:t>
      </w:r>
      <w:r w:rsidR="000E0653">
        <w:rPr>
          <w:lang w:val="fr-CH"/>
        </w:rPr>
        <w:t>,</w:t>
      </w:r>
      <w:r w:rsidRPr="00730563">
        <w:rPr>
          <w:lang w:val="fr-CH"/>
        </w:rPr>
        <w:t>2 GHz;</w:t>
      </w:r>
    </w:p>
    <w:p w:rsidR="00FE2A11" w:rsidRPr="00C65E14" w:rsidRDefault="00C65E14" w:rsidP="00425FA3">
      <w:pPr>
        <w:rPr>
          <w:lang w:val="fr-CH"/>
        </w:rPr>
      </w:pPr>
      <w:r w:rsidRPr="000E0653">
        <w:rPr>
          <w:i/>
          <w:iCs/>
        </w:rPr>
        <w:t>e)</w:t>
      </w:r>
      <w:r>
        <w:tab/>
      </w:r>
      <w:r w:rsidR="00B06704">
        <w:t>que, pour</w:t>
      </w:r>
      <w:r w:rsidR="003228B3">
        <w:t xml:space="preserve"> </w:t>
      </w:r>
      <w:r w:rsidRPr="00FB207D">
        <w:t>proté</w:t>
      </w:r>
      <w:r>
        <w:t>ger</w:t>
      </w:r>
      <w:r w:rsidR="00B06704">
        <w:t xml:space="preserve"> les assignations du </w:t>
      </w:r>
      <w:r>
        <w:t>SFS en Région 2, la CAMR</w:t>
      </w:r>
      <w:r>
        <w:noBreakHyphen/>
      </w:r>
      <w:r w:rsidRPr="00FB207D">
        <w:t xml:space="preserve">77 a adopté une limite de puissance surfacique </w:t>
      </w:r>
      <w:r w:rsidR="00B06704" w:rsidRPr="00730563">
        <w:rPr>
          <w:lang w:val="fr-CH"/>
        </w:rPr>
        <w:t xml:space="preserve">pour les </w:t>
      </w:r>
      <w:r w:rsidR="00B06704">
        <w:rPr>
          <w:color w:val="000000"/>
        </w:rPr>
        <w:t xml:space="preserve">assignations du SRS nouvelles ou modifiées </w:t>
      </w:r>
      <w:r w:rsidRPr="00FB207D">
        <w:t>s</w:t>
      </w:r>
      <w:r>
        <w:t>ur les territoires de la Région </w:t>
      </w:r>
      <w:r w:rsidRPr="00FB207D">
        <w:t>2 destinée à servir de valeur «seuil» de coordination avec l</w:t>
      </w:r>
      <w:r>
        <w:t xml:space="preserve">es administrations </w:t>
      </w:r>
      <w:r w:rsidRPr="00FB207D">
        <w:t>affectées</w:t>
      </w:r>
      <w:r w:rsidR="00B06704" w:rsidRPr="00B06704">
        <w:t xml:space="preserve"> </w:t>
      </w:r>
      <w:r w:rsidR="00B06704">
        <w:t>de la Région </w:t>
      </w:r>
      <w:r w:rsidR="00B06704" w:rsidRPr="00FB207D">
        <w:t>2</w:t>
      </w:r>
      <w:r w:rsidR="003228B3">
        <w:t>;</w:t>
      </w:r>
    </w:p>
    <w:p w:rsidR="00C65E14" w:rsidRPr="00730563" w:rsidRDefault="00C65E14" w:rsidP="002B6D60">
      <w:pPr>
        <w:rPr>
          <w:lang w:val="fr-CH"/>
        </w:rPr>
      </w:pPr>
      <w:r w:rsidRPr="000E0653">
        <w:rPr>
          <w:i/>
          <w:iCs/>
          <w:lang w:val="fr-CH"/>
        </w:rPr>
        <w:t>f)</w:t>
      </w:r>
      <w:r w:rsidRPr="00730563">
        <w:rPr>
          <w:lang w:val="fr-CH"/>
        </w:rPr>
        <w:tab/>
      </w:r>
      <w:r w:rsidR="00780FA7" w:rsidRPr="00730563">
        <w:rPr>
          <w:lang w:val="fr-CH"/>
        </w:rPr>
        <w:t>que, conformément au Plan de la</w:t>
      </w:r>
      <w:r w:rsidR="003228B3">
        <w:rPr>
          <w:lang w:val="fr-CH"/>
        </w:rPr>
        <w:t xml:space="preserve"> </w:t>
      </w:r>
      <w:r w:rsidR="00B06704" w:rsidRPr="00730563">
        <w:rPr>
          <w:lang w:val="fr-CH"/>
        </w:rPr>
        <w:t>CAMR</w:t>
      </w:r>
      <w:r w:rsidR="00BF2826">
        <w:rPr>
          <w:lang w:val="fr-CH"/>
        </w:rPr>
        <w:t>-</w:t>
      </w:r>
      <w:r w:rsidRPr="00730563">
        <w:rPr>
          <w:lang w:val="fr-CH"/>
        </w:rPr>
        <w:t>77</w:t>
      </w:r>
      <w:r w:rsidR="003228B3">
        <w:rPr>
          <w:lang w:val="fr-CH"/>
        </w:rPr>
        <w:t>,</w:t>
      </w:r>
      <w:r w:rsidRPr="00730563">
        <w:rPr>
          <w:lang w:val="fr-CH"/>
        </w:rPr>
        <w:t xml:space="preserve"> </w:t>
      </w:r>
      <w:r w:rsidR="00780FA7" w:rsidRPr="00730563">
        <w:rPr>
          <w:lang w:val="fr-CH"/>
        </w:rPr>
        <w:t>le partage entre les différents services utilisant la bande des</w:t>
      </w:r>
      <w:r w:rsidR="003228B3">
        <w:rPr>
          <w:lang w:val="fr-CH"/>
        </w:rPr>
        <w:t xml:space="preserve"> </w:t>
      </w:r>
      <w:r w:rsidRPr="00730563">
        <w:rPr>
          <w:lang w:val="fr-CH"/>
        </w:rPr>
        <w:t xml:space="preserve">12 GHz </w:t>
      </w:r>
      <w:r w:rsidR="00780FA7" w:rsidRPr="00730563">
        <w:rPr>
          <w:lang w:val="fr-CH"/>
        </w:rPr>
        <w:t>devrait être fondé sur les critères de protection</w:t>
      </w:r>
      <w:r w:rsidR="00B67243" w:rsidRPr="00730563">
        <w:rPr>
          <w:lang w:val="fr-CH"/>
        </w:rPr>
        <w:t xml:space="preserve"> correspondant à un</w:t>
      </w:r>
      <w:r w:rsidR="003228B3">
        <w:rPr>
          <w:lang w:val="fr-CH"/>
        </w:rPr>
        <w:t xml:space="preserve"> </w:t>
      </w:r>
      <w:r w:rsidR="00B67243">
        <w:rPr>
          <w:color w:val="000000"/>
        </w:rPr>
        <w:t>rapport porteuse/brouillage (</w:t>
      </w:r>
      <w:r w:rsidR="00B67243" w:rsidRPr="00730563">
        <w:rPr>
          <w:lang w:val="fr-CH"/>
        </w:rPr>
        <w:t>C/I</w:t>
      </w:r>
      <w:r w:rsidR="00BF2826">
        <w:rPr>
          <w:lang w:val="fr-CH"/>
        </w:rPr>
        <w:t>)</w:t>
      </w:r>
      <w:r w:rsidR="000E0653">
        <w:rPr>
          <w:lang w:val="fr-CH"/>
        </w:rPr>
        <w:t xml:space="preserve"> </w:t>
      </w:r>
      <w:r w:rsidR="00B67243" w:rsidRPr="00730563">
        <w:rPr>
          <w:lang w:val="fr-CH"/>
        </w:rPr>
        <w:t>= 30 dB (</w:t>
      </w:r>
      <w:r w:rsidR="00B67243">
        <w:rPr>
          <w:color w:val="000000"/>
        </w:rPr>
        <w:t>global</w:t>
      </w:r>
      <w:r w:rsidR="00BF2826">
        <w:rPr>
          <w:lang w:val="fr-CH"/>
        </w:rPr>
        <w:t>)</w:t>
      </w:r>
      <w:r w:rsidR="000E0653">
        <w:rPr>
          <w:lang w:val="fr-CH"/>
        </w:rPr>
        <w:t xml:space="preserve"> </w:t>
      </w:r>
      <w:r w:rsidR="00B67243" w:rsidRPr="00730563">
        <w:rPr>
          <w:lang w:val="fr-CH"/>
        </w:rPr>
        <w:t>et</w:t>
      </w:r>
      <w:r w:rsidR="003228B3">
        <w:rPr>
          <w:lang w:val="fr-CH"/>
        </w:rPr>
        <w:t xml:space="preserve"> </w:t>
      </w:r>
      <w:r w:rsidR="00B67243" w:rsidRPr="00730563">
        <w:rPr>
          <w:lang w:val="fr-CH"/>
        </w:rPr>
        <w:t xml:space="preserve">à un </w:t>
      </w:r>
      <w:r w:rsidR="00B67243">
        <w:rPr>
          <w:color w:val="000000"/>
        </w:rPr>
        <w:t xml:space="preserve">rapport </w:t>
      </w:r>
      <w:r w:rsidR="002B6D60">
        <w:rPr>
          <w:lang w:val="fr-CH"/>
        </w:rPr>
        <w:t>C/I</w:t>
      </w:r>
      <w:r w:rsidR="000E0653">
        <w:rPr>
          <w:lang w:val="fr-CH"/>
        </w:rPr>
        <w:t xml:space="preserve"> </w:t>
      </w:r>
      <w:r w:rsidR="002B6D60">
        <w:rPr>
          <w:lang w:val="fr-CH"/>
        </w:rPr>
        <w:t>=</w:t>
      </w:r>
      <w:r w:rsidR="000E0653">
        <w:rPr>
          <w:lang w:val="fr-CH"/>
        </w:rPr>
        <w:t xml:space="preserve"> </w:t>
      </w:r>
      <w:r w:rsidR="00B67243" w:rsidRPr="00730563">
        <w:rPr>
          <w:lang w:val="fr-CH"/>
        </w:rPr>
        <w:t xml:space="preserve">35 dB (pour un </w:t>
      </w:r>
      <w:r w:rsidR="00B67243">
        <w:rPr>
          <w:color w:val="000000"/>
        </w:rPr>
        <w:t>brouillage dû à une source unique</w:t>
      </w:r>
      <w:r w:rsidR="00B67243" w:rsidRPr="00730563">
        <w:rPr>
          <w:lang w:val="fr-CH"/>
        </w:rPr>
        <w:t>), dans le cas d</w:t>
      </w:r>
      <w:r w:rsidR="00B979D7">
        <w:rPr>
          <w:lang w:val="fr-CH"/>
        </w:rPr>
        <w:t>'</w:t>
      </w:r>
      <w:r w:rsidR="00B67243" w:rsidRPr="00730563">
        <w:rPr>
          <w:lang w:val="fr-CH"/>
        </w:rPr>
        <w:t>un brouillage causé à des assignations de fréquence du SFS en Région</w:t>
      </w:r>
      <w:r w:rsidR="003228B3">
        <w:rPr>
          <w:lang w:val="fr-CH"/>
        </w:rPr>
        <w:t xml:space="preserve"> </w:t>
      </w:r>
      <w:r w:rsidR="00B67243" w:rsidRPr="00730563">
        <w:rPr>
          <w:lang w:val="fr-CH"/>
        </w:rPr>
        <w:t>2 par des</w:t>
      </w:r>
      <w:r w:rsidR="003228B3">
        <w:rPr>
          <w:lang w:val="fr-CH"/>
        </w:rPr>
        <w:t xml:space="preserve"> </w:t>
      </w:r>
      <w:r w:rsidR="00B67243">
        <w:rPr>
          <w:color w:val="000000"/>
        </w:rPr>
        <w:t>assignations</w:t>
      </w:r>
      <w:r w:rsidR="002B6D60">
        <w:rPr>
          <w:color w:val="000000"/>
        </w:rPr>
        <w:t xml:space="preserve"> de fréquence</w:t>
      </w:r>
      <w:r w:rsidR="003228B3">
        <w:rPr>
          <w:color w:val="000000"/>
        </w:rPr>
        <w:t xml:space="preserve"> </w:t>
      </w:r>
      <w:r w:rsidR="00B67243">
        <w:rPr>
          <w:color w:val="000000"/>
        </w:rPr>
        <w:t>analogiques du SRS en</w:t>
      </w:r>
      <w:r w:rsidR="00B67243" w:rsidRPr="00730563">
        <w:rPr>
          <w:lang w:val="fr-CH"/>
        </w:rPr>
        <w:t xml:space="preserve"> Région</w:t>
      </w:r>
      <w:r w:rsidR="003228B3">
        <w:rPr>
          <w:lang w:val="fr-CH"/>
        </w:rPr>
        <w:t xml:space="preserve"> </w:t>
      </w:r>
      <w:r w:rsidR="00B67243" w:rsidRPr="00730563">
        <w:rPr>
          <w:lang w:val="fr-CH"/>
        </w:rPr>
        <w:t>1,</w:t>
      </w:r>
    </w:p>
    <w:p w:rsidR="00C65E14" w:rsidRPr="00730563" w:rsidRDefault="00C65E14" w:rsidP="00425FA3">
      <w:pPr>
        <w:pStyle w:val="Call"/>
        <w:rPr>
          <w:lang w:val="fr-CH"/>
        </w:rPr>
      </w:pPr>
      <w:r w:rsidRPr="00730563">
        <w:rPr>
          <w:lang w:val="fr-CH"/>
        </w:rPr>
        <w:t>not</w:t>
      </w:r>
      <w:r w:rsidR="00B67243" w:rsidRPr="00730563">
        <w:rPr>
          <w:lang w:val="fr-CH"/>
        </w:rPr>
        <w:t>ant</w:t>
      </w:r>
    </w:p>
    <w:p w:rsidR="00C65E14" w:rsidRPr="00730563" w:rsidRDefault="00C65E14" w:rsidP="0032652F">
      <w:pPr>
        <w:rPr>
          <w:lang w:val="fr-CH"/>
        </w:rPr>
      </w:pPr>
      <w:r w:rsidRPr="000E0653">
        <w:rPr>
          <w:i/>
          <w:iCs/>
          <w:lang w:val="fr-CH"/>
        </w:rPr>
        <w:t>a)</w:t>
      </w:r>
      <w:r w:rsidRPr="00730563">
        <w:rPr>
          <w:lang w:val="fr-CH"/>
        </w:rPr>
        <w:tab/>
      </w:r>
      <w:r w:rsidR="00B67243" w:rsidRPr="00730563">
        <w:rPr>
          <w:lang w:val="fr-CH"/>
        </w:rPr>
        <w:t>que les restrictions relatives à l</w:t>
      </w:r>
      <w:r w:rsidR="00B979D7">
        <w:rPr>
          <w:lang w:val="fr-CH"/>
        </w:rPr>
        <w:t>'</w:t>
      </w:r>
      <w:r w:rsidR="00B67243" w:rsidRPr="00730563">
        <w:rPr>
          <w:lang w:val="fr-CH"/>
        </w:rPr>
        <w:t>utilisation des positions orbitales et à la p.i.r.e. associée pour la</w:t>
      </w:r>
      <w:r w:rsidRPr="00730563">
        <w:rPr>
          <w:lang w:val="fr-CH"/>
        </w:rPr>
        <w:t xml:space="preserve"> </w:t>
      </w:r>
      <w:r w:rsidR="00780FA7" w:rsidRPr="00730563">
        <w:rPr>
          <w:lang w:val="fr-CH"/>
        </w:rPr>
        <w:t>Région</w:t>
      </w:r>
      <w:r w:rsidR="003228B3">
        <w:rPr>
          <w:lang w:val="fr-CH"/>
        </w:rPr>
        <w:t xml:space="preserve"> </w:t>
      </w:r>
      <w:r w:rsidRPr="00730563">
        <w:rPr>
          <w:lang w:val="fr-CH"/>
        </w:rPr>
        <w:t>1</w:t>
      </w:r>
      <w:r w:rsidR="000C1AE4" w:rsidRPr="00730563">
        <w:rPr>
          <w:lang w:val="fr-CH"/>
        </w:rPr>
        <w:t xml:space="preserve"> </w:t>
      </w:r>
      <w:r w:rsidR="00B67243" w:rsidRPr="00730563">
        <w:rPr>
          <w:lang w:val="fr-CH"/>
        </w:rPr>
        <w:t>pour les assignations nouvelles ou modifiées du SRS dans la bande 11</w:t>
      </w:r>
      <w:r w:rsidR="000E0653">
        <w:rPr>
          <w:lang w:val="fr-CH"/>
        </w:rPr>
        <w:t>,</w:t>
      </w:r>
      <w:r w:rsidR="00B67243" w:rsidRPr="00730563">
        <w:rPr>
          <w:lang w:val="fr-CH"/>
        </w:rPr>
        <w:t>7-12</w:t>
      </w:r>
      <w:r w:rsidR="000E0653">
        <w:rPr>
          <w:lang w:val="fr-CH"/>
        </w:rPr>
        <w:t>,</w:t>
      </w:r>
      <w:r w:rsidR="00B67243" w:rsidRPr="00730563">
        <w:rPr>
          <w:lang w:val="fr-CH"/>
        </w:rPr>
        <w:t>2</w:t>
      </w:r>
      <w:r w:rsidR="000E0653">
        <w:rPr>
          <w:lang w:val="fr-CH"/>
        </w:rPr>
        <w:t> </w:t>
      </w:r>
      <w:r w:rsidR="00B67243" w:rsidRPr="00730563">
        <w:rPr>
          <w:lang w:val="fr-CH"/>
        </w:rPr>
        <w:t>GHz</w:t>
      </w:r>
      <w:r w:rsidR="003228B3">
        <w:rPr>
          <w:lang w:val="fr-CH"/>
        </w:rPr>
        <w:t xml:space="preserve">, </w:t>
      </w:r>
      <w:r w:rsidR="00B67243">
        <w:rPr>
          <w:color w:val="000000"/>
        </w:rPr>
        <w:t xml:space="preserve">dans l'arc de l'orbite des satellites géostationnaires </w:t>
      </w:r>
      <w:r w:rsidR="00B67243" w:rsidRPr="00730563">
        <w:rPr>
          <w:lang w:val="fr-CH"/>
        </w:rPr>
        <w:t>(OSG</w:t>
      </w:r>
      <w:r w:rsidR="00BF2826">
        <w:rPr>
          <w:lang w:val="fr-CH"/>
        </w:rPr>
        <w:t>)</w:t>
      </w:r>
      <w:r w:rsidR="000E0653">
        <w:rPr>
          <w:lang w:val="fr-CH"/>
        </w:rPr>
        <w:t xml:space="preserve"> </w:t>
      </w:r>
      <w:r w:rsidR="00B67243">
        <w:rPr>
          <w:color w:val="000000"/>
        </w:rPr>
        <w:t>compris entre 37,2° W et 10°E,</w:t>
      </w:r>
      <w:r w:rsidR="003228B3">
        <w:rPr>
          <w:lang w:val="fr-CH"/>
        </w:rPr>
        <w:t xml:space="preserve"> </w:t>
      </w:r>
      <w:r w:rsidR="000C1AE4" w:rsidRPr="00730563">
        <w:rPr>
          <w:lang w:val="fr-CH"/>
        </w:rPr>
        <w:t>sont définies dans la</w:t>
      </w:r>
      <w:r w:rsidR="003228B3">
        <w:rPr>
          <w:lang w:val="fr-CH"/>
        </w:rPr>
        <w:t xml:space="preserve"> </w:t>
      </w:r>
      <w:r w:rsidRPr="00730563">
        <w:rPr>
          <w:lang w:val="fr-CH"/>
        </w:rPr>
        <w:t xml:space="preserve">Section A3 </w:t>
      </w:r>
      <w:r w:rsidR="000C1AE4" w:rsidRPr="00730563">
        <w:rPr>
          <w:lang w:val="fr-CH"/>
        </w:rPr>
        <w:t>de l</w:t>
      </w:r>
      <w:r w:rsidR="00B979D7">
        <w:rPr>
          <w:lang w:val="fr-CH"/>
        </w:rPr>
        <w:t>'</w:t>
      </w:r>
      <w:r w:rsidR="00FE7E10" w:rsidRPr="00730563">
        <w:rPr>
          <w:lang w:val="fr-CH"/>
        </w:rPr>
        <w:t xml:space="preserve">Annexe </w:t>
      </w:r>
      <w:r w:rsidRPr="00730563">
        <w:rPr>
          <w:lang w:val="fr-CH"/>
        </w:rPr>
        <w:t xml:space="preserve">7 </w:t>
      </w:r>
      <w:r w:rsidR="00B06704" w:rsidRPr="00730563">
        <w:rPr>
          <w:lang w:val="fr-CH"/>
        </w:rPr>
        <w:t>de l</w:t>
      </w:r>
      <w:r w:rsidR="00B979D7">
        <w:rPr>
          <w:lang w:val="fr-CH"/>
        </w:rPr>
        <w:t>'</w:t>
      </w:r>
      <w:r w:rsidR="00B06704" w:rsidRPr="00730563">
        <w:rPr>
          <w:lang w:val="fr-CH"/>
        </w:rPr>
        <w:t xml:space="preserve">Appendice </w:t>
      </w:r>
      <w:r w:rsidRPr="00730563">
        <w:rPr>
          <w:b/>
          <w:bCs/>
          <w:lang w:val="fr-CH"/>
        </w:rPr>
        <w:t>30</w:t>
      </w:r>
      <w:r w:rsidRPr="00730563">
        <w:rPr>
          <w:lang w:val="fr-CH"/>
        </w:rPr>
        <w:t xml:space="preserve"> </w:t>
      </w:r>
      <w:r w:rsidR="000C1AE4" w:rsidRPr="00730563">
        <w:rPr>
          <w:lang w:val="fr-CH"/>
        </w:rPr>
        <w:t>du Règlement des radiocommunications</w:t>
      </w:r>
      <w:r w:rsidR="003228B3">
        <w:rPr>
          <w:lang w:val="fr-CH"/>
        </w:rPr>
        <w:t>;</w:t>
      </w:r>
    </w:p>
    <w:p w:rsidR="00C65E14" w:rsidRPr="00730563" w:rsidRDefault="00C65E14" w:rsidP="0032652F">
      <w:pPr>
        <w:rPr>
          <w:lang w:val="fr-CH"/>
        </w:rPr>
      </w:pPr>
      <w:r w:rsidRPr="000E0653">
        <w:rPr>
          <w:i/>
          <w:iCs/>
          <w:lang w:val="fr-CH"/>
        </w:rPr>
        <w:t>b)</w:t>
      </w:r>
      <w:r w:rsidRPr="00730563">
        <w:rPr>
          <w:lang w:val="fr-CH"/>
        </w:rPr>
        <w:tab/>
      </w:r>
      <w:r w:rsidR="000C1AE4" w:rsidRPr="00730563">
        <w:rPr>
          <w:lang w:val="fr-CH"/>
        </w:rPr>
        <w:t>que l</w:t>
      </w:r>
      <w:r w:rsidR="00B979D7">
        <w:rPr>
          <w:lang w:val="fr-CH"/>
        </w:rPr>
        <w:t>'</w:t>
      </w:r>
      <w:r w:rsidR="000C1AE4" w:rsidRPr="00730563">
        <w:rPr>
          <w:lang w:val="fr-CH"/>
        </w:rPr>
        <w:t>UIT-R étudie actuellement des gabarits de puissance surfacique qui pourraient être</w:t>
      </w:r>
      <w:r w:rsidR="003228B3">
        <w:rPr>
          <w:lang w:val="fr-CH"/>
        </w:rPr>
        <w:t xml:space="preserve"> </w:t>
      </w:r>
      <w:r w:rsidR="000C1AE4" w:rsidRPr="00730563">
        <w:rPr>
          <w:lang w:val="fr-CH"/>
        </w:rPr>
        <w:t>utilisés</w:t>
      </w:r>
      <w:r w:rsidR="000C1AE4" w:rsidRPr="000C1AE4">
        <w:rPr>
          <w:color w:val="000000"/>
        </w:rPr>
        <w:t xml:space="preserve"> </w:t>
      </w:r>
      <w:r w:rsidR="000C1AE4">
        <w:rPr>
          <w:color w:val="000000"/>
        </w:rPr>
        <w:t>comme valeurs de seuil déclenchant la coordination</w:t>
      </w:r>
      <w:r w:rsidR="002B6D60">
        <w:rPr>
          <w:color w:val="000000"/>
        </w:rPr>
        <w:t>,</w:t>
      </w:r>
      <w:r w:rsidR="003228B3">
        <w:rPr>
          <w:lang w:val="fr-CH"/>
        </w:rPr>
        <w:t xml:space="preserve"> </w:t>
      </w:r>
      <w:r w:rsidR="000C1AE4" w:rsidRPr="00730563">
        <w:rPr>
          <w:lang w:val="fr-CH"/>
        </w:rPr>
        <w:t xml:space="preserve">en lieu et place des dispositions figurant dans la </w:t>
      </w:r>
      <w:r w:rsidRPr="00730563">
        <w:rPr>
          <w:lang w:val="fr-CH"/>
        </w:rPr>
        <w:t xml:space="preserve">Section A3 </w:t>
      </w:r>
      <w:r w:rsidR="000C1AE4" w:rsidRPr="00730563">
        <w:rPr>
          <w:lang w:val="fr-CH"/>
        </w:rPr>
        <w:t>de l</w:t>
      </w:r>
      <w:r w:rsidR="00B979D7">
        <w:rPr>
          <w:lang w:val="fr-CH"/>
        </w:rPr>
        <w:t>'</w:t>
      </w:r>
      <w:r w:rsidR="00FE7E10" w:rsidRPr="00730563">
        <w:rPr>
          <w:lang w:val="fr-CH"/>
        </w:rPr>
        <w:t xml:space="preserve">Annexe </w:t>
      </w:r>
      <w:r w:rsidRPr="00730563">
        <w:rPr>
          <w:lang w:val="fr-CH"/>
        </w:rPr>
        <w:t xml:space="preserve">7 </w:t>
      </w:r>
      <w:r w:rsidR="00B06704" w:rsidRPr="00730563">
        <w:rPr>
          <w:lang w:val="fr-CH"/>
        </w:rPr>
        <w:t>de l</w:t>
      </w:r>
      <w:r w:rsidR="00B979D7">
        <w:rPr>
          <w:lang w:val="fr-CH"/>
        </w:rPr>
        <w:t>'</w:t>
      </w:r>
      <w:r w:rsidR="00B06704" w:rsidRPr="00730563">
        <w:rPr>
          <w:lang w:val="fr-CH"/>
        </w:rPr>
        <w:t xml:space="preserve">Appendice </w:t>
      </w:r>
      <w:r w:rsidRPr="00730563">
        <w:rPr>
          <w:b/>
          <w:bCs/>
          <w:lang w:val="fr-CH"/>
        </w:rPr>
        <w:t>30</w:t>
      </w:r>
      <w:r w:rsidRPr="00730563">
        <w:rPr>
          <w:lang w:val="fr-CH"/>
        </w:rPr>
        <w:t xml:space="preserve"> </w:t>
      </w:r>
      <w:r w:rsidR="000C1AE4" w:rsidRPr="00730563">
        <w:rPr>
          <w:lang w:val="fr-CH"/>
        </w:rPr>
        <w:t>du Règlement des radiocommunications pour les nouvelles assignations, ou les projets</w:t>
      </w:r>
      <w:r w:rsidR="003228B3">
        <w:rPr>
          <w:lang w:val="fr-CH"/>
        </w:rPr>
        <w:t xml:space="preserve"> </w:t>
      </w:r>
      <w:r w:rsidR="000C1AE4">
        <w:rPr>
          <w:color w:val="000000"/>
        </w:rPr>
        <w:t>d'assignation modifiée, du SRS en</w:t>
      </w:r>
      <w:r w:rsidR="000C1AE4" w:rsidRPr="00730563">
        <w:rPr>
          <w:lang w:val="fr-CH"/>
        </w:rPr>
        <w:t xml:space="preserve"> </w:t>
      </w:r>
      <w:r w:rsidR="00780FA7" w:rsidRPr="00730563">
        <w:rPr>
          <w:lang w:val="fr-CH"/>
        </w:rPr>
        <w:t>Région</w:t>
      </w:r>
      <w:r w:rsidR="003228B3">
        <w:rPr>
          <w:lang w:val="fr-CH"/>
        </w:rPr>
        <w:t xml:space="preserve"> </w:t>
      </w:r>
      <w:r w:rsidRPr="00730563">
        <w:rPr>
          <w:lang w:val="fr-CH"/>
        </w:rPr>
        <w:t>1</w:t>
      </w:r>
      <w:r w:rsidR="003228B3">
        <w:rPr>
          <w:lang w:val="fr-CH"/>
        </w:rPr>
        <w:t>,</w:t>
      </w:r>
    </w:p>
    <w:p w:rsidR="00C65E14" w:rsidRPr="00730563" w:rsidRDefault="000C1AE4" w:rsidP="00425FA3">
      <w:pPr>
        <w:pStyle w:val="Call"/>
        <w:rPr>
          <w:lang w:val="fr-CH"/>
        </w:rPr>
      </w:pPr>
      <w:r w:rsidRPr="00730563">
        <w:rPr>
          <w:lang w:val="fr-CH"/>
        </w:rPr>
        <w:t>reconnaissant</w:t>
      </w:r>
    </w:p>
    <w:p w:rsidR="00C65E14" w:rsidRPr="00730563" w:rsidRDefault="00C65E14" w:rsidP="00425FA3">
      <w:pPr>
        <w:rPr>
          <w:lang w:val="fr-CH"/>
        </w:rPr>
      </w:pPr>
      <w:r w:rsidRPr="0032652F">
        <w:rPr>
          <w:i/>
          <w:iCs/>
          <w:lang w:val="fr-CH"/>
        </w:rPr>
        <w:t>a)</w:t>
      </w:r>
      <w:r w:rsidRPr="00730563">
        <w:rPr>
          <w:lang w:val="fr-CH"/>
        </w:rPr>
        <w:tab/>
      </w:r>
      <w:r w:rsidR="000C1AE4" w:rsidRPr="00730563">
        <w:rPr>
          <w:lang w:val="fr-CH"/>
        </w:rPr>
        <w:t>que les restrictions applicables aux positions sur l</w:t>
      </w:r>
      <w:r w:rsidR="00B979D7">
        <w:rPr>
          <w:lang w:val="fr-CH"/>
        </w:rPr>
        <w:t>'</w:t>
      </w:r>
      <w:r w:rsidR="000C1AE4" w:rsidRPr="00730563">
        <w:rPr>
          <w:lang w:val="fr-CH"/>
        </w:rPr>
        <w:t xml:space="preserve">orbite indiquées dans la </w:t>
      </w:r>
      <w:r w:rsidRPr="00730563">
        <w:rPr>
          <w:lang w:val="fr-CH"/>
        </w:rPr>
        <w:t xml:space="preserve">Section A </w:t>
      </w:r>
      <w:r w:rsidR="00B06704" w:rsidRPr="00730563">
        <w:rPr>
          <w:lang w:val="fr-CH"/>
        </w:rPr>
        <w:t>de l</w:t>
      </w:r>
      <w:r w:rsidR="00B979D7">
        <w:rPr>
          <w:lang w:val="fr-CH"/>
        </w:rPr>
        <w:t>'</w:t>
      </w:r>
      <w:r w:rsidR="00FE7E10" w:rsidRPr="00730563">
        <w:rPr>
          <w:lang w:val="fr-CH"/>
        </w:rPr>
        <w:t xml:space="preserve">Annexe </w:t>
      </w:r>
      <w:r w:rsidRPr="00730563">
        <w:rPr>
          <w:lang w:val="fr-CH"/>
        </w:rPr>
        <w:t xml:space="preserve">7 </w:t>
      </w:r>
      <w:r w:rsidR="000C1AE4" w:rsidRPr="00730563">
        <w:rPr>
          <w:lang w:val="fr-CH"/>
        </w:rPr>
        <w:t>de l</w:t>
      </w:r>
      <w:r w:rsidR="00B979D7">
        <w:rPr>
          <w:lang w:val="fr-CH"/>
        </w:rPr>
        <w:t>'</w:t>
      </w:r>
      <w:r w:rsidRPr="00730563">
        <w:rPr>
          <w:lang w:val="fr-CH"/>
        </w:rPr>
        <w:t>Appendi</w:t>
      </w:r>
      <w:r w:rsidR="000C1AE4" w:rsidRPr="00730563">
        <w:rPr>
          <w:lang w:val="fr-CH"/>
        </w:rPr>
        <w:t>ce</w:t>
      </w:r>
      <w:r w:rsidRPr="00730563">
        <w:rPr>
          <w:lang w:val="fr-CH"/>
        </w:rPr>
        <w:t xml:space="preserve"> </w:t>
      </w:r>
      <w:r w:rsidRPr="00730563">
        <w:rPr>
          <w:b/>
          <w:bCs/>
          <w:lang w:val="fr-CH"/>
        </w:rPr>
        <w:t>30</w:t>
      </w:r>
      <w:r w:rsidRPr="00730563">
        <w:rPr>
          <w:lang w:val="fr-CH"/>
        </w:rPr>
        <w:t xml:space="preserve"> </w:t>
      </w:r>
      <w:r w:rsidR="000C1AE4" w:rsidRPr="00730563">
        <w:rPr>
          <w:lang w:val="fr-CH"/>
        </w:rPr>
        <w:t>étaient fondées sur l</w:t>
      </w:r>
      <w:r w:rsidR="00B979D7">
        <w:rPr>
          <w:lang w:val="fr-CH"/>
        </w:rPr>
        <w:t>'</w:t>
      </w:r>
      <w:r w:rsidR="000C1AE4" w:rsidRPr="00730563">
        <w:rPr>
          <w:lang w:val="fr-CH"/>
        </w:rPr>
        <w:t xml:space="preserve">utilisation </w:t>
      </w:r>
      <w:r w:rsidR="002B6D60" w:rsidRPr="00730563">
        <w:rPr>
          <w:lang w:val="fr-CH"/>
        </w:rPr>
        <w:t>d</w:t>
      </w:r>
      <w:r w:rsidR="00B979D7">
        <w:rPr>
          <w:lang w:val="fr-CH"/>
        </w:rPr>
        <w:t>'</w:t>
      </w:r>
      <w:r w:rsidR="002B6D60" w:rsidRPr="000C1AE4">
        <w:rPr>
          <w:color w:val="000000"/>
        </w:rPr>
        <w:t>assignations</w:t>
      </w:r>
      <w:r w:rsidR="000C1AE4">
        <w:rPr>
          <w:color w:val="000000"/>
        </w:rPr>
        <w:t xml:space="preserve"> analogiques du SRS</w:t>
      </w:r>
      <w:r w:rsidR="003228B3">
        <w:rPr>
          <w:color w:val="000000"/>
        </w:rPr>
        <w:t>;</w:t>
      </w:r>
    </w:p>
    <w:p w:rsidR="00C65E14" w:rsidRPr="00730563" w:rsidRDefault="00C65E14" w:rsidP="00425FA3">
      <w:pPr>
        <w:rPr>
          <w:lang w:val="fr-CH"/>
        </w:rPr>
      </w:pPr>
      <w:r w:rsidRPr="0032652F">
        <w:rPr>
          <w:i/>
          <w:iCs/>
          <w:lang w:val="fr-CH"/>
        </w:rPr>
        <w:lastRenderedPageBreak/>
        <w:t>b)</w:t>
      </w:r>
      <w:r w:rsidRPr="00730563">
        <w:rPr>
          <w:lang w:val="fr-CH"/>
        </w:rPr>
        <w:tab/>
      </w:r>
      <w:r w:rsidR="000C1AE4" w:rsidRPr="00730563">
        <w:rPr>
          <w:lang w:val="fr-CH"/>
        </w:rPr>
        <w:t xml:space="preserve">que la </w:t>
      </w:r>
      <w:r w:rsidR="00F50032">
        <w:rPr>
          <w:lang w:val="fr-CH"/>
        </w:rPr>
        <w:t>CMR</w:t>
      </w:r>
      <w:r w:rsidRPr="00730563">
        <w:rPr>
          <w:lang w:val="fr-CH"/>
        </w:rPr>
        <w:t xml:space="preserve">-2000 </w:t>
      </w:r>
      <w:r w:rsidR="000C1AE4" w:rsidRPr="00730563">
        <w:rPr>
          <w:lang w:val="fr-CH"/>
        </w:rPr>
        <w:t>a élaboré de nouveaux Plans pour les</w:t>
      </w:r>
      <w:r w:rsidR="003228B3">
        <w:rPr>
          <w:lang w:val="fr-CH"/>
        </w:rPr>
        <w:t xml:space="preserve"> </w:t>
      </w:r>
      <w:r w:rsidR="00780FA7" w:rsidRPr="00730563">
        <w:rPr>
          <w:lang w:val="fr-CH"/>
        </w:rPr>
        <w:t>Région</w:t>
      </w:r>
      <w:r w:rsidR="000C1AE4" w:rsidRPr="00730563">
        <w:rPr>
          <w:lang w:val="fr-CH"/>
        </w:rPr>
        <w:t>s</w:t>
      </w:r>
      <w:r w:rsidR="003228B3">
        <w:rPr>
          <w:lang w:val="fr-CH"/>
        </w:rPr>
        <w:t xml:space="preserve"> </w:t>
      </w:r>
      <w:r w:rsidRPr="00730563">
        <w:rPr>
          <w:lang w:val="fr-CH"/>
        </w:rPr>
        <w:t>1</w:t>
      </w:r>
      <w:r w:rsidR="000C1AE4" w:rsidRPr="00730563">
        <w:rPr>
          <w:lang w:val="fr-CH"/>
        </w:rPr>
        <w:t xml:space="preserve"> et</w:t>
      </w:r>
      <w:r w:rsidR="003228B3">
        <w:rPr>
          <w:lang w:val="fr-CH"/>
        </w:rPr>
        <w:t xml:space="preserve"> </w:t>
      </w:r>
      <w:r w:rsidRPr="00730563">
        <w:rPr>
          <w:lang w:val="fr-CH"/>
        </w:rPr>
        <w:t>3</w:t>
      </w:r>
      <w:r w:rsidR="004B70E8" w:rsidRPr="00730563">
        <w:rPr>
          <w:lang w:val="fr-CH"/>
        </w:rPr>
        <w:t xml:space="preserve"> dans l</w:t>
      </w:r>
      <w:r w:rsidR="00B979D7">
        <w:rPr>
          <w:lang w:val="fr-CH"/>
        </w:rPr>
        <w:t>'</w:t>
      </w:r>
      <w:r w:rsidR="004B70E8" w:rsidRPr="00730563">
        <w:rPr>
          <w:lang w:val="fr-CH"/>
        </w:rPr>
        <w:t>hypothèse d</w:t>
      </w:r>
      <w:r w:rsidR="00B979D7">
        <w:rPr>
          <w:lang w:val="fr-CH"/>
        </w:rPr>
        <w:t>'</w:t>
      </w:r>
      <w:r w:rsidR="004B70E8" w:rsidRPr="00730563">
        <w:rPr>
          <w:lang w:val="fr-CH"/>
        </w:rPr>
        <w:t>assignations numériques au SRS et aux liaisons de connexion</w:t>
      </w:r>
      <w:r w:rsidR="003228B3">
        <w:rPr>
          <w:lang w:val="fr-CH"/>
        </w:rPr>
        <w:t>;</w:t>
      </w:r>
    </w:p>
    <w:p w:rsidR="00C65E14" w:rsidRPr="00730563" w:rsidRDefault="00C65E14" w:rsidP="00425FA3">
      <w:pPr>
        <w:rPr>
          <w:lang w:val="fr-CH"/>
        </w:rPr>
      </w:pPr>
      <w:r w:rsidRPr="0032652F">
        <w:rPr>
          <w:i/>
          <w:iCs/>
          <w:lang w:val="fr-CH"/>
        </w:rPr>
        <w:t>c)</w:t>
      </w:r>
      <w:r w:rsidRPr="00730563">
        <w:rPr>
          <w:lang w:val="fr-CH"/>
        </w:rPr>
        <w:tab/>
      </w:r>
      <w:r w:rsidR="004B70E8" w:rsidRPr="00730563">
        <w:rPr>
          <w:lang w:val="fr-CH"/>
        </w:rPr>
        <w:t>que les systèmes existants mis en œuvre conformément aux dispositions actuelles de l</w:t>
      </w:r>
      <w:r w:rsidR="00B979D7">
        <w:rPr>
          <w:lang w:val="fr-CH"/>
        </w:rPr>
        <w:t>'</w:t>
      </w:r>
      <w:r w:rsidR="00FE7E10" w:rsidRPr="00730563">
        <w:rPr>
          <w:lang w:val="fr-CH"/>
        </w:rPr>
        <w:t xml:space="preserve">Annexe </w:t>
      </w:r>
      <w:r w:rsidR="004B70E8" w:rsidRPr="00730563">
        <w:rPr>
          <w:lang w:val="fr-CH"/>
        </w:rPr>
        <w:t>7 doivent continuer de bénéficier d</w:t>
      </w:r>
      <w:r w:rsidR="00B979D7">
        <w:rPr>
          <w:lang w:val="fr-CH"/>
        </w:rPr>
        <w:t>'</w:t>
      </w:r>
      <w:r w:rsidR="004B70E8" w:rsidRPr="00730563">
        <w:rPr>
          <w:lang w:val="fr-CH"/>
        </w:rPr>
        <w:t>une protection</w:t>
      </w:r>
      <w:r w:rsidR="003228B3">
        <w:rPr>
          <w:lang w:val="fr-CH"/>
        </w:rPr>
        <w:t>,</w:t>
      </w:r>
    </w:p>
    <w:p w:rsidR="00C65E14" w:rsidRPr="00730563" w:rsidRDefault="004B70E8" w:rsidP="00425FA3">
      <w:pPr>
        <w:pStyle w:val="Call"/>
        <w:rPr>
          <w:lang w:val="fr-CH"/>
        </w:rPr>
      </w:pPr>
      <w:r w:rsidRPr="00730563">
        <w:rPr>
          <w:lang w:val="fr-CH"/>
        </w:rPr>
        <w:t>décide d</w:t>
      </w:r>
      <w:r w:rsidR="00B979D7">
        <w:rPr>
          <w:lang w:val="fr-CH"/>
        </w:rPr>
        <w:t>'</w:t>
      </w:r>
      <w:r w:rsidRPr="00730563">
        <w:rPr>
          <w:lang w:val="fr-CH"/>
        </w:rPr>
        <w:t>inviter l</w:t>
      </w:r>
      <w:r w:rsidR="00B979D7">
        <w:rPr>
          <w:lang w:val="fr-CH"/>
        </w:rPr>
        <w:t>'</w:t>
      </w:r>
      <w:r w:rsidRPr="00730563">
        <w:rPr>
          <w:lang w:val="fr-CH"/>
        </w:rPr>
        <w:t>UIT-R</w:t>
      </w:r>
      <w:r w:rsidR="003228B3">
        <w:rPr>
          <w:lang w:val="fr-CH"/>
        </w:rPr>
        <w:t xml:space="preserve"> </w:t>
      </w:r>
    </w:p>
    <w:p w:rsidR="00C65E14" w:rsidRPr="00730563" w:rsidRDefault="00C65E14" w:rsidP="00425FA3">
      <w:pPr>
        <w:rPr>
          <w:lang w:val="fr-CH"/>
        </w:rPr>
      </w:pPr>
      <w:r w:rsidRPr="00730563">
        <w:rPr>
          <w:lang w:val="fr-CH"/>
        </w:rPr>
        <w:t>1</w:t>
      </w:r>
      <w:r w:rsidRPr="00730563">
        <w:rPr>
          <w:lang w:val="fr-CH"/>
        </w:rPr>
        <w:tab/>
      </w:r>
      <w:r w:rsidR="004B70E8" w:rsidRPr="00730563">
        <w:rPr>
          <w:lang w:val="fr-CH"/>
        </w:rPr>
        <w:t>à étudier une éventuelle révision de l</w:t>
      </w:r>
      <w:r w:rsidR="00B979D7">
        <w:rPr>
          <w:lang w:val="fr-CH"/>
        </w:rPr>
        <w:t>'</w:t>
      </w:r>
      <w:r w:rsidR="00FE7E10" w:rsidRPr="00730563">
        <w:rPr>
          <w:lang w:val="fr-CH"/>
        </w:rPr>
        <w:t xml:space="preserve">Annexe </w:t>
      </w:r>
      <w:r w:rsidRPr="00730563">
        <w:rPr>
          <w:lang w:val="fr-CH"/>
        </w:rPr>
        <w:t xml:space="preserve">7 </w:t>
      </w:r>
      <w:r w:rsidR="00B06704" w:rsidRPr="00730563">
        <w:rPr>
          <w:lang w:val="fr-CH"/>
        </w:rPr>
        <w:t>de l</w:t>
      </w:r>
      <w:r w:rsidR="00B979D7">
        <w:rPr>
          <w:lang w:val="fr-CH"/>
        </w:rPr>
        <w:t>'</w:t>
      </w:r>
      <w:r w:rsidR="00B06704" w:rsidRPr="00730563">
        <w:rPr>
          <w:lang w:val="fr-CH"/>
        </w:rPr>
        <w:t xml:space="preserve">Appendice </w:t>
      </w:r>
      <w:r w:rsidRPr="00730563">
        <w:rPr>
          <w:b/>
          <w:bCs/>
          <w:lang w:val="fr-CH"/>
        </w:rPr>
        <w:t>30</w:t>
      </w:r>
      <w:r w:rsidR="00E939AE">
        <w:rPr>
          <w:lang w:val="fr-CH"/>
        </w:rPr>
        <w:t>;</w:t>
      </w:r>
    </w:p>
    <w:p w:rsidR="00C65E14" w:rsidRPr="00730563" w:rsidRDefault="00C65E14" w:rsidP="000E0653">
      <w:pPr>
        <w:rPr>
          <w:lang w:val="fr-CH"/>
        </w:rPr>
      </w:pPr>
      <w:r w:rsidRPr="00730563">
        <w:rPr>
          <w:lang w:val="fr-CH"/>
        </w:rPr>
        <w:t>2</w:t>
      </w:r>
      <w:r w:rsidRPr="00730563">
        <w:rPr>
          <w:lang w:val="fr-CH"/>
        </w:rPr>
        <w:tab/>
      </w:r>
      <w:r w:rsidR="004B70E8" w:rsidRPr="00730563">
        <w:rPr>
          <w:lang w:val="fr-CH"/>
        </w:rPr>
        <w:t>à étudier des dispositions visant à assurer la protection des systèmes du SRS, actuels et en projet, fonctionnant dans la bande</w:t>
      </w:r>
      <w:r w:rsidR="003228B3">
        <w:rPr>
          <w:lang w:val="fr-CH"/>
        </w:rPr>
        <w:t xml:space="preserve"> </w:t>
      </w:r>
      <w:r w:rsidRPr="00730563">
        <w:rPr>
          <w:lang w:val="fr-CH"/>
        </w:rPr>
        <w:t>11</w:t>
      </w:r>
      <w:r w:rsidR="000E0653">
        <w:rPr>
          <w:lang w:val="fr-CH"/>
        </w:rPr>
        <w:t>,</w:t>
      </w:r>
      <w:r w:rsidRPr="00730563">
        <w:rPr>
          <w:lang w:val="fr-CH"/>
        </w:rPr>
        <w:t>7-12</w:t>
      </w:r>
      <w:r w:rsidR="000E0653">
        <w:rPr>
          <w:lang w:val="fr-CH"/>
        </w:rPr>
        <w:t>,</w:t>
      </w:r>
      <w:r w:rsidRPr="00730563">
        <w:rPr>
          <w:lang w:val="fr-CH"/>
        </w:rPr>
        <w:t>5 GHz,</w:t>
      </w:r>
    </w:p>
    <w:p w:rsidR="00C65E14" w:rsidRPr="00730563" w:rsidRDefault="004B70E8" w:rsidP="00425FA3">
      <w:pPr>
        <w:pStyle w:val="Call"/>
        <w:rPr>
          <w:lang w:val="fr-CH"/>
        </w:rPr>
      </w:pPr>
      <w:r w:rsidRPr="00730563">
        <w:rPr>
          <w:lang w:val="fr-CH"/>
        </w:rPr>
        <w:t>décide d</w:t>
      </w:r>
      <w:r w:rsidR="00B979D7">
        <w:rPr>
          <w:lang w:val="fr-CH"/>
        </w:rPr>
        <w:t>'</w:t>
      </w:r>
      <w:r w:rsidRPr="00730563">
        <w:rPr>
          <w:lang w:val="fr-CH"/>
        </w:rPr>
        <w:t xml:space="preserve">inviter la </w:t>
      </w:r>
      <w:r w:rsidR="00F50032">
        <w:rPr>
          <w:lang w:val="fr-CH"/>
        </w:rPr>
        <w:t>CMR</w:t>
      </w:r>
      <w:r w:rsidR="00C65E14" w:rsidRPr="00730563">
        <w:rPr>
          <w:lang w:val="fr-CH"/>
        </w:rPr>
        <w:t>-19</w:t>
      </w:r>
    </w:p>
    <w:p w:rsidR="00C65E14" w:rsidRDefault="004B70E8" w:rsidP="002B6D60">
      <w:pPr>
        <w:rPr>
          <w:lang w:val="fr-CH"/>
        </w:rPr>
      </w:pPr>
      <w:r w:rsidRPr="00730563">
        <w:rPr>
          <w:lang w:val="fr-CH"/>
        </w:rPr>
        <w:t>à examiner les résultats des études susmentionnées et à prendre les mesures voulues concernant la révision</w:t>
      </w:r>
      <w:r w:rsidR="003228B3">
        <w:rPr>
          <w:lang w:val="fr-CH"/>
        </w:rPr>
        <w:t xml:space="preserve"> </w:t>
      </w:r>
      <w:r w:rsidR="00B06704" w:rsidRPr="00730563">
        <w:rPr>
          <w:lang w:val="fr-CH"/>
        </w:rPr>
        <w:t>de l</w:t>
      </w:r>
      <w:r w:rsidR="00B979D7">
        <w:rPr>
          <w:lang w:val="fr-CH"/>
        </w:rPr>
        <w:t>'</w:t>
      </w:r>
      <w:r w:rsidR="002B6D60">
        <w:rPr>
          <w:lang w:val="fr-CH"/>
        </w:rPr>
        <w:t>Annexe</w:t>
      </w:r>
      <w:r w:rsidR="003228B3">
        <w:rPr>
          <w:lang w:val="fr-CH"/>
        </w:rPr>
        <w:t xml:space="preserve"> </w:t>
      </w:r>
      <w:r w:rsidR="00C65E14" w:rsidRPr="00730563">
        <w:rPr>
          <w:lang w:val="fr-CH"/>
        </w:rPr>
        <w:t xml:space="preserve">7 </w:t>
      </w:r>
      <w:r w:rsidRPr="00730563">
        <w:rPr>
          <w:lang w:val="fr-CH"/>
        </w:rPr>
        <w:t>de l</w:t>
      </w:r>
      <w:r w:rsidR="00B979D7">
        <w:rPr>
          <w:lang w:val="fr-CH"/>
        </w:rPr>
        <w:t>'</w:t>
      </w:r>
      <w:r w:rsidR="00C65E14" w:rsidRPr="00730563">
        <w:rPr>
          <w:lang w:val="fr-CH"/>
        </w:rPr>
        <w:t>Appendi</w:t>
      </w:r>
      <w:r w:rsidRPr="00730563">
        <w:rPr>
          <w:lang w:val="fr-CH"/>
        </w:rPr>
        <w:t>ce</w:t>
      </w:r>
      <w:r w:rsidR="00C65E14" w:rsidRPr="00730563">
        <w:rPr>
          <w:lang w:val="fr-CH"/>
        </w:rPr>
        <w:t xml:space="preserve"> </w:t>
      </w:r>
      <w:r w:rsidR="00C65E14" w:rsidRPr="00730563">
        <w:rPr>
          <w:b/>
          <w:bCs/>
          <w:lang w:val="fr-CH"/>
        </w:rPr>
        <w:t>30</w:t>
      </w:r>
      <w:r w:rsidR="00C65E14" w:rsidRPr="00730563">
        <w:rPr>
          <w:lang w:val="fr-CH"/>
        </w:rPr>
        <w:t>.</w:t>
      </w:r>
    </w:p>
    <w:p w:rsidR="0041346B" w:rsidRPr="00730563" w:rsidRDefault="0041346B" w:rsidP="0041346B">
      <w:pPr>
        <w:pStyle w:val="Reasons"/>
        <w:rPr>
          <w:lang w:val="fr-CH"/>
        </w:rPr>
      </w:pPr>
    </w:p>
    <w:p w:rsidR="00C65E14" w:rsidRPr="00730563" w:rsidRDefault="00C65E14" w:rsidP="00425FA3">
      <w:pPr>
        <w:rPr>
          <w:lang w:val="fr-CH"/>
        </w:rPr>
      </w:pPr>
      <w:r w:rsidRPr="00730563">
        <w:rPr>
          <w:lang w:val="fr-CH"/>
        </w:rPr>
        <w:br w:type="page"/>
      </w:r>
    </w:p>
    <w:p w:rsidR="00FE7E10" w:rsidRPr="00730563" w:rsidRDefault="00FE7E10" w:rsidP="00425FA3">
      <w:pPr>
        <w:pStyle w:val="Appendixtitle"/>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144B80">
        <w:rPr>
          <w:lang w:val="fr-CH"/>
        </w:rPr>
        <w:t>CMR-19</w:t>
      </w:r>
      <w:r w:rsidR="003228B3">
        <w:rPr>
          <w:lang w:val="fr-CH"/>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0E0653" w:rsidTr="008653E6">
        <w:tc>
          <w:tcPr>
            <w:tcW w:w="1418" w:type="dxa"/>
            <w:tcBorders>
              <w:top w:val="nil"/>
              <w:left w:val="nil"/>
              <w:bottom w:val="nil"/>
              <w:right w:val="nil"/>
            </w:tcBorders>
          </w:tcPr>
          <w:p w:rsidR="000E0653" w:rsidRPr="00FD175A" w:rsidRDefault="000E0653" w:rsidP="008653E6">
            <w:pPr>
              <w:tabs>
                <w:tab w:val="clear" w:pos="1871"/>
                <w:tab w:val="clear" w:pos="2268"/>
                <w:tab w:val="left" w:pos="6123"/>
              </w:tabs>
              <w:spacing w:before="60"/>
              <w:rPr>
                <w:b/>
                <w:bCs/>
                <w:i/>
                <w:iCs/>
                <w:lang w:val="fr-CH"/>
              </w:rPr>
            </w:pPr>
            <w:r w:rsidRPr="00FD175A">
              <w:rPr>
                <w:b/>
                <w:bCs/>
                <w:i/>
                <w:iCs/>
                <w:lang w:val="fr-CH"/>
              </w:rPr>
              <w:t>Objet:</w:t>
            </w:r>
          </w:p>
        </w:tc>
        <w:tc>
          <w:tcPr>
            <w:tcW w:w="8221" w:type="dxa"/>
            <w:gridSpan w:val="2"/>
            <w:tcBorders>
              <w:top w:val="nil"/>
              <w:left w:val="nil"/>
              <w:bottom w:val="nil"/>
              <w:right w:val="nil"/>
            </w:tcBorders>
          </w:tcPr>
          <w:p w:rsidR="000E0653" w:rsidRDefault="000E0653" w:rsidP="008653E6">
            <w:pPr>
              <w:tabs>
                <w:tab w:val="clear" w:pos="1871"/>
                <w:tab w:val="clear" w:pos="2268"/>
                <w:tab w:val="left" w:pos="6123"/>
              </w:tabs>
              <w:spacing w:before="60"/>
              <w:rPr>
                <w:b/>
                <w:bCs/>
                <w:i/>
                <w:iCs/>
                <w:lang w:val="fr-CH"/>
              </w:rPr>
            </w:pPr>
            <w:r w:rsidRPr="00730563">
              <w:rPr>
                <w:lang w:val="fr-CH"/>
              </w:rPr>
              <w:t>Examen de la révision de l</w:t>
            </w:r>
            <w:r>
              <w:rPr>
                <w:lang w:val="fr-CH"/>
              </w:rPr>
              <w:t>'</w:t>
            </w:r>
            <w:r w:rsidRPr="00730563">
              <w:rPr>
                <w:lang w:val="fr-CH"/>
              </w:rPr>
              <w:t>Annexe</w:t>
            </w:r>
            <w:r>
              <w:rPr>
                <w:lang w:val="fr-CH"/>
              </w:rPr>
              <w:t xml:space="preserve"> </w:t>
            </w:r>
            <w:r w:rsidRPr="00730563">
              <w:rPr>
                <w:lang w:val="fr-CH"/>
              </w:rPr>
              <w:t>7 de l</w:t>
            </w:r>
            <w:r>
              <w:rPr>
                <w:lang w:val="fr-CH"/>
              </w:rPr>
              <w:t>'</w:t>
            </w:r>
            <w:r w:rsidRPr="00730563">
              <w:rPr>
                <w:lang w:val="fr-CH"/>
              </w:rPr>
              <w:t>Appendice</w:t>
            </w:r>
            <w:r>
              <w:rPr>
                <w:lang w:val="fr-CH"/>
              </w:rPr>
              <w:t xml:space="preserve"> </w:t>
            </w:r>
            <w:r w:rsidRPr="00730563">
              <w:rPr>
                <w:lang w:val="fr-CH"/>
              </w:rPr>
              <w:t>30 du RR</w:t>
            </w:r>
          </w:p>
        </w:tc>
      </w:tr>
      <w:tr w:rsidR="000E0653" w:rsidTr="008653E6">
        <w:tc>
          <w:tcPr>
            <w:tcW w:w="1418" w:type="dxa"/>
            <w:tcBorders>
              <w:top w:val="nil"/>
              <w:left w:val="nil"/>
              <w:bottom w:val="single" w:sz="4" w:space="0" w:color="auto"/>
              <w:right w:val="nil"/>
            </w:tcBorders>
          </w:tcPr>
          <w:p w:rsidR="000E0653" w:rsidRPr="00FD175A" w:rsidRDefault="000E0653" w:rsidP="008653E6">
            <w:pPr>
              <w:tabs>
                <w:tab w:val="clear" w:pos="1871"/>
                <w:tab w:val="clear" w:pos="2268"/>
                <w:tab w:val="left" w:pos="6123"/>
              </w:tabs>
              <w:spacing w:before="80"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0E0653" w:rsidRDefault="000E0653" w:rsidP="008653E6">
            <w:pPr>
              <w:tabs>
                <w:tab w:val="clear" w:pos="1871"/>
                <w:tab w:val="clear" w:pos="2268"/>
                <w:tab w:val="left" w:pos="6123"/>
              </w:tabs>
              <w:spacing w:before="80"/>
              <w:rPr>
                <w:b/>
                <w:bCs/>
                <w:i/>
                <w:iCs/>
                <w:lang w:val="fr-CH"/>
              </w:rPr>
            </w:pPr>
            <w:r w:rsidRPr="00393191">
              <w:rPr>
                <w:lang w:val="en-US"/>
              </w:rPr>
              <w:t>CEPT</w:t>
            </w:r>
          </w:p>
        </w:tc>
      </w:tr>
      <w:tr w:rsidR="00B31093" w:rsidRPr="00B31093" w:rsidTr="000E0653">
        <w:tc>
          <w:tcPr>
            <w:tcW w:w="9639" w:type="dxa"/>
            <w:gridSpan w:val="3"/>
            <w:tcBorders>
              <w:top w:val="single" w:sz="4" w:space="0" w:color="auto"/>
              <w:left w:val="nil"/>
              <w:bottom w:val="single" w:sz="4" w:space="0" w:color="auto"/>
              <w:right w:val="nil"/>
            </w:tcBorders>
          </w:tcPr>
          <w:p w:rsidR="00B31093" w:rsidRPr="00730563" w:rsidRDefault="00B31093" w:rsidP="00425FA3">
            <w:pPr>
              <w:rPr>
                <w:lang w:val="fr-CH"/>
              </w:rPr>
            </w:pPr>
            <w:r w:rsidRPr="00730563">
              <w:rPr>
                <w:b/>
                <w:bCs/>
                <w:i/>
                <w:iCs/>
                <w:lang w:val="fr-CH"/>
              </w:rPr>
              <w:t>Proposition:</w:t>
            </w:r>
          </w:p>
          <w:p w:rsidR="00B31093" w:rsidRPr="00730563" w:rsidRDefault="002B6D60" w:rsidP="00425FA3">
            <w:pPr>
              <w:rPr>
                <w:b/>
                <w:i/>
                <w:lang w:val="fr-CH"/>
              </w:rPr>
            </w:pPr>
            <w:r>
              <w:rPr>
                <w:lang w:val="fr-CH"/>
              </w:rPr>
              <w:t>Envisager</w:t>
            </w:r>
            <w:r w:rsidR="00FE7E10" w:rsidRPr="00730563">
              <w:rPr>
                <w:lang w:val="fr-CH"/>
              </w:rPr>
              <w:t xml:space="preserve"> une révision de l</w:t>
            </w:r>
            <w:r w:rsidR="00B979D7">
              <w:rPr>
                <w:lang w:val="fr-CH"/>
              </w:rPr>
              <w:t>'</w:t>
            </w:r>
            <w:r w:rsidR="00FE7E10" w:rsidRPr="00730563">
              <w:rPr>
                <w:lang w:val="fr-CH"/>
              </w:rPr>
              <w:t>Annexe</w:t>
            </w:r>
            <w:r w:rsidR="003228B3">
              <w:rPr>
                <w:lang w:val="fr-CH"/>
              </w:rPr>
              <w:t xml:space="preserve"> </w:t>
            </w:r>
            <w:r w:rsidR="00FE7E10" w:rsidRPr="00730563">
              <w:rPr>
                <w:lang w:val="fr-CH"/>
              </w:rPr>
              <w:t>7 de l</w:t>
            </w:r>
            <w:r w:rsidR="00B979D7">
              <w:rPr>
                <w:lang w:val="fr-CH"/>
              </w:rPr>
              <w:t>'</w:t>
            </w:r>
            <w:r w:rsidR="00FE7E10" w:rsidRPr="00730563">
              <w:rPr>
                <w:lang w:val="fr-CH"/>
              </w:rPr>
              <w:t>Appendice</w:t>
            </w:r>
            <w:r w:rsidR="003228B3">
              <w:rPr>
                <w:lang w:val="fr-CH"/>
              </w:rPr>
              <w:t xml:space="preserve"> </w:t>
            </w:r>
            <w:r w:rsidR="00FE7E10" w:rsidRPr="00730563">
              <w:rPr>
                <w:lang w:val="fr-CH"/>
              </w:rPr>
              <w:t>30 du Règlement des radiocommunications</w:t>
            </w:r>
            <w:r w:rsidR="003228B3">
              <w:rPr>
                <w:lang w:val="fr-CH"/>
              </w:rPr>
              <w:t>,</w:t>
            </w:r>
            <w:r w:rsidR="00FE7E10" w:rsidRPr="00730563">
              <w:rPr>
                <w:lang w:val="fr-CH"/>
              </w:rPr>
              <w:t xml:space="preserve"> conformément à la Résolution </w:t>
            </w:r>
            <w:r w:rsidR="00B31093" w:rsidRPr="00730563">
              <w:rPr>
                <w:rStyle w:val="Artdef"/>
                <w:lang w:val="fr-CH"/>
              </w:rPr>
              <w:t>[EUR-K10-10] (</w:t>
            </w:r>
            <w:r w:rsidR="003228B3">
              <w:rPr>
                <w:rStyle w:val="Artdef"/>
                <w:lang w:val="fr-CH"/>
              </w:rPr>
              <w:t>CMR-15</w:t>
            </w:r>
            <w:r w:rsidR="00B31093" w:rsidRPr="00730563">
              <w:rPr>
                <w:rStyle w:val="Artdef"/>
                <w:lang w:val="fr-CH"/>
              </w:rPr>
              <w:t>)</w:t>
            </w:r>
            <w:r w:rsidR="00E939AE" w:rsidRPr="00E939AE">
              <w:rPr>
                <w:rStyle w:val="Artdef"/>
                <w:b w:val="0"/>
                <w:bCs/>
                <w:lang w:val="fr-CH"/>
              </w:rPr>
              <w:t>;</w:t>
            </w:r>
          </w:p>
        </w:tc>
      </w:tr>
      <w:tr w:rsidR="00B31093" w:rsidRPr="00B31093" w:rsidTr="000E0653">
        <w:tc>
          <w:tcPr>
            <w:tcW w:w="9639" w:type="dxa"/>
            <w:gridSpan w:val="3"/>
            <w:tcBorders>
              <w:top w:val="single" w:sz="4" w:space="0" w:color="auto"/>
              <w:left w:val="nil"/>
              <w:bottom w:val="single" w:sz="4" w:space="0" w:color="auto"/>
              <w:right w:val="nil"/>
            </w:tcBorders>
          </w:tcPr>
          <w:p w:rsidR="00B31093" w:rsidRPr="00730563" w:rsidRDefault="00B31093" w:rsidP="00425FA3">
            <w:pPr>
              <w:rPr>
                <w:b/>
                <w:bCs/>
                <w:i/>
                <w:iCs/>
                <w:lang w:val="fr-CH"/>
              </w:rPr>
            </w:pPr>
            <w:r w:rsidRPr="00730563">
              <w:rPr>
                <w:b/>
                <w:bCs/>
                <w:i/>
                <w:iCs/>
                <w:lang w:val="fr-CH"/>
              </w:rPr>
              <w:t>Contexte/motif:</w:t>
            </w:r>
          </w:p>
          <w:p w:rsidR="00B31093" w:rsidRPr="00730563" w:rsidRDefault="00FE7E10" w:rsidP="008D44F3">
            <w:pPr>
              <w:rPr>
                <w:b/>
                <w:i/>
                <w:lang w:val="fr-CH"/>
              </w:rPr>
            </w:pPr>
            <w:r w:rsidRPr="00730563">
              <w:rPr>
                <w:lang w:val="fr-CH"/>
              </w:rPr>
              <w:t>Les restrictions applicables aux positions sur l</w:t>
            </w:r>
            <w:r w:rsidR="00B979D7">
              <w:rPr>
                <w:lang w:val="fr-CH"/>
              </w:rPr>
              <w:t>'</w:t>
            </w:r>
            <w:r w:rsidRPr="00730563">
              <w:rPr>
                <w:lang w:val="fr-CH"/>
              </w:rPr>
              <w:t>orbite impos</w:t>
            </w:r>
            <w:r w:rsidR="009B4ED5" w:rsidRPr="00730563">
              <w:rPr>
                <w:lang w:val="fr-CH"/>
              </w:rPr>
              <w:t>é</w:t>
            </w:r>
            <w:r w:rsidRPr="00730563">
              <w:rPr>
                <w:lang w:val="fr-CH"/>
              </w:rPr>
              <w:t xml:space="preserve">es </w:t>
            </w:r>
            <w:r w:rsidR="009B4ED5" w:rsidRPr="00730563">
              <w:rPr>
                <w:lang w:val="fr-CH"/>
              </w:rPr>
              <w:t>aux</w:t>
            </w:r>
            <w:r w:rsidRPr="00730563">
              <w:rPr>
                <w:lang w:val="fr-CH"/>
              </w:rPr>
              <w:t xml:space="preserve"> assignations du S</w:t>
            </w:r>
            <w:r w:rsidR="009B4ED5" w:rsidRPr="00730563">
              <w:rPr>
                <w:lang w:val="fr-CH"/>
              </w:rPr>
              <w:t>R</w:t>
            </w:r>
            <w:r w:rsidRPr="00730563">
              <w:rPr>
                <w:lang w:val="fr-CH"/>
              </w:rPr>
              <w:t>S en</w:t>
            </w:r>
            <w:r w:rsidR="003228B3">
              <w:rPr>
                <w:lang w:val="fr-CH"/>
              </w:rPr>
              <w:t xml:space="preserve"> </w:t>
            </w:r>
            <w:r w:rsidRPr="00730563">
              <w:rPr>
                <w:lang w:val="fr-CH"/>
              </w:rPr>
              <w:t>Région</w:t>
            </w:r>
            <w:r w:rsidR="003228B3">
              <w:rPr>
                <w:lang w:val="fr-CH"/>
              </w:rPr>
              <w:t xml:space="preserve"> </w:t>
            </w:r>
            <w:r w:rsidRPr="00730563">
              <w:rPr>
                <w:lang w:val="fr-CH"/>
              </w:rPr>
              <w:t>1 pour l</w:t>
            </w:r>
            <w:r w:rsidR="00B979D7">
              <w:rPr>
                <w:lang w:val="fr-CH"/>
              </w:rPr>
              <w:t>'</w:t>
            </w:r>
            <w:r w:rsidRPr="00730563">
              <w:rPr>
                <w:lang w:val="fr-CH"/>
              </w:rPr>
              <w:t>utilisation</w:t>
            </w:r>
            <w:r w:rsidR="003228B3">
              <w:rPr>
                <w:lang w:val="fr-CH"/>
              </w:rPr>
              <w:t xml:space="preserve"> </w:t>
            </w:r>
            <w:r w:rsidR="009B4ED5" w:rsidRPr="00730563">
              <w:rPr>
                <w:lang w:val="fr-CH"/>
              </w:rPr>
              <w:t>additionnelle</w:t>
            </w:r>
            <w:r w:rsidRPr="00730563">
              <w:rPr>
                <w:lang w:val="fr-CH"/>
              </w:rPr>
              <w:t xml:space="preserve"> de la partie inférieure de la bande attribuée au SRS</w:t>
            </w:r>
            <w:r w:rsidR="003228B3">
              <w:rPr>
                <w:lang w:val="fr-CH"/>
              </w:rPr>
              <w:t xml:space="preserve"> </w:t>
            </w:r>
            <w:r w:rsidR="00B31093" w:rsidRPr="00730563">
              <w:rPr>
                <w:lang w:val="fr-CH"/>
              </w:rPr>
              <w:t>(11</w:t>
            </w:r>
            <w:r w:rsidR="008D44F3">
              <w:rPr>
                <w:lang w:val="fr-CH"/>
              </w:rPr>
              <w:t>,</w:t>
            </w:r>
            <w:r w:rsidR="00B31093" w:rsidRPr="00730563">
              <w:rPr>
                <w:lang w:val="fr-CH"/>
              </w:rPr>
              <w:t>7-12</w:t>
            </w:r>
            <w:r w:rsidR="008D44F3">
              <w:rPr>
                <w:lang w:val="fr-CH"/>
              </w:rPr>
              <w:t>,</w:t>
            </w:r>
            <w:r w:rsidR="00B31093" w:rsidRPr="00730563">
              <w:rPr>
                <w:lang w:val="fr-CH"/>
              </w:rPr>
              <w:t>2 GHz</w:t>
            </w:r>
            <w:r w:rsidR="00BF2826">
              <w:rPr>
                <w:lang w:val="fr-CH"/>
              </w:rPr>
              <w:t>)</w:t>
            </w:r>
            <w:r w:rsidR="0041346B">
              <w:rPr>
                <w:lang w:val="fr-CH"/>
              </w:rPr>
              <w:t xml:space="preserve"> </w:t>
            </w:r>
            <w:r w:rsidR="009B4ED5" w:rsidRPr="00730563">
              <w:rPr>
                <w:lang w:val="fr-CH"/>
              </w:rPr>
              <w:t>dans la</w:t>
            </w:r>
            <w:r w:rsidR="003228B3">
              <w:rPr>
                <w:lang w:val="fr-CH"/>
              </w:rPr>
              <w:t xml:space="preserve"> </w:t>
            </w:r>
            <w:r w:rsidR="009B4ED5">
              <w:rPr>
                <w:color w:val="000000"/>
              </w:rPr>
              <w:t>Liste des utilisations additionnelles</w:t>
            </w:r>
            <w:r w:rsidR="003228B3">
              <w:rPr>
                <w:color w:val="000000"/>
              </w:rPr>
              <w:t xml:space="preserve"> </w:t>
            </w:r>
            <w:r w:rsidR="009B4ED5" w:rsidRPr="00730563">
              <w:rPr>
                <w:lang w:val="fr-CH"/>
              </w:rPr>
              <w:t xml:space="preserve">pour les Régions </w:t>
            </w:r>
            <w:r w:rsidR="00B31093" w:rsidRPr="00730563">
              <w:rPr>
                <w:lang w:val="fr-CH"/>
              </w:rPr>
              <w:t>1</w:t>
            </w:r>
            <w:r w:rsidR="003228B3">
              <w:rPr>
                <w:lang w:val="fr-CH"/>
              </w:rPr>
              <w:t xml:space="preserve"> </w:t>
            </w:r>
            <w:r w:rsidR="009B4ED5" w:rsidRPr="00730563">
              <w:rPr>
                <w:lang w:val="fr-CH"/>
              </w:rPr>
              <w:t xml:space="preserve">et </w:t>
            </w:r>
            <w:r w:rsidR="00B31093" w:rsidRPr="00730563">
              <w:rPr>
                <w:lang w:val="fr-CH"/>
              </w:rPr>
              <w:t>3</w:t>
            </w:r>
            <w:r w:rsidR="003228B3">
              <w:rPr>
                <w:lang w:val="fr-CH"/>
              </w:rPr>
              <w:t>,</w:t>
            </w:r>
            <w:r w:rsidR="009B4ED5" w:rsidRPr="00730563">
              <w:rPr>
                <w:lang w:val="fr-CH"/>
              </w:rPr>
              <w:t xml:space="preserve"> selon lesquelles la position associée à ces assignations </w:t>
            </w:r>
            <w:r w:rsidR="009B4ED5">
              <w:rPr>
                <w:color w:val="000000"/>
              </w:rPr>
              <w:t>doit se trouver dans un arc orbital</w:t>
            </w:r>
            <w:r w:rsidR="003228B3">
              <w:rPr>
                <w:color w:val="000000"/>
              </w:rPr>
              <w:t xml:space="preserve"> </w:t>
            </w:r>
            <w:r w:rsidR="009B4ED5">
              <w:rPr>
                <w:color w:val="000000"/>
              </w:rPr>
              <w:t>compris entre 37,2° W et 10° E,</w:t>
            </w:r>
            <w:r w:rsidR="003228B3">
              <w:rPr>
                <w:lang w:val="fr-CH"/>
              </w:rPr>
              <w:t xml:space="preserve"> </w:t>
            </w:r>
            <w:r w:rsidR="009B4ED5" w:rsidRPr="00730563">
              <w:rPr>
                <w:lang w:val="fr-CH"/>
              </w:rPr>
              <w:t>ont été fixées dans le Règlement des radiocommunications</w:t>
            </w:r>
            <w:r w:rsidR="003228B3">
              <w:rPr>
                <w:lang w:val="fr-CH"/>
              </w:rPr>
              <w:t xml:space="preserve"> </w:t>
            </w:r>
            <w:r w:rsidR="002B6D60">
              <w:rPr>
                <w:lang w:val="fr-CH"/>
              </w:rPr>
              <w:t>lors de la première C</w:t>
            </w:r>
            <w:r w:rsidR="009B4ED5" w:rsidRPr="00730563">
              <w:rPr>
                <w:lang w:val="fr-CH"/>
              </w:rPr>
              <w:t>onférence de planification</w:t>
            </w:r>
            <w:r w:rsidR="003228B3">
              <w:rPr>
                <w:lang w:val="fr-CH"/>
              </w:rPr>
              <w:t xml:space="preserve"> </w:t>
            </w:r>
            <w:r w:rsidR="009B4ED5" w:rsidRPr="00730563">
              <w:rPr>
                <w:lang w:val="fr-CH"/>
              </w:rPr>
              <w:t>du SRS</w:t>
            </w:r>
            <w:r w:rsidR="003228B3">
              <w:rPr>
                <w:lang w:val="fr-CH"/>
              </w:rPr>
              <w:t xml:space="preserve"> </w:t>
            </w:r>
            <w:r w:rsidR="00B31093" w:rsidRPr="00730563">
              <w:rPr>
                <w:lang w:val="fr-CH"/>
              </w:rPr>
              <w:t>(</w:t>
            </w:r>
            <w:r w:rsidR="00B06704" w:rsidRPr="00730563">
              <w:rPr>
                <w:lang w:val="fr-CH"/>
              </w:rPr>
              <w:t>CAMR</w:t>
            </w:r>
            <w:r w:rsidR="00BF2826">
              <w:rPr>
                <w:lang w:val="fr-CH"/>
              </w:rPr>
              <w:t>-</w:t>
            </w:r>
            <w:r w:rsidR="00B31093" w:rsidRPr="00730563">
              <w:rPr>
                <w:lang w:val="fr-CH"/>
              </w:rPr>
              <w:t xml:space="preserve">77), </w:t>
            </w:r>
            <w:r w:rsidR="002B6D60">
              <w:rPr>
                <w:lang w:val="fr-CH"/>
              </w:rPr>
              <w:t xml:space="preserve">parce que les assignations du Plan analogique du SRS correspondaient à des signaux de forte puissance et que les </w:t>
            </w:r>
            <w:r w:rsidR="00B1634C">
              <w:rPr>
                <w:lang w:val="fr-CH"/>
              </w:rPr>
              <w:t>émissions</w:t>
            </w:r>
            <w:r w:rsidR="002B6D60">
              <w:rPr>
                <w:lang w:val="fr-CH"/>
              </w:rPr>
              <w:t xml:space="preserve"> numériques du SRS en Région 2 étaient en nombre plus limité et relativement plus faibles</w:t>
            </w:r>
            <w:r w:rsidR="00CD5150" w:rsidRPr="00730563">
              <w:rPr>
                <w:lang w:val="fr-CH"/>
              </w:rPr>
              <w:t>. La situation</w:t>
            </w:r>
            <w:r w:rsidR="003228B3">
              <w:rPr>
                <w:lang w:val="fr-CH"/>
              </w:rPr>
              <w:t xml:space="preserve"> </w:t>
            </w:r>
            <w:r w:rsidR="00CD5150" w:rsidRPr="00730563">
              <w:rPr>
                <w:lang w:val="fr-CH"/>
              </w:rPr>
              <w:t xml:space="preserve">de partage actuelle est radicalement différente </w:t>
            </w:r>
            <w:r w:rsidR="002B6D60">
              <w:rPr>
                <w:lang w:val="fr-CH"/>
              </w:rPr>
              <w:t>en raison</w:t>
            </w:r>
            <w:r w:rsidR="003228B3">
              <w:rPr>
                <w:lang w:val="fr-CH"/>
              </w:rPr>
              <w:t xml:space="preserve"> </w:t>
            </w:r>
            <w:r w:rsidR="00CD5150" w:rsidRPr="00730563">
              <w:rPr>
                <w:lang w:val="fr-CH"/>
              </w:rPr>
              <w:t>de la généralisation de l</w:t>
            </w:r>
            <w:r w:rsidR="00B979D7">
              <w:rPr>
                <w:lang w:val="fr-CH"/>
              </w:rPr>
              <w:t>'</w:t>
            </w:r>
            <w:r w:rsidR="00CD5150" w:rsidRPr="00730563">
              <w:rPr>
                <w:lang w:val="fr-CH"/>
              </w:rPr>
              <w:t xml:space="preserve">utilisation des techniques numériques depuis la </w:t>
            </w:r>
            <w:r w:rsidR="002B6D60">
              <w:rPr>
                <w:lang w:val="fr-CH"/>
              </w:rPr>
              <w:t>CMR-</w:t>
            </w:r>
            <w:r w:rsidR="002B6D60" w:rsidRPr="00730563">
              <w:rPr>
                <w:lang w:val="fr-CH"/>
              </w:rPr>
              <w:t>2000</w:t>
            </w:r>
            <w:r w:rsidR="002B6D60">
              <w:rPr>
                <w:lang w:val="fr-CH"/>
              </w:rPr>
              <w:t xml:space="preserve">. </w:t>
            </w:r>
            <w:r w:rsidR="00CD5150" w:rsidRPr="00730563">
              <w:rPr>
                <w:lang w:val="fr-CH"/>
              </w:rPr>
              <w:t>L</w:t>
            </w:r>
            <w:r w:rsidR="00B979D7">
              <w:rPr>
                <w:lang w:val="fr-CH"/>
              </w:rPr>
              <w:t>'</w:t>
            </w:r>
            <w:r w:rsidR="00CD5150" w:rsidRPr="00730563">
              <w:rPr>
                <w:lang w:val="fr-CH"/>
              </w:rPr>
              <w:t>équilibre entre les réseaux du SFS en Région</w:t>
            </w:r>
            <w:r w:rsidR="003228B3">
              <w:rPr>
                <w:lang w:val="fr-CH"/>
              </w:rPr>
              <w:t xml:space="preserve"> </w:t>
            </w:r>
            <w:r w:rsidR="00CD5150" w:rsidRPr="00730563">
              <w:rPr>
                <w:lang w:val="fr-CH"/>
              </w:rPr>
              <w:t>2 et les réseaux du SFS en</w:t>
            </w:r>
            <w:r w:rsidR="003228B3">
              <w:rPr>
                <w:lang w:val="fr-CH"/>
              </w:rPr>
              <w:t xml:space="preserve"> </w:t>
            </w:r>
            <w:r w:rsidR="00CD5150" w:rsidRPr="00730563">
              <w:rPr>
                <w:lang w:val="fr-CH"/>
              </w:rPr>
              <w:t>Région</w:t>
            </w:r>
            <w:r w:rsidR="003228B3">
              <w:rPr>
                <w:lang w:val="fr-CH"/>
              </w:rPr>
              <w:t xml:space="preserve"> </w:t>
            </w:r>
            <w:r w:rsidR="00CD5150" w:rsidRPr="00730563">
              <w:rPr>
                <w:lang w:val="fr-CH"/>
              </w:rPr>
              <w:t>1</w:t>
            </w:r>
            <w:r w:rsidR="003228B3">
              <w:rPr>
                <w:lang w:val="fr-CH"/>
              </w:rPr>
              <w:t xml:space="preserve"> </w:t>
            </w:r>
            <w:r w:rsidR="00CD5150" w:rsidRPr="00730563">
              <w:rPr>
                <w:lang w:val="fr-CH"/>
              </w:rPr>
              <w:t>a</w:t>
            </w:r>
            <w:r w:rsidR="003228B3">
              <w:rPr>
                <w:lang w:val="fr-CH"/>
              </w:rPr>
              <w:t xml:space="preserve"> </w:t>
            </w:r>
            <w:r w:rsidR="00CD5150" w:rsidRPr="00730563">
              <w:rPr>
                <w:lang w:val="fr-CH"/>
              </w:rPr>
              <w:t xml:space="preserve">déjà </w:t>
            </w:r>
            <w:r w:rsidR="002B6D60">
              <w:rPr>
                <w:lang w:val="fr-CH"/>
              </w:rPr>
              <w:t>changé</w:t>
            </w:r>
            <w:r w:rsidR="002B6D60" w:rsidRPr="00730563">
              <w:rPr>
                <w:lang w:val="fr-CH"/>
              </w:rPr>
              <w:t xml:space="preserve">. </w:t>
            </w:r>
            <w:r w:rsidR="00CD5150" w:rsidRPr="00730563">
              <w:rPr>
                <w:lang w:val="fr-CH"/>
              </w:rPr>
              <w:t>Il ressort des études actuelles de l</w:t>
            </w:r>
            <w:r w:rsidR="00B979D7">
              <w:rPr>
                <w:lang w:val="fr-CH"/>
              </w:rPr>
              <w:t>'</w:t>
            </w:r>
            <w:r w:rsidR="00CD5150" w:rsidRPr="00730563">
              <w:rPr>
                <w:lang w:val="fr-CH"/>
              </w:rPr>
              <w:t>UIT-R que les dispositions applicables</w:t>
            </w:r>
            <w:r w:rsidR="00B31093" w:rsidRPr="00730563">
              <w:rPr>
                <w:lang w:val="fr-CH"/>
              </w:rPr>
              <w:t xml:space="preserve"> </w:t>
            </w:r>
            <w:r w:rsidR="00CD5150" w:rsidRPr="00730563">
              <w:rPr>
                <w:lang w:val="fr-CH"/>
              </w:rPr>
              <w:t>au SRS en</w:t>
            </w:r>
            <w:r w:rsidR="003228B3">
              <w:rPr>
                <w:lang w:val="fr-CH"/>
              </w:rPr>
              <w:t xml:space="preserve"> </w:t>
            </w:r>
            <w:r w:rsidR="00CD5150" w:rsidRPr="00730563">
              <w:rPr>
                <w:lang w:val="fr-CH"/>
              </w:rPr>
              <w:t>Région</w:t>
            </w:r>
            <w:r w:rsidR="003228B3">
              <w:rPr>
                <w:lang w:val="fr-CH"/>
              </w:rPr>
              <w:t xml:space="preserve"> </w:t>
            </w:r>
            <w:r w:rsidR="00CD5150" w:rsidRPr="00730563">
              <w:rPr>
                <w:lang w:val="fr-CH"/>
              </w:rPr>
              <w:t xml:space="preserve">1 figurant dans </w:t>
            </w:r>
            <w:r w:rsidR="002B6D60" w:rsidRPr="00730563">
              <w:rPr>
                <w:lang w:val="fr-CH"/>
              </w:rPr>
              <w:t>l</w:t>
            </w:r>
            <w:r w:rsidR="00B979D7">
              <w:rPr>
                <w:lang w:val="fr-CH"/>
              </w:rPr>
              <w:t>'</w:t>
            </w:r>
            <w:r w:rsidR="002B6D60" w:rsidRPr="00730563">
              <w:rPr>
                <w:lang w:val="fr-CH"/>
              </w:rPr>
              <w:t>Annexe</w:t>
            </w:r>
            <w:r w:rsidR="003228B3">
              <w:rPr>
                <w:lang w:val="fr-CH"/>
              </w:rPr>
              <w:t xml:space="preserve"> </w:t>
            </w:r>
            <w:r w:rsidR="00B31093" w:rsidRPr="00730563">
              <w:rPr>
                <w:lang w:val="fr-CH"/>
              </w:rPr>
              <w:t xml:space="preserve">7 </w:t>
            </w:r>
            <w:r w:rsidR="00CD5150" w:rsidRPr="00730563">
              <w:rPr>
                <w:lang w:val="fr-CH"/>
              </w:rPr>
              <w:t xml:space="preserve">de </w:t>
            </w:r>
            <w:r w:rsidR="002B6D60" w:rsidRPr="00730563">
              <w:rPr>
                <w:lang w:val="fr-CH"/>
              </w:rPr>
              <w:t>l</w:t>
            </w:r>
            <w:r w:rsidR="00B979D7">
              <w:rPr>
                <w:lang w:val="fr-CH"/>
              </w:rPr>
              <w:t>'</w:t>
            </w:r>
            <w:r w:rsidR="002B6D60" w:rsidRPr="00730563">
              <w:rPr>
                <w:lang w:val="fr-CH"/>
              </w:rPr>
              <w:t>Appendice</w:t>
            </w:r>
            <w:r w:rsidR="003228B3">
              <w:rPr>
                <w:lang w:val="fr-CH"/>
              </w:rPr>
              <w:t xml:space="preserve"> </w:t>
            </w:r>
            <w:r w:rsidR="00B31093" w:rsidRPr="00730563">
              <w:rPr>
                <w:lang w:val="fr-CH"/>
              </w:rPr>
              <w:t xml:space="preserve">30 </w:t>
            </w:r>
            <w:r w:rsidR="00CD5150" w:rsidRPr="00730563">
              <w:rPr>
                <w:lang w:val="fr-CH"/>
              </w:rPr>
              <w:t>pourraient ne plus être nécessaires et pourraient être remplacées par d</w:t>
            </w:r>
            <w:r w:rsidR="00B979D7">
              <w:rPr>
                <w:lang w:val="fr-CH"/>
              </w:rPr>
              <w:t>'</w:t>
            </w:r>
            <w:r w:rsidR="00CD5150" w:rsidRPr="00730563">
              <w:rPr>
                <w:lang w:val="fr-CH"/>
              </w:rPr>
              <w:t>autres valeurs de seuil déclenchant</w:t>
            </w:r>
            <w:r w:rsidR="003228B3">
              <w:rPr>
                <w:lang w:val="fr-CH"/>
              </w:rPr>
              <w:t xml:space="preserve"> </w:t>
            </w:r>
            <w:r w:rsidR="00CD5150" w:rsidRPr="00730563">
              <w:rPr>
                <w:lang w:val="fr-CH"/>
              </w:rPr>
              <w:t>la coordination</w:t>
            </w:r>
            <w:r w:rsidR="008D44F3">
              <w:rPr>
                <w:lang w:val="fr-CH"/>
              </w:rPr>
              <w:t>,</w:t>
            </w:r>
            <w:r w:rsidR="00CD5150" w:rsidRPr="00730563">
              <w:rPr>
                <w:lang w:val="fr-CH"/>
              </w:rPr>
              <w:t xml:space="preserve"> telles que le gabarit de puissa</w:t>
            </w:r>
            <w:r w:rsidR="002B6D60">
              <w:rPr>
                <w:lang w:val="fr-CH"/>
              </w:rPr>
              <w:t>nce surfacique déjà utilisé</w:t>
            </w:r>
            <w:r w:rsidR="003228B3">
              <w:rPr>
                <w:lang w:val="fr-CH"/>
              </w:rPr>
              <w:t xml:space="preserve"> </w:t>
            </w:r>
            <w:r w:rsidR="00CD5150" w:rsidRPr="00730563">
              <w:rPr>
                <w:lang w:val="fr-CH"/>
              </w:rPr>
              <w:t>comme seuil</w:t>
            </w:r>
            <w:r w:rsidR="003228B3">
              <w:rPr>
                <w:lang w:val="fr-CH"/>
              </w:rPr>
              <w:t xml:space="preserve"> </w:t>
            </w:r>
            <w:r w:rsidR="00CD5150" w:rsidRPr="00730563">
              <w:rPr>
                <w:lang w:val="fr-CH"/>
              </w:rPr>
              <w:t>déclenchant la coordination pour les réseaux du</w:t>
            </w:r>
            <w:r w:rsidR="003228B3">
              <w:rPr>
                <w:lang w:val="fr-CH"/>
              </w:rPr>
              <w:t xml:space="preserve"> </w:t>
            </w:r>
            <w:r w:rsidR="00CD5150" w:rsidRPr="00730563">
              <w:rPr>
                <w:lang w:val="fr-CH"/>
              </w:rPr>
              <w:t>SRS en</w:t>
            </w:r>
            <w:r w:rsidR="003228B3">
              <w:rPr>
                <w:lang w:val="fr-CH"/>
              </w:rPr>
              <w:t xml:space="preserve"> </w:t>
            </w:r>
            <w:r w:rsidR="00CD5150" w:rsidRPr="00730563">
              <w:rPr>
                <w:lang w:val="fr-CH"/>
              </w:rPr>
              <w:t>Région</w:t>
            </w:r>
            <w:r w:rsidR="003228B3">
              <w:rPr>
                <w:lang w:val="fr-CH"/>
              </w:rPr>
              <w:t xml:space="preserve"> </w:t>
            </w:r>
            <w:r w:rsidR="00CD5150" w:rsidRPr="00730563">
              <w:rPr>
                <w:lang w:val="fr-CH"/>
              </w:rPr>
              <w:t>1</w:t>
            </w:r>
            <w:r w:rsidR="009A4543">
              <w:rPr>
                <w:lang w:val="fr-CH"/>
              </w:rPr>
              <w:t>.</w:t>
            </w:r>
          </w:p>
        </w:tc>
      </w:tr>
      <w:tr w:rsidR="00B31093" w:rsidRPr="00714540" w:rsidTr="000E0653">
        <w:tc>
          <w:tcPr>
            <w:tcW w:w="9639" w:type="dxa"/>
            <w:gridSpan w:val="3"/>
            <w:tcBorders>
              <w:top w:val="single" w:sz="4" w:space="0" w:color="auto"/>
              <w:left w:val="nil"/>
              <w:bottom w:val="single" w:sz="4" w:space="0" w:color="auto"/>
              <w:right w:val="nil"/>
            </w:tcBorders>
          </w:tcPr>
          <w:p w:rsidR="00B31093" w:rsidRPr="00A31EA2" w:rsidRDefault="00B31093" w:rsidP="00425FA3">
            <w:r w:rsidRPr="0014454C">
              <w:rPr>
                <w:b/>
                <w:bCs/>
                <w:i/>
                <w:iCs/>
                <w:lang w:val="fr-CH"/>
              </w:rPr>
              <w:t>Services de radiocommunication concernés</w:t>
            </w:r>
            <w:r w:rsidRPr="00A31EA2">
              <w:t>:</w:t>
            </w:r>
          </w:p>
          <w:p w:rsidR="00B31093" w:rsidRPr="00714540" w:rsidRDefault="009A4543" w:rsidP="00425FA3">
            <w:pPr>
              <w:rPr>
                <w:b/>
                <w:i/>
              </w:rPr>
            </w:pPr>
            <w:r>
              <w:t>S</w:t>
            </w:r>
            <w:r w:rsidR="00CD5150">
              <w:t>ervice de radiodiffusion par satellite</w:t>
            </w:r>
            <w:r w:rsidR="003228B3">
              <w:t xml:space="preserve"> </w:t>
            </w:r>
            <w:r w:rsidR="00CD5150">
              <w:t>(Régions</w:t>
            </w:r>
            <w:r w:rsidR="003228B3">
              <w:t xml:space="preserve"> </w:t>
            </w:r>
            <w:r w:rsidR="00CD5150" w:rsidRPr="00F11B9D">
              <w:t xml:space="preserve">1 </w:t>
            </w:r>
            <w:r w:rsidR="00CD5150">
              <w:t xml:space="preserve">et </w:t>
            </w:r>
            <w:r w:rsidR="00CD5150" w:rsidRPr="00F11B9D">
              <w:t>3</w:t>
            </w:r>
            <w:r w:rsidR="00CD5150">
              <w:t>), service fixe par satellite</w:t>
            </w:r>
            <w:r w:rsidR="003228B3">
              <w:t xml:space="preserve"> </w:t>
            </w:r>
            <w:r w:rsidR="00B31093" w:rsidRPr="00F11B9D">
              <w:t>(</w:t>
            </w:r>
            <w:r w:rsidR="00780FA7">
              <w:t>Région</w:t>
            </w:r>
            <w:r w:rsidR="003228B3">
              <w:t xml:space="preserve"> </w:t>
            </w:r>
            <w:r w:rsidR="00B31093" w:rsidRPr="00F11B9D">
              <w:t>2)</w:t>
            </w:r>
          </w:p>
        </w:tc>
      </w:tr>
      <w:tr w:rsidR="00B31093" w:rsidRPr="00B31093" w:rsidTr="000E0653">
        <w:tc>
          <w:tcPr>
            <w:tcW w:w="9639" w:type="dxa"/>
            <w:gridSpan w:val="3"/>
            <w:tcBorders>
              <w:top w:val="single" w:sz="4" w:space="0" w:color="auto"/>
              <w:left w:val="nil"/>
              <w:bottom w:val="single" w:sz="4" w:space="0" w:color="auto"/>
              <w:right w:val="nil"/>
            </w:tcBorders>
          </w:tcPr>
          <w:p w:rsidR="00B31093" w:rsidRPr="00730563" w:rsidRDefault="00B31093" w:rsidP="00425FA3">
            <w:pPr>
              <w:rPr>
                <w:lang w:val="fr-CH"/>
              </w:rPr>
            </w:pPr>
            <w:r w:rsidRPr="00730563">
              <w:rPr>
                <w:b/>
                <w:bCs/>
                <w:i/>
                <w:iCs/>
                <w:lang w:val="fr-CH"/>
              </w:rPr>
              <w:t>Indication des difficultés éventuelles:</w:t>
            </w:r>
          </w:p>
          <w:p w:rsidR="00B31093" w:rsidRPr="00730563" w:rsidRDefault="00CD5150" w:rsidP="009A4543">
            <w:pPr>
              <w:rPr>
                <w:b/>
                <w:i/>
                <w:lang w:val="fr-CH"/>
              </w:rPr>
            </w:pPr>
            <w:r w:rsidRPr="00730563">
              <w:rPr>
                <w:lang w:val="fr-CH"/>
              </w:rPr>
              <w:t>Il faut procéder à d</w:t>
            </w:r>
            <w:r w:rsidR="00B979D7">
              <w:rPr>
                <w:lang w:val="fr-CH"/>
              </w:rPr>
              <w:t>'</w:t>
            </w:r>
            <w:r w:rsidRPr="00730563">
              <w:rPr>
                <w:lang w:val="fr-CH"/>
              </w:rPr>
              <w:t>autres études sur les mesures à prendre pour protéger les assignations actuelles du</w:t>
            </w:r>
            <w:r w:rsidR="003228B3">
              <w:rPr>
                <w:lang w:val="fr-CH"/>
              </w:rPr>
              <w:t xml:space="preserve"> </w:t>
            </w:r>
            <w:r w:rsidR="00974E3F" w:rsidRPr="00730563">
              <w:rPr>
                <w:lang w:val="fr-CH"/>
              </w:rPr>
              <w:t>SRS en</w:t>
            </w:r>
            <w:r w:rsidR="003228B3">
              <w:rPr>
                <w:lang w:val="fr-CH"/>
              </w:rPr>
              <w:t xml:space="preserve"> </w:t>
            </w:r>
            <w:r w:rsidR="00974E3F" w:rsidRPr="00730563">
              <w:rPr>
                <w:lang w:val="fr-CH"/>
              </w:rPr>
              <w:t>Région</w:t>
            </w:r>
            <w:r w:rsidR="003228B3">
              <w:rPr>
                <w:lang w:val="fr-CH"/>
              </w:rPr>
              <w:t xml:space="preserve"> </w:t>
            </w:r>
            <w:r w:rsidR="00974E3F" w:rsidRPr="00730563">
              <w:rPr>
                <w:lang w:val="fr-CH"/>
              </w:rPr>
              <w:t>1</w:t>
            </w:r>
            <w:r w:rsidR="003228B3">
              <w:rPr>
                <w:lang w:val="fr-CH"/>
              </w:rPr>
              <w:t xml:space="preserve"> </w:t>
            </w:r>
            <w:r w:rsidR="00974E3F" w:rsidRPr="00730563">
              <w:rPr>
                <w:lang w:val="fr-CH"/>
              </w:rPr>
              <w:t>figurant dans la Liste des utilisations additionnelles pour les Régions</w:t>
            </w:r>
            <w:r w:rsidR="003228B3">
              <w:rPr>
                <w:lang w:val="fr-CH"/>
              </w:rPr>
              <w:t xml:space="preserve"> </w:t>
            </w:r>
            <w:r w:rsidR="00B31093" w:rsidRPr="00730563">
              <w:rPr>
                <w:lang w:val="fr-CH"/>
              </w:rPr>
              <w:t>1</w:t>
            </w:r>
            <w:r w:rsidR="00974E3F" w:rsidRPr="00730563">
              <w:rPr>
                <w:lang w:val="fr-CH"/>
              </w:rPr>
              <w:t xml:space="preserve"> et</w:t>
            </w:r>
            <w:r w:rsidR="003228B3">
              <w:rPr>
                <w:lang w:val="fr-CH"/>
              </w:rPr>
              <w:t xml:space="preserve"> </w:t>
            </w:r>
            <w:r w:rsidR="009A4543">
              <w:rPr>
                <w:lang w:val="fr-CH"/>
              </w:rPr>
              <w:t>3</w:t>
            </w:r>
            <w:r w:rsidR="003228B3">
              <w:rPr>
                <w:lang w:val="fr-CH"/>
              </w:rPr>
              <w:t>,</w:t>
            </w:r>
            <w:r w:rsidR="00974E3F" w:rsidRPr="00730563">
              <w:rPr>
                <w:lang w:val="fr-CH"/>
              </w:rPr>
              <w:t xml:space="preserve"> qui sont notifiées conformément aux dispositions actuelles </w:t>
            </w:r>
            <w:r w:rsidR="009A4543">
              <w:rPr>
                <w:lang w:val="fr-CH"/>
              </w:rPr>
              <w:t>de</w:t>
            </w:r>
            <w:r w:rsidR="00974E3F" w:rsidRPr="00730563">
              <w:rPr>
                <w:lang w:val="fr-CH"/>
              </w:rPr>
              <w:t xml:space="preserve"> la</w:t>
            </w:r>
            <w:r w:rsidR="003228B3">
              <w:rPr>
                <w:lang w:val="fr-CH"/>
              </w:rPr>
              <w:t xml:space="preserve"> </w:t>
            </w:r>
            <w:r w:rsidR="00B31093" w:rsidRPr="00730563">
              <w:rPr>
                <w:lang w:val="fr-CH"/>
              </w:rPr>
              <w:t xml:space="preserve">Section A3 </w:t>
            </w:r>
            <w:r w:rsidR="00B06704" w:rsidRPr="00730563">
              <w:rPr>
                <w:lang w:val="fr-CH"/>
              </w:rPr>
              <w:t>de l</w:t>
            </w:r>
            <w:r w:rsidR="00B979D7">
              <w:rPr>
                <w:lang w:val="fr-CH"/>
              </w:rPr>
              <w:t>'</w:t>
            </w:r>
            <w:r w:rsidR="00FE7E10" w:rsidRPr="00730563">
              <w:rPr>
                <w:lang w:val="fr-CH"/>
              </w:rPr>
              <w:t>Annexe</w:t>
            </w:r>
            <w:r w:rsidR="003228B3">
              <w:rPr>
                <w:lang w:val="fr-CH"/>
              </w:rPr>
              <w:t xml:space="preserve"> </w:t>
            </w:r>
            <w:r w:rsidR="00B31093" w:rsidRPr="00730563">
              <w:rPr>
                <w:lang w:val="fr-CH"/>
              </w:rPr>
              <w:t xml:space="preserve">7 </w:t>
            </w:r>
            <w:r w:rsidR="00974E3F" w:rsidRPr="00730563">
              <w:rPr>
                <w:lang w:val="fr-CH"/>
              </w:rPr>
              <w:t>de l</w:t>
            </w:r>
            <w:r w:rsidR="00B979D7">
              <w:rPr>
                <w:lang w:val="fr-CH"/>
              </w:rPr>
              <w:t>'</w:t>
            </w:r>
            <w:r w:rsidR="00FE7E10" w:rsidRPr="00730563">
              <w:rPr>
                <w:lang w:val="fr-CH"/>
              </w:rPr>
              <w:t>Appendice</w:t>
            </w:r>
            <w:r w:rsidR="003228B3">
              <w:rPr>
                <w:lang w:val="fr-CH"/>
              </w:rPr>
              <w:t xml:space="preserve"> </w:t>
            </w:r>
            <w:r w:rsidR="00B31093" w:rsidRPr="00730563">
              <w:rPr>
                <w:lang w:val="fr-CH"/>
              </w:rPr>
              <w:t xml:space="preserve">30 </w:t>
            </w:r>
            <w:r w:rsidR="00974E3F" w:rsidRPr="00730563">
              <w:rPr>
                <w:lang w:val="fr-CH"/>
              </w:rPr>
              <w:t>du</w:t>
            </w:r>
            <w:r w:rsidR="003228B3">
              <w:rPr>
                <w:lang w:val="fr-CH"/>
              </w:rPr>
              <w:t xml:space="preserve"> </w:t>
            </w:r>
            <w:r w:rsidR="00974E3F" w:rsidRPr="00730563">
              <w:rPr>
                <w:lang w:val="fr-CH"/>
              </w:rPr>
              <w:t>RR</w:t>
            </w:r>
            <w:r w:rsidR="009A4543">
              <w:rPr>
                <w:lang w:val="fr-CH"/>
              </w:rPr>
              <w:t>.</w:t>
            </w:r>
          </w:p>
        </w:tc>
      </w:tr>
      <w:tr w:rsidR="00B31093" w:rsidRPr="00B31093" w:rsidTr="000E0653">
        <w:tc>
          <w:tcPr>
            <w:tcW w:w="9639" w:type="dxa"/>
            <w:gridSpan w:val="3"/>
            <w:tcBorders>
              <w:top w:val="single" w:sz="4" w:space="0" w:color="auto"/>
              <w:left w:val="nil"/>
              <w:bottom w:val="single" w:sz="4" w:space="0" w:color="auto"/>
              <w:right w:val="nil"/>
            </w:tcBorders>
          </w:tcPr>
          <w:p w:rsidR="00B31093" w:rsidRPr="00A31EA2" w:rsidRDefault="00B31093" w:rsidP="00425FA3">
            <w:r w:rsidRPr="003A2ED4">
              <w:rPr>
                <w:b/>
                <w:bCs/>
                <w:i/>
                <w:iCs/>
                <w:lang w:val="fr-CH"/>
              </w:rPr>
              <w:t>Etudes précédentes ou en cours sur la question</w:t>
            </w:r>
            <w:r w:rsidRPr="003A2ED4">
              <w:rPr>
                <w:b/>
                <w:bCs/>
                <w:i/>
                <w:iCs/>
              </w:rPr>
              <w:t>:</w:t>
            </w:r>
          </w:p>
          <w:p w:rsidR="00B31093" w:rsidRPr="00730563" w:rsidRDefault="008D44F3" w:rsidP="00425FA3">
            <w:pPr>
              <w:rPr>
                <w:b/>
                <w:i/>
                <w:lang w:val="fr-CH"/>
              </w:rPr>
            </w:pPr>
            <w:r>
              <w:rPr>
                <w:lang w:val="fr-CH"/>
              </w:rPr>
              <w:t>E</w:t>
            </w:r>
            <w:r w:rsidR="00974E3F" w:rsidRPr="00730563">
              <w:rPr>
                <w:lang w:val="fr-CH"/>
              </w:rPr>
              <w:t>tudes effectuées actuellement par le</w:t>
            </w:r>
            <w:r w:rsidR="003228B3">
              <w:rPr>
                <w:lang w:val="fr-CH"/>
              </w:rPr>
              <w:t xml:space="preserve"> </w:t>
            </w:r>
            <w:r w:rsidR="00872994" w:rsidRPr="00730563">
              <w:rPr>
                <w:lang w:val="fr-CH"/>
              </w:rPr>
              <w:t>GT</w:t>
            </w:r>
            <w:r w:rsidR="003228B3">
              <w:rPr>
                <w:lang w:val="fr-CH"/>
              </w:rPr>
              <w:t xml:space="preserve"> </w:t>
            </w:r>
            <w:r w:rsidR="00B31093" w:rsidRPr="00730563">
              <w:rPr>
                <w:lang w:val="fr-CH"/>
              </w:rPr>
              <w:t xml:space="preserve">4A </w:t>
            </w:r>
            <w:r w:rsidR="00974E3F" w:rsidRPr="00730563">
              <w:rPr>
                <w:lang w:val="fr-CH"/>
              </w:rPr>
              <w:t>de l</w:t>
            </w:r>
            <w:r w:rsidR="00B979D7">
              <w:rPr>
                <w:lang w:val="fr-CH"/>
              </w:rPr>
              <w:t>'</w:t>
            </w:r>
            <w:r w:rsidR="00974E3F" w:rsidRPr="00730563">
              <w:rPr>
                <w:lang w:val="fr-CH"/>
              </w:rPr>
              <w:t>UIT-R et examen au sein de la Commission spéciale chargée d</w:t>
            </w:r>
            <w:r w:rsidR="00B979D7">
              <w:rPr>
                <w:lang w:val="fr-CH"/>
              </w:rPr>
              <w:t>'</w:t>
            </w:r>
            <w:r w:rsidR="00974E3F" w:rsidRPr="00730563">
              <w:rPr>
                <w:lang w:val="fr-CH"/>
              </w:rPr>
              <w:t xml:space="preserve">examiner les questions </w:t>
            </w:r>
            <w:r w:rsidR="009A4543" w:rsidRPr="00730563">
              <w:rPr>
                <w:lang w:val="fr-CH"/>
              </w:rPr>
              <w:t>réglementaires</w:t>
            </w:r>
            <w:r w:rsidR="009A4543">
              <w:rPr>
                <w:lang w:val="fr-CH"/>
              </w:rPr>
              <w:t>.</w:t>
            </w:r>
          </w:p>
        </w:tc>
      </w:tr>
      <w:tr w:rsidR="00B31093" w:rsidRPr="00B31093" w:rsidTr="000E0653">
        <w:tc>
          <w:tcPr>
            <w:tcW w:w="4539" w:type="dxa"/>
            <w:gridSpan w:val="2"/>
            <w:tcBorders>
              <w:top w:val="single" w:sz="4" w:space="0" w:color="auto"/>
              <w:left w:val="nil"/>
              <w:bottom w:val="single" w:sz="4" w:space="0" w:color="auto"/>
              <w:right w:val="single" w:sz="4" w:space="0" w:color="auto"/>
            </w:tcBorders>
          </w:tcPr>
          <w:p w:rsidR="00B31093" w:rsidRPr="00A31EA2" w:rsidRDefault="00B31093" w:rsidP="00425FA3">
            <w:r w:rsidRPr="0014454C">
              <w:rPr>
                <w:b/>
                <w:bCs/>
                <w:i/>
                <w:iCs/>
                <w:lang w:val="fr-CH"/>
              </w:rPr>
              <w:t>Etudes devant être réalisées par</w:t>
            </w:r>
            <w:r w:rsidRPr="0014454C">
              <w:rPr>
                <w:b/>
                <w:bCs/>
                <w:i/>
                <w:iCs/>
              </w:rPr>
              <w:t>:</w:t>
            </w:r>
          </w:p>
          <w:p w:rsidR="00B31093" w:rsidRPr="009E4745" w:rsidRDefault="00C937A8" w:rsidP="00425FA3">
            <w:pPr>
              <w:rPr>
                <w:b/>
                <w:i/>
                <w:color w:val="000000"/>
                <w:lang w:val="fr-CH"/>
              </w:rPr>
            </w:pPr>
            <w:r>
              <w:rPr>
                <w:color w:val="000000"/>
              </w:rPr>
              <w:t>CE</w:t>
            </w:r>
            <w:r w:rsidR="008D44F3">
              <w:rPr>
                <w:color w:val="000000"/>
              </w:rPr>
              <w:t xml:space="preserve"> </w:t>
            </w:r>
            <w:r w:rsidR="00B31093">
              <w:rPr>
                <w:color w:val="000000"/>
              </w:rPr>
              <w:t>4</w:t>
            </w:r>
          </w:p>
        </w:tc>
        <w:tc>
          <w:tcPr>
            <w:tcW w:w="5100" w:type="dxa"/>
            <w:tcBorders>
              <w:top w:val="single" w:sz="4" w:space="0" w:color="auto"/>
              <w:left w:val="single" w:sz="4" w:space="0" w:color="auto"/>
              <w:bottom w:val="single" w:sz="4" w:space="0" w:color="auto"/>
              <w:right w:val="nil"/>
            </w:tcBorders>
          </w:tcPr>
          <w:p w:rsidR="00B31093" w:rsidRPr="00730563" w:rsidRDefault="00B31093" w:rsidP="00425FA3">
            <w:pPr>
              <w:rPr>
                <w:b/>
                <w:bCs/>
                <w:i/>
                <w:iCs/>
                <w:lang w:val="fr-CH"/>
              </w:rPr>
            </w:pPr>
            <w:r w:rsidRPr="00504217">
              <w:rPr>
                <w:b/>
                <w:bCs/>
                <w:i/>
                <w:iCs/>
              </w:rPr>
              <w:t>avec la participation de</w:t>
            </w:r>
            <w:r w:rsidRPr="00730563">
              <w:rPr>
                <w:b/>
                <w:bCs/>
                <w:i/>
                <w:iCs/>
                <w:lang w:val="fr-CH"/>
              </w:rPr>
              <w:t>:</w:t>
            </w:r>
          </w:p>
          <w:p w:rsidR="00B31093" w:rsidRPr="00730563" w:rsidRDefault="00C203CC" w:rsidP="00425FA3">
            <w:pPr>
              <w:rPr>
                <w:b/>
                <w:i/>
                <w:color w:val="000000"/>
                <w:lang w:val="fr-CH"/>
              </w:rPr>
            </w:pPr>
            <w:r w:rsidRPr="00730563">
              <w:rPr>
                <w:color w:val="000000"/>
                <w:lang w:val="fr-CH"/>
              </w:rPr>
              <w:t xml:space="preserve">Administrations et Membres du Secteur de </w:t>
            </w:r>
            <w:r w:rsidR="009A4543" w:rsidRPr="00730563">
              <w:rPr>
                <w:color w:val="000000"/>
                <w:lang w:val="fr-CH"/>
              </w:rPr>
              <w:t>l</w:t>
            </w:r>
            <w:r w:rsidR="00B979D7">
              <w:rPr>
                <w:color w:val="000000"/>
                <w:lang w:val="fr-CH"/>
              </w:rPr>
              <w:t>'</w:t>
            </w:r>
            <w:r w:rsidR="009A4543" w:rsidRPr="00730563">
              <w:rPr>
                <w:color w:val="000000"/>
                <w:lang w:val="fr-CH"/>
              </w:rPr>
              <w:t>UIT</w:t>
            </w:r>
            <w:r w:rsidR="009A4543">
              <w:rPr>
                <w:color w:val="000000"/>
                <w:lang w:val="fr-CH"/>
              </w:rPr>
              <w:noBreakHyphen/>
            </w:r>
            <w:r w:rsidR="00B31093" w:rsidRPr="00730563">
              <w:rPr>
                <w:color w:val="000000"/>
                <w:lang w:val="fr-CH"/>
              </w:rPr>
              <w:t>R</w:t>
            </w:r>
          </w:p>
        </w:tc>
      </w:tr>
      <w:tr w:rsidR="00B31093" w:rsidRPr="009E4745" w:rsidTr="000E0653">
        <w:tc>
          <w:tcPr>
            <w:tcW w:w="9639" w:type="dxa"/>
            <w:gridSpan w:val="3"/>
            <w:tcBorders>
              <w:top w:val="single" w:sz="4" w:space="0" w:color="auto"/>
              <w:left w:val="nil"/>
              <w:bottom w:val="single" w:sz="4" w:space="0" w:color="auto"/>
              <w:right w:val="nil"/>
            </w:tcBorders>
          </w:tcPr>
          <w:p w:rsidR="00B31093" w:rsidRPr="00A31EA2" w:rsidRDefault="00B31093" w:rsidP="00425FA3">
            <w:r w:rsidRPr="0014454C">
              <w:rPr>
                <w:b/>
                <w:bCs/>
                <w:i/>
                <w:iCs/>
                <w:lang w:val="fr-CH"/>
              </w:rPr>
              <w:t>Commissions d'études de l'UIT-R concernées</w:t>
            </w:r>
            <w:r w:rsidRPr="00A31EA2">
              <w:rPr>
                <w:b/>
                <w:bCs/>
                <w:i/>
                <w:iCs/>
              </w:rPr>
              <w:t>:</w:t>
            </w:r>
          </w:p>
          <w:p w:rsidR="00B31093" w:rsidRPr="009E4745" w:rsidRDefault="00C937A8" w:rsidP="00425FA3">
            <w:pPr>
              <w:rPr>
                <w:b/>
                <w:i/>
                <w:lang w:val="fr-CH"/>
              </w:rPr>
            </w:pPr>
            <w:r>
              <w:t>CE</w:t>
            </w:r>
            <w:r w:rsidR="008D44F3">
              <w:t xml:space="preserve"> </w:t>
            </w:r>
            <w:r w:rsidR="00B31093">
              <w:t>4</w:t>
            </w:r>
          </w:p>
        </w:tc>
      </w:tr>
      <w:tr w:rsidR="00B31093" w:rsidRPr="00B31093" w:rsidTr="000E0653">
        <w:tc>
          <w:tcPr>
            <w:tcW w:w="9639" w:type="dxa"/>
            <w:gridSpan w:val="3"/>
            <w:tcBorders>
              <w:top w:val="single" w:sz="4" w:space="0" w:color="auto"/>
              <w:left w:val="nil"/>
              <w:bottom w:val="single" w:sz="4" w:space="0" w:color="auto"/>
              <w:right w:val="nil"/>
            </w:tcBorders>
          </w:tcPr>
          <w:p w:rsidR="00B31093" w:rsidRPr="00A31EA2" w:rsidRDefault="00B31093" w:rsidP="00425FA3">
            <w:r w:rsidRPr="0014454C">
              <w:rPr>
                <w:b/>
                <w:bCs/>
                <w:i/>
                <w:iCs/>
              </w:rPr>
              <w:t xml:space="preserve">Répercussions au niveau des ressources de l'UIT, y compris incidences </w:t>
            </w:r>
            <w:r w:rsidR="009A4543" w:rsidRPr="0014454C">
              <w:rPr>
                <w:b/>
                <w:bCs/>
                <w:i/>
                <w:iCs/>
              </w:rPr>
              <w:t xml:space="preserve">financières </w:t>
            </w:r>
            <w:r w:rsidRPr="0014454C">
              <w:rPr>
                <w:b/>
                <w:bCs/>
                <w:i/>
                <w:iCs/>
              </w:rPr>
              <w:br/>
              <w:t>(voir le numéro 126 de la Convention):</w:t>
            </w:r>
          </w:p>
          <w:p w:rsidR="00B31093" w:rsidRPr="00730563" w:rsidRDefault="00974E3F"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r w:rsidR="003228B3">
              <w:rPr>
                <w:lang w:val="fr-CH"/>
              </w:rPr>
              <w:t xml:space="preserve"> </w:t>
            </w:r>
          </w:p>
        </w:tc>
      </w:tr>
      <w:tr w:rsidR="00B31093" w:rsidRPr="009E4745" w:rsidTr="000E0653">
        <w:tc>
          <w:tcPr>
            <w:tcW w:w="4539" w:type="dxa"/>
            <w:gridSpan w:val="2"/>
            <w:tcBorders>
              <w:top w:val="single" w:sz="4" w:space="0" w:color="auto"/>
              <w:left w:val="nil"/>
              <w:bottom w:val="single" w:sz="4" w:space="0" w:color="auto"/>
              <w:right w:val="nil"/>
            </w:tcBorders>
          </w:tcPr>
          <w:p w:rsidR="00B31093" w:rsidRPr="009E4745" w:rsidRDefault="00B31093" w:rsidP="00425FA3">
            <w:pPr>
              <w:rPr>
                <w:b/>
                <w:iCs/>
                <w:lang w:val="fr-CH"/>
              </w:rPr>
            </w:pPr>
            <w:r w:rsidRPr="00695ABE">
              <w:rPr>
                <w:b/>
                <w:bCs/>
                <w:i/>
                <w:iCs/>
              </w:rPr>
              <w:lastRenderedPageBreak/>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B31093" w:rsidRPr="00A31EA2" w:rsidRDefault="00B31093" w:rsidP="00425FA3">
            <w:r w:rsidRPr="00695ABE">
              <w:rPr>
                <w:b/>
                <w:bCs/>
                <w:i/>
                <w:iCs/>
              </w:rPr>
              <w:t>Proposition soumise par plusieurs pays:</w:t>
            </w:r>
            <w:r w:rsidRPr="008C0EDF">
              <w:rPr>
                <w:b/>
                <w:bCs/>
              </w:rPr>
              <w:t xml:space="preserve"> </w:t>
            </w:r>
            <w:r w:rsidRPr="009217A6">
              <w:t>Non</w:t>
            </w:r>
          </w:p>
          <w:p w:rsidR="00B31093" w:rsidRPr="009A4543" w:rsidRDefault="00B31093" w:rsidP="009A4543">
            <w:r w:rsidRPr="003A2ED4">
              <w:rPr>
                <w:b/>
                <w:bCs/>
                <w:i/>
                <w:iCs/>
                <w:lang w:val="fr-CH"/>
              </w:rPr>
              <w:t>Nombre de pays:</w:t>
            </w:r>
          </w:p>
        </w:tc>
      </w:tr>
      <w:tr w:rsidR="00B31093" w:rsidRPr="00714540" w:rsidTr="000E0653">
        <w:tc>
          <w:tcPr>
            <w:tcW w:w="9639" w:type="dxa"/>
            <w:gridSpan w:val="3"/>
            <w:tcBorders>
              <w:top w:val="single" w:sz="4" w:space="0" w:color="auto"/>
              <w:left w:val="nil"/>
              <w:bottom w:val="nil"/>
              <w:right w:val="nil"/>
            </w:tcBorders>
          </w:tcPr>
          <w:p w:rsidR="00B31093" w:rsidRPr="00A31EA2" w:rsidRDefault="00B31093" w:rsidP="00425FA3">
            <w:r w:rsidRPr="003A2ED4">
              <w:rPr>
                <w:b/>
                <w:bCs/>
                <w:i/>
                <w:iCs/>
              </w:rPr>
              <w:t>Observations</w:t>
            </w:r>
          </w:p>
          <w:p w:rsidR="00B31093" w:rsidRPr="00714540" w:rsidRDefault="008D44F3" w:rsidP="00425FA3">
            <w:pPr>
              <w:rPr>
                <w:b/>
                <w:i/>
              </w:rPr>
            </w:pPr>
            <w:r>
              <w:t>N</w:t>
            </w:r>
            <w:r w:rsidR="00A500DC">
              <w:t xml:space="preserve">éant </w:t>
            </w:r>
          </w:p>
        </w:tc>
      </w:tr>
    </w:tbl>
    <w:p w:rsidR="00F27EE5" w:rsidRDefault="00F27EE5" w:rsidP="00BE764C">
      <w:pPr>
        <w:rPr>
          <w:lang w:val="en-US"/>
        </w:rPr>
      </w:pPr>
      <w:bookmarkStart w:id="10" w:name="_GoBack"/>
      <w:bookmarkEnd w:id="10"/>
    </w:p>
    <w:p w:rsidR="00F27EE5" w:rsidRDefault="00F27EE5">
      <w:pPr>
        <w:tabs>
          <w:tab w:val="clear" w:pos="1134"/>
          <w:tab w:val="clear" w:pos="1871"/>
          <w:tab w:val="clear" w:pos="2268"/>
        </w:tabs>
        <w:overflowPunct/>
        <w:autoSpaceDE/>
        <w:autoSpaceDN/>
        <w:adjustRightInd/>
        <w:spacing w:before="0"/>
        <w:textAlignment w:val="auto"/>
        <w:rPr>
          <w:rFonts w:hAnsi="Times New Roman Bold"/>
          <w:b/>
          <w:lang w:val="en-US"/>
        </w:rPr>
      </w:pPr>
      <w:r>
        <w:rPr>
          <w:lang w:val="en-US"/>
        </w:rPr>
        <w:br w:type="page"/>
      </w:r>
    </w:p>
    <w:p w:rsidR="006B1FD4" w:rsidRDefault="00A846F5" w:rsidP="00425FA3">
      <w:pPr>
        <w:pStyle w:val="Proposal"/>
        <w:rPr>
          <w:lang w:val="en-US"/>
        </w:rPr>
      </w:pPr>
      <w:r w:rsidRPr="00B65685">
        <w:rPr>
          <w:lang w:val="en-US"/>
        </w:rPr>
        <w:lastRenderedPageBreak/>
        <w:t>ADD</w:t>
      </w:r>
      <w:r w:rsidRPr="00B65685">
        <w:rPr>
          <w:lang w:val="en-US"/>
        </w:rPr>
        <w:tab/>
        <w:t>EUR/9A25/13</w:t>
      </w:r>
    </w:p>
    <w:p w:rsidR="00B31093" w:rsidRPr="00730563" w:rsidRDefault="001261B0" w:rsidP="00425FA3">
      <w:pPr>
        <w:pStyle w:val="ResNo"/>
        <w:rPr>
          <w:lang w:val="fr-CH"/>
        </w:rPr>
      </w:pPr>
      <w:r w:rsidRPr="00730563">
        <w:rPr>
          <w:lang w:val="fr-CH"/>
        </w:rPr>
        <w:t xml:space="preserve">PROJET DE NOUVELLE </w:t>
      </w:r>
      <w:r w:rsidR="00BB138D">
        <w:rPr>
          <w:lang w:val="fr-CH"/>
        </w:rPr>
        <w:t>RÉSOLUTION</w:t>
      </w:r>
      <w:r w:rsidR="00B31093" w:rsidRPr="00730563">
        <w:rPr>
          <w:lang w:val="fr-CH"/>
        </w:rPr>
        <w:t xml:space="preserve"> [EUR-L10-11] (</w:t>
      </w:r>
      <w:r w:rsidR="003228B3">
        <w:rPr>
          <w:lang w:val="fr-CH"/>
        </w:rPr>
        <w:t>CMR-15</w:t>
      </w:r>
      <w:r w:rsidR="00B31093" w:rsidRPr="00730563">
        <w:rPr>
          <w:lang w:val="fr-CH"/>
        </w:rPr>
        <w:t>)</w:t>
      </w:r>
    </w:p>
    <w:p w:rsidR="006E3787" w:rsidRPr="00730563" w:rsidRDefault="0051401C" w:rsidP="00425FA3">
      <w:pPr>
        <w:pStyle w:val="Restitle"/>
        <w:rPr>
          <w:lang w:val="fr-CH"/>
        </w:rPr>
      </w:pPr>
      <w:r w:rsidRPr="00730563">
        <w:rPr>
          <w:lang w:val="fr-CH"/>
        </w:rPr>
        <w:t>Dispositions réglementaires relatives à l</w:t>
      </w:r>
      <w:r w:rsidR="00B979D7">
        <w:rPr>
          <w:lang w:val="fr-CH"/>
        </w:rPr>
        <w:t>'</w:t>
      </w:r>
      <w:r w:rsidRPr="00730563">
        <w:rPr>
          <w:lang w:val="fr-CH"/>
        </w:rPr>
        <w:t xml:space="preserve">utilisation opérationnelle du </w:t>
      </w:r>
      <w:r w:rsidR="008D44F3">
        <w:rPr>
          <w:lang w:val="fr-CH"/>
        </w:rPr>
        <w:br/>
      </w:r>
      <w:r w:rsidRPr="00730563">
        <w:rPr>
          <w:lang w:val="fr-CH"/>
        </w:rPr>
        <w:t>Système mondial de détresse et de sécurité aéronautique</w:t>
      </w:r>
      <w:r w:rsidR="003228B3">
        <w:rPr>
          <w:lang w:val="fr-CH"/>
        </w:rPr>
        <w:t xml:space="preserve"> </w:t>
      </w:r>
    </w:p>
    <w:p w:rsidR="006E3787" w:rsidRPr="00730563" w:rsidRDefault="001261B0" w:rsidP="00425FA3">
      <w:pPr>
        <w:pStyle w:val="Normalaftertitle"/>
        <w:rPr>
          <w:lang w:val="fr-CH"/>
        </w:rPr>
      </w:pPr>
      <w:r w:rsidRPr="00730563">
        <w:rPr>
          <w:lang w:val="fr-CH"/>
        </w:rPr>
        <w:t xml:space="preserve">La Conférence mondiale des radiocommunications </w:t>
      </w:r>
      <w:r w:rsidR="006E3787" w:rsidRPr="00730563">
        <w:rPr>
          <w:lang w:val="fr-CH"/>
        </w:rPr>
        <w:t>(</w:t>
      </w:r>
      <w:r w:rsidRPr="00730563">
        <w:rPr>
          <w:lang w:val="fr-CH"/>
        </w:rPr>
        <w:t>Genève</w:t>
      </w:r>
      <w:r w:rsidR="003228B3">
        <w:rPr>
          <w:lang w:val="fr-CH"/>
        </w:rPr>
        <w:t>,</w:t>
      </w:r>
      <w:r w:rsidR="006E3787" w:rsidRPr="00730563">
        <w:rPr>
          <w:lang w:val="fr-CH"/>
        </w:rPr>
        <w:t xml:space="preserve"> 2015),</w:t>
      </w:r>
    </w:p>
    <w:p w:rsidR="006E3787" w:rsidRPr="003369DD" w:rsidRDefault="006E3787" w:rsidP="00425FA3">
      <w:pPr>
        <w:pStyle w:val="Call"/>
        <w:rPr>
          <w:rFonts w:asciiTheme="majorBidi" w:hAnsiTheme="majorBidi" w:cstheme="majorBidi"/>
          <w:szCs w:val="24"/>
        </w:rPr>
      </w:pPr>
      <w:r w:rsidRPr="003369DD">
        <w:rPr>
          <w:rFonts w:asciiTheme="majorBidi" w:hAnsiTheme="majorBidi" w:cstheme="majorBidi"/>
          <w:szCs w:val="24"/>
        </w:rPr>
        <w:t>considérant</w:t>
      </w:r>
    </w:p>
    <w:p w:rsidR="00B31093" w:rsidRPr="006E3787" w:rsidRDefault="006E3787" w:rsidP="00425FA3">
      <w:pPr>
        <w:rPr>
          <w:lang w:val="fr-CH"/>
        </w:rPr>
      </w:pPr>
      <w:r w:rsidRPr="008D44F3">
        <w:rPr>
          <w:i/>
          <w:iCs/>
        </w:rPr>
        <w:t>a)</w:t>
      </w:r>
      <w:r w:rsidRPr="003369DD">
        <w:rPr>
          <w:rFonts w:asciiTheme="majorBidi" w:hAnsiTheme="majorBidi" w:cstheme="majorBidi"/>
          <w:i/>
          <w:iCs/>
          <w:szCs w:val="24"/>
        </w:rPr>
        <w:tab/>
      </w:r>
      <w:r w:rsidRPr="003369DD">
        <w:rPr>
          <w:rFonts w:asciiTheme="majorBidi" w:hAnsiTheme="majorBidi" w:cstheme="majorBidi"/>
          <w:szCs w:val="24"/>
        </w:rPr>
        <w:t>que</w:t>
      </w:r>
      <w:r w:rsidR="0051401C">
        <w:rPr>
          <w:rFonts w:asciiTheme="majorBidi" w:hAnsiTheme="majorBidi" w:cstheme="majorBidi"/>
          <w:szCs w:val="24"/>
        </w:rPr>
        <w:t xml:space="preserve"> plusieurs catastrophes aériennes ont suscité</w:t>
      </w:r>
      <w:r w:rsidR="003228B3">
        <w:rPr>
          <w:rFonts w:asciiTheme="majorBidi" w:hAnsiTheme="majorBidi" w:cstheme="majorBidi"/>
          <w:szCs w:val="24"/>
        </w:rPr>
        <w:t xml:space="preserve"> </w:t>
      </w:r>
      <w:r w:rsidRPr="003369DD">
        <w:rPr>
          <w:rFonts w:asciiTheme="majorBidi" w:hAnsiTheme="majorBidi" w:cstheme="majorBidi"/>
          <w:szCs w:val="24"/>
        </w:rPr>
        <w:t>un débat au niveau international sur le suivi des vols à l'échelle mondiale et</w:t>
      </w:r>
      <w:r w:rsidR="009A4543">
        <w:rPr>
          <w:rFonts w:asciiTheme="majorBidi" w:hAnsiTheme="majorBidi" w:cstheme="majorBidi"/>
          <w:szCs w:val="24"/>
        </w:rPr>
        <w:t xml:space="preserve"> ont fait ressortir</w:t>
      </w:r>
      <w:r w:rsidRPr="003369DD">
        <w:rPr>
          <w:rFonts w:asciiTheme="majorBidi" w:hAnsiTheme="majorBidi" w:cstheme="majorBidi"/>
          <w:szCs w:val="24"/>
        </w:rPr>
        <w:t xml:space="preserve"> la nécessité de coordonner les mesures entre l'UIT</w:t>
      </w:r>
      <w:r w:rsidR="0051401C">
        <w:rPr>
          <w:rFonts w:asciiTheme="majorBidi" w:hAnsiTheme="majorBidi" w:cstheme="majorBidi"/>
          <w:szCs w:val="24"/>
        </w:rPr>
        <w:t>,</w:t>
      </w:r>
      <w:r w:rsidRPr="003369DD">
        <w:rPr>
          <w:rFonts w:asciiTheme="majorBidi" w:hAnsiTheme="majorBidi" w:cstheme="majorBidi"/>
          <w:szCs w:val="24"/>
        </w:rPr>
        <w:t xml:space="preserve"> </w:t>
      </w:r>
      <w:r w:rsidR="0051401C">
        <w:rPr>
          <w:color w:val="000000"/>
        </w:rPr>
        <w:t>l'Organisation de l'aviation civile internationale (OACI</w:t>
      </w:r>
      <w:r w:rsidR="009A4543">
        <w:rPr>
          <w:color w:val="000000"/>
        </w:rPr>
        <w:t>)</w:t>
      </w:r>
      <w:r w:rsidR="009A4543" w:rsidRPr="003369DD">
        <w:rPr>
          <w:rFonts w:asciiTheme="majorBidi" w:hAnsiTheme="majorBidi" w:cstheme="majorBidi"/>
          <w:szCs w:val="24"/>
        </w:rPr>
        <w:t xml:space="preserve"> et</w:t>
      </w:r>
      <w:r w:rsidRPr="003369DD">
        <w:rPr>
          <w:rFonts w:asciiTheme="majorBidi" w:hAnsiTheme="majorBidi" w:cstheme="majorBidi"/>
          <w:szCs w:val="24"/>
        </w:rPr>
        <w:t xml:space="preserve"> la ou les autres organisations compétentes, dans le cadre de leurs mandats respectifs;</w:t>
      </w:r>
    </w:p>
    <w:p w:rsidR="006E3787" w:rsidRPr="00730563" w:rsidRDefault="006E3787" w:rsidP="00425FA3">
      <w:pPr>
        <w:rPr>
          <w:lang w:val="fr-CH"/>
        </w:rPr>
      </w:pPr>
      <w:r w:rsidRPr="008D44F3">
        <w:rPr>
          <w:i/>
          <w:iCs/>
          <w:lang w:val="fr-CH"/>
        </w:rPr>
        <w:t>b)</w:t>
      </w:r>
      <w:r w:rsidRPr="00730563">
        <w:rPr>
          <w:lang w:val="fr-CH"/>
        </w:rPr>
        <w:tab/>
      </w:r>
      <w:r w:rsidR="00B241D2">
        <w:rPr>
          <w:color w:val="000000"/>
        </w:rPr>
        <w:t>qu'actuellement, l'</w:t>
      </w:r>
      <w:r w:rsidR="0051401C">
        <w:rPr>
          <w:color w:val="000000"/>
        </w:rPr>
        <w:t>OACI</w:t>
      </w:r>
      <w:r w:rsidR="00B241D2">
        <w:rPr>
          <w:color w:val="000000"/>
        </w:rPr>
        <w:t xml:space="preserve"> élabore un document sur le c</w:t>
      </w:r>
      <w:r w:rsidR="00B241D2" w:rsidRPr="00B241D2">
        <w:rPr>
          <w:color w:val="000000"/>
        </w:rPr>
        <w:t>oncept d</w:t>
      </w:r>
      <w:r w:rsidR="00B979D7">
        <w:rPr>
          <w:color w:val="000000"/>
        </w:rPr>
        <w:t>'</w:t>
      </w:r>
      <w:r w:rsidR="00B241D2">
        <w:rPr>
          <w:color w:val="000000"/>
        </w:rPr>
        <w:t>exploitation</w:t>
      </w:r>
      <w:r w:rsidR="00B241D2" w:rsidRPr="00B241D2">
        <w:rPr>
          <w:color w:val="000000"/>
        </w:rPr>
        <w:t xml:space="preserve"> du Système mondial de détresse et de sécurité aéronautique</w:t>
      </w:r>
      <w:r w:rsidR="003228B3">
        <w:rPr>
          <w:color w:val="000000"/>
        </w:rPr>
        <w:t xml:space="preserve"> </w:t>
      </w:r>
      <w:r w:rsidR="0051401C">
        <w:rPr>
          <w:color w:val="000000"/>
        </w:rPr>
        <w:t>(GADSS</w:t>
      </w:r>
      <w:r w:rsidR="009A4543">
        <w:rPr>
          <w:color w:val="000000"/>
        </w:rPr>
        <w:t>);</w:t>
      </w:r>
    </w:p>
    <w:p w:rsidR="006E3787" w:rsidRPr="00730563" w:rsidRDefault="006E3787" w:rsidP="009A4543">
      <w:pPr>
        <w:rPr>
          <w:lang w:val="fr-CH"/>
        </w:rPr>
      </w:pPr>
      <w:r w:rsidRPr="008D44F3">
        <w:rPr>
          <w:i/>
          <w:iCs/>
          <w:lang w:val="fr-CH"/>
        </w:rPr>
        <w:t>c)</w:t>
      </w:r>
      <w:r w:rsidRPr="00730563">
        <w:rPr>
          <w:lang w:val="fr-CH"/>
        </w:rPr>
        <w:tab/>
      </w:r>
      <w:r w:rsidR="00DF29DF" w:rsidRPr="00730563">
        <w:rPr>
          <w:lang w:val="fr-CH"/>
        </w:rPr>
        <w:t>que le</w:t>
      </w:r>
      <w:r w:rsidR="003228B3">
        <w:rPr>
          <w:lang w:val="fr-CH"/>
        </w:rPr>
        <w:t xml:space="preserve"> </w:t>
      </w:r>
      <w:r w:rsidRPr="00730563">
        <w:rPr>
          <w:lang w:val="fr-CH"/>
        </w:rPr>
        <w:t>GADSS</w:t>
      </w:r>
      <w:r w:rsidR="00DF29DF" w:rsidRPr="00730563">
        <w:rPr>
          <w:lang w:val="fr-CH"/>
        </w:rPr>
        <w:t xml:space="preserve"> </w:t>
      </w:r>
      <w:r w:rsidR="009A4543">
        <w:rPr>
          <w:lang w:val="fr-CH"/>
        </w:rPr>
        <w:t>a été conçu comme</w:t>
      </w:r>
      <w:r w:rsidR="00DF29DF" w:rsidRPr="00730563">
        <w:rPr>
          <w:lang w:val="fr-CH"/>
        </w:rPr>
        <w:t xml:space="preserve"> un système mondial intégré</w:t>
      </w:r>
      <w:r w:rsidRPr="00730563">
        <w:rPr>
          <w:lang w:val="fr-CH"/>
        </w:rPr>
        <w:t xml:space="preserve"> </w:t>
      </w:r>
      <w:r w:rsidR="0058140F" w:rsidRPr="00730563">
        <w:rPr>
          <w:lang w:val="fr-CH"/>
        </w:rPr>
        <w:t xml:space="preserve">visant à </w:t>
      </w:r>
      <w:r w:rsidR="009A4543">
        <w:rPr>
          <w:lang w:val="fr-CH"/>
        </w:rPr>
        <w:t>permettre l'identification et la localisation rapide d'</w:t>
      </w:r>
      <w:r w:rsidR="0058140F" w:rsidRPr="00730563">
        <w:rPr>
          <w:lang w:val="fr-CH"/>
        </w:rPr>
        <w:t>un aéronef pendant toutes les phases d</w:t>
      </w:r>
      <w:r w:rsidR="00B979D7">
        <w:rPr>
          <w:lang w:val="fr-CH"/>
        </w:rPr>
        <w:t>'</w:t>
      </w:r>
      <w:r w:rsidR="0058140F" w:rsidRPr="00730563">
        <w:rPr>
          <w:lang w:val="fr-CH"/>
        </w:rPr>
        <w:t>un vol ainsi que dans les situations de détresse et d</w:t>
      </w:r>
      <w:r w:rsidR="00B979D7">
        <w:rPr>
          <w:lang w:val="fr-CH"/>
        </w:rPr>
        <w:t>'</w:t>
      </w:r>
      <w:r w:rsidR="0058140F" w:rsidRPr="00730563">
        <w:rPr>
          <w:lang w:val="fr-CH"/>
        </w:rPr>
        <w:t>urgence</w:t>
      </w:r>
      <w:r w:rsidR="003228B3">
        <w:rPr>
          <w:lang w:val="fr-CH"/>
        </w:rPr>
        <w:t>;</w:t>
      </w:r>
    </w:p>
    <w:p w:rsidR="006E3787" w:rsidRPr="00730563" w:rsidRDefault="006E3787" w:rsidP="00425FA3">
      <w:pPr>
        <w:rPr>
          <w:lang w:val="fr-CH"/>
        </w:rPr>
      </w:pPr>
      <w:r w:rsidRPr="008D44F3">
        <w:rPr>
          <w:i/>
          <w:iCs/>
          <w:lang w:val="fr-CH"/>
        </w:rPr>
        <w:t>d)</w:t>
      </w:r>
      <w:r w:rsidRPr="00730563">
        <w:rPr>
          <w:lang w:val="fr-CH"/>
        </w:rPr>
        <w:tab/>
      </w:r>
      <w:r w:rsidR="0058140F" w:rsidRPr="00730563">
        <w:rPr>
          <w:lang w:val="fr-CH"/>
        </w:rPr>
        <w:t>que le</w:t>
      </w:r>
      <w:r w:rsidR="003228B3">
        <w:rPr>
          <w:lang w:val="fr-CH"/>
        </w:rPr>
        <w:t xml:space="preserve"> </w:t>
      </w:r>
      <w:r w:rsidRPr="00730563">
        <w:rPr>
          <w:lang w:val="fr-CH"/>
        </w:rPr>
        <w:t xml:space="preserve">GADSS </w:t>
      </w:r>
      <w:r w:rsidR="0058140F" w:rsidRPr="00730563">
        <w:rPr>
          <w:lang w:val="fr-CH"/>
        </w:rPr>
        <w:t>vise à appuyer les opérations de recherche et</w:t>
      </w:r>
      <w:r w:rsidR="003228B3">
        <w:rPr>
          <w:lang w:val="fr-CH"/>
        </w:rPr>
        <w:t xml:space="preserve"> </w:t>
      </w:r>
      <w:r w:rsidR="0058140F">
        <w:rPr>
          <w:color w:val="000000"/>
        </w:rPr>
        <w:t>de sauvetage</w:t>
      </w:r>
      <w:r w:rsidR="003228B3">
        <w:rPr>
          <w:lang w:val="fr-CH"/>
        </w:rPr>
        <w:t xml:space="preserve"> </w:t>
      </w:r>
      <w:r w:rsidR="0058140F" w:rsidRPr="00730563">
        <w:rPr>
          <w:lang w:val="fr-CH"/>
        </w:rPr>
        <w:t>et à faciliter</w:t>
      </w:r>
      <w:r w:rsidR="003228B3">
        <w:rPr>
          <w:lang w:val="fr-CH"/>
        </w:rPr>
        <w:t xml:space="preserve"> </w:t>
      </w:r>
      <w:r w:rsidR="00C06AC3" w:rsidRPr="00730563">
        <w:rPr>
          <w:lang w:val="fr-CH"/>
        </w:rPr>
        <w:t>la récupération des</w:t>
      </w:r>
      <w:r w:rsidR="003228B3">
        <w:rPr>
          <w:lang w:val="fr-CH"/>
        </w:rPr>
        <w:t xml:space="preserve"> </w:t>
      </w:r>
      <w:r w:rsidR="00C06AC3" w:rsidRPr="00730563">
        <w:rPr>
          <w:lang w:val="fr-CH"/>
        </w:rPr>
        <w:t>enregistreurs de données de vol</w:t>
      </w:r>
      <w:r w:rsidR="009A4543">
        <w:rPr>
          <w:lang w:val="fr-CH"/>
        </w:rPr>
        <w:t>;</w:t>
      </w:r>
    </w:p>
    <w:p w:rsidR="006E3787" w:rsidRPr="00730563" w:rsidRDefault="006E3787" w:rsidP="00425FA3">
      <w:pPr>
        <w:rPr>
          <w:lang w:val="fr-CH"/>
        </w:rPr>
      </w:pPr>
      <w:r w:rsidRPr="008D44F3">
        <w:rPr>
          <w:i/>
          <w:iCs/>
          <w:lang w:val="fr-CH"/>
        </w:rPr>
        <w:t>e)</w:t>
      </w:r>
      <w:r w:rsidRPr="00730563">
        <w:rPr>
          <w:lang w:val="fr-CH"/>
        </w:rPr>
        <w:tab/>
      </w:r>
      <w:r w:rsidR="0058140F" w:rsidRPr="00730563">
        <w:rPr>
          <w:lang w:val="fr-CH"/>
        </w:rPr>
        <w:t>que</w:t>
      </w:r>
      <w:r w:rsidR="003228B3">
        <w:rPr>
          <w:lang w:val="fr-CH"/>
        </w:rPr>
        <w:t xml:space="preserve"> </w:t>
      </w:r>
      <w:r w:rsidR="009A4543">
        <w:rPr>
          <w:lang w:val="fr-CH"/>
        </w:rPr>
        <w:t xml:space="preserve">le </w:t>
      </w:r>
      <w:r w:rsidRPr="00730563">
        <w:rPr>
          <w:lang w:val="fr-CH"/>
        </w:rPr>
        <w:t>GADSS</w:t>
      </w:r>
      <w:r w:rsidR="0058140F" w:rsidRPr="00730563">
        <w:rPr>
          <w:lang w:val="fr-CH"/>
        </w:rPr>
        <w:t xml:space="preserve"> nécessitera l</w:t>
      </w:r>
      <w:r w:rsidR="00B979D7">
        <w:rPr>
          <w:lang w:val="fr-CH"/>
        </w:rPr>
        <w:t>'</w:t>
      </w:r>
      <w:r w:rsidR="0058140F" w:rsidRPr="00730563">
        <w:rPr>
          <w:lang w:val="fr-CH"/>
        </w:rPr>
        <w:t>appui de plusieurs systèmes de communication, de radionavigation et de surveillance aéronautiques</w:t>
      </w:r>
      <w:r w:rsidR="003228B3">
        <w:rPr>
          <w:lang w:val="fr-CH"/>
        </w:rPr>
        <w:t>;</w:t>
      </w:r>
    </w:p>
    <w:p w:rsidR="006E3787" w:rsidRPr="00730563" w:rsidRDefault="006E3787" w:rsidP="00425FA3">
      <w:pPr>
        <w:rPr>
          <w:lang w:val="fr-CH"/>
        </w:rPr>
      </w:pPr>
      <w:r w:rsidRPr="008D44F3">
        <w:rPr>
          <w:i/>
          <w:iCs/>
          <w:lang w:val="fr-CH"/>
        </w:rPr>
        <w:t>f)</w:t>
      </w:r>
      <w:r w:rsidRPr="00730563">
        <w:rPr>
          <w:lang w:val="fr-CH"/>
        </w:rPr>
        <w:tab/>
      </w:r>
      <w:r w:rsidR="0058140F" w:rsidRPr="00730563">
        <w:rPr>
          <w:lang w:val="fr-CH"/>
        </w:rPr>
        <w:t>que</w:t>
      </w:r>
      <w:r w:rsidR="0001709B" w:rsidRPr="00730563">
        <w:rPr>
          <w:lang w:val="fr-CH"/>
        </w:rPr>
        <w:t xml:space="preserve"> la mise en œuvre du </w:t>
      </w:r>
      <w:r w:rsidR="0058140F" w:rsidRPr="00730563">
        <w:rPr>
          <w:lang w:val="fr-CH"/>
        </w:rPr>
        <w:t>GADSS</w:t>
      </w:r>
      <w:r w:rsidR="0001709B" w:rsidRPr="00730563">
        <w:rPr>
          <w:lang w:val="fr-CH"/>
        </w:rPr>
        <w:t xml:space="preserve"> doit garantir la protection</w:t>
      </w:r>
      <w:r w:rsidR="003228B3">
        <w:rPr>
          <w:lang w:val="fr-CH"/>
        </w:rPr>
        <w:t xml:space="preserve"> </w:t>
      </w:r>
      <w:r w:rsidR="0058140F" w:rsidRPr="00730563">
        <w:rPr>
          <w:lang w:val="fr-CH"/>
        </w:rPr>
        <w:t>de tous les systèmes d</w:t>
      </w:r>
      <w:r w:rsidR="00B979D7">
        <w:rPr>
          <w:lang w:val="fr-CH"/>
        </w:rPr>
        <w:t>'</w:t>
      </w:r>
      <w:r w:rsidR="0058140F" w:rsidRPr="00730563">
        <w:rPr>
          <w:lang w:val="fr-CH"/>
        </w:rPr>
        <w:t>exploitation existants et de toutes les applications existantes</w:t>
      </w:r>
      <w:r w:rsidR="0001709B" w:rsidRPr="00730563">
        <w:rPr>
          <w:lang w:val="fr-CH"/>
        </w:rPr>
        <w:t xml:space="preserve"> et ne doit imposer aucune contrainte</w:t>
      </w:r>
      <w:r w:rsidR="003228B3">
        <w:rPr>
          <w:lang w:val="fr-CH"/>
        </w:rPr>
        <w:t xml:space="preserve"> </w:t>
      </w:r>
      <w:r w:rsidR="0001709B" w:rsidRPr="00730563">
        <w:rPr>
          <w:lang w:val="fr-CH"/>
        </w:rPr>
        <w:t>additionnelle à ces systèmes et applications</w:t>
      </w:r>
      <w:r w:rsidR="009A4543">
        <w:rPr>
          <w:lang w:val="fr-CH"/>
        </w:rPr>
        <w:t>;</w:t>
      </w:r>
    </w:p>
    <w:p w:rsidR="006E3787" w:rsidRPr="00730563" w:rsidRDefault="006E3787" w:rsidP="00425FA3">
      <w:pPr>
        <w:rPr>
          <w:lang w:val="fr-CH"/>
        </w:rPr>
      </w:pPr>
      <w:r w:rsidRPr="008D44F3">
        <w:rPr>
          <w:i/>
          <w:iCs/>
          <w:lang w:val="fr-CH"/>
        </w:rPr>
        <w:t>g)</w:t>
      </w:r>
      <w:r w:rsidRPr="00730563">
        <w:rPr>
          <w:lang w:val="fr-CH"/>
        </w:rPr>
        <w:tab/>
      </w:r>
      <w:r w:rsidR="0001709B" w:rsidRPr="00730563">
        <w:rPr>
          <w:lang w:val="fr-CH"/>
        </w:rPr>
        <w:t>que l</w:t>
      </w:r>
      <w:r w:rsidR="00B979D7">
        <w:rPr>
          <w:lang w:val="fr-CH"/>
        </w:rPr>
        <w:t>'</w:t>
      </w:r>
      <w:r w:rsidR="0001709B" w:rsidRPr="00730563">
        <w:rPr>
          <w:lang w:val="fr-CH"/>
        </w:rPr>
        <w:t>OACI, dans la contribution qu</w:t>
      </w:r>
      <w:r w:rsidR="00B979D7">
        <w:rPr>
          <w:lang w:val="fr-CH"/>
        </w:rPr>
        <w:t>'</w:t>
      </w:r>
      <w:r w:rsidR="0001709B" w:rsidRPr="00730563">
        <w:rPr>
          <w:lang w:val="fr-CH"/>
        </w:rPr>
        <w:t>elle a</w:t>
      </w:r>
      <w:r w:rsidR="003228B3">
        <w:rPr>
          <w:lang w:val="fr-CH"/>
        </w:rPr>
        <w:t xml:space="preserve"> </w:t>
      </w:r>
      <w:r w:rsidR="00A42F73">
        <w:rPr>
          <w:lang w:val="fr-CH"/>
        </w:rPr>
        <w:t>soumise à la CMR-</w:t>
      </w:r>
      <w:r w:rsidR="0001709B" w:rsidRPr="00730563">
        <w:rPr>
          <w:lang w:val="fr-CH"/>
        </w:rPr>
        <w:t>15, a demandé</w:t>
      </w:r>
      <w:r w:rsidR="0001709B" w:rsidRPr="0001709B">
        <w:rPr>
          <w:color w:val="000000"/>
        </w:rPr>
        <w:t xml:space="preserve"> </w:t>
      </w:r>
      <w:r w:rsidR="009A4543">
        <w:rPr>
          <w:color w:val="000000"/>
        </w:rPr>
        <w:t xml:space="preserve">qu'un point soit inscrit </w:t>
      </w:r>
      <w:r w:rsidR="0001709B">
        <w:rPr>
          <w:color w:val="000000"/>
        </w:rPr>
        <w:t>à l'ordre du jour d'une conférence future</w:t>
      </w:r>
      <w:r w:rsidR="003228B3">
        <w:rPr>
          <w:lang w:val="fr-CH"/>
        </w:rPr>
        <w:t xml:space="preserve"> </w:t>
      </w:r>
      <w:r w:rsidR="0001709B" w:rsidRPr="00730563">
        <w:rPr>
          <w:lang w:val="fr-CH"/>
        </w:rPr>
        <w:t>pour répondre aux besoins du</w:t>
      </w:r>
      <w:r w:rsidR="003228B3">
        <w:rPr>
          <w:lang w:val="fr-CH"/>
        </w:rPr>
        <w:t xml:space="preserve"> </w:t>
      </w:r>
      <w:r w:rsidRPr="00730563">
        <w:rPr>
          <w:lang w:val="fr-CH"/>
        </w:rPr>
        <w:t>GADSS;</w:t>
      </w:r>
    </w:p>
    <w:p w:rsidR="006E3787" w:rsidRPr="00730563" w:rsidRDefault="006E3787" w:rsidP="00425FA3">
      <w:pPr>
        <w:rPr>
          <w:lang w:val="fr-CH"/>
        </w:rPr>
      </w:pPr>
      <w:r w:rsidRPr="008D44F3">
        <w:rPr>
          <w:i/>
          <w:iCs/>
          <w:lang w:val="fr-CH"/>
        </w:rPr>
        <w:t>h)</w:t>
      </w:r>
      <w:r w:rsidRPr="00730563">
        <w:rPr>
          <w:lang w:val="fr-CH"/>
        </w:rPr>
        <w:tab/>
      </w:r>
      <w:r w:rsidR="0001709B" w:rsidRPr="00730563">
        <w:rPr>
          <w:lang w:val="fr-CH"/>
        </w:rPr>
        <w:t>le rapport du Directeur du Bureau des radiocommunications sur le suivi des vols à</w:t>
      </w:r>
      <w:r w:rsidR="003228B3">
        <w:rPr>
          <w:lang w:val="fr-CH"/>
        </w:rPr>
        <w:t xml:space="preserve"> </w:t>
      </w:r>
      <w:r w:rsidR="0001709B" w:rsidRPr="00730563">
        <w:rPr>
          <w:lang w:val="fr-CH"/>
        </w:rPr>
        <w:t>l</w:t>
      </w:r>
      <w:r w:rsidR="00B979D7">
        <w:rPr>
          <w:lang w:val="fr-CH"/>
        </w:rPr>
        <w:t>'</w:t>
      </w:r>
      <w:r w:rsidR="0001709B" w:rsidRPr="00730563">
        <w:rPr>
          <w:lang w:val="fr-CH"/>
        </w:rPr>
        <w:t>échelle mondiale</w:t>
      </w:r>
      <w:r w:rsidR="003228B3">
        <w:rPr>
          <w:lang w:val="fr-CH"/>
        </w:rPr>
        <w:t xml:space="preserve"> </w:t>
      </w:r>
      <w:r w:rsidR="0001709B" w:rsidRPr="00730563">
        <w:rPr>
          <w:lang w:val="fr-CH"/>
        </w:rPr>
        <w:t>à l</w:t>
      </w:r>
      <w:r w:rsidR="00B979D7">
        <w:rPr>
          <w:lang w:val="fr-CH"/>
        </w:rPr>
        <w:t>'</w:t>
      </w:r>
      <w:r w:rsidR="0001709B" w:rsidRPr="00730563">
        <w:rPr>
          <w:lang w:val="fr-CH"/>
        </w:rPr>
        <w:t xml:space="preserve">intention de la </w:t>
      </w:r>
      <w:r w:rsidR="003228B3">
        <w:rPr>
          <w:lang w:val="fr-CH"/>
        </w:rPr>
        <w:t>CMR-15</w:t>
      </w:r>
      <w:r w:rsidRPr="00730563">
        <w:rPr>
          <w:lang w:val="fr-CH"/>
        </w:rPr>
        <w:t>,</w:t>
      </w:r>
    </w:p>
    <w:p w:rsidR="006E3787" w:rsidRPr="00730563" w:rsidRDefault="0001709B" w:rsidP="00425FA3">
      <w:pPr>
        <w:pStyle w:val="Call"/>
        <w:rPr>
          <w:lang w:val="fr-CH"/>
        </w:rPr>
      </w:pPr>
      <w:r w:rsidRPr="00730563">
        <w:rPr>
          <w:lang w:val="fr-CH"/>
        </w:rPr>
        <w:t xml:space="preserve">reconnaissant </w:t>
      </w:r>
    </w:p>
    <w:p w:rsidR="006E3787" w:rsidRPr="00730563" w:rsidRDefault="006E3787" w:rsidP="00425FA3">
      <w:pPr>
        <w:rPr>
          <w:lang w:val="fr-CH"/>
        </w:rPr>
      </w:pPr>
      <w:r w:rsidRPr="008D44F3">
        <w:rPr>
          <w:i/>
          <w:iCs/>
          <w:lang w:val="fr-CH"/>
        </w:rPr>
        <w:t>a)</w:t>
      </w:r>
      <w:r w:rsidRPr="00730563">
        <w:rPr>
          <w:lang w:val="fr-CH"/>
        </w:rPr>
        <w:tab/>
      </w:r>
      <w:r w:rsidR="0001709B" w:rsidRPr="00730563">
        <w:rPr>
          <w:lang w:val="fr-CH"/>
        </w:rPr>
        <w:t>que l</w:t>
      </w:r>
      <w:r w:rsidR="00B979D7">
        <w:rPr>
          <w:lang w:val="fr-CH"/>
        </w:rPr>
        <w:t>'</w:t>
      </w:r>
      <w:r w:rsidR="0001709B" w:rsidRPr="00730563">
        <w:rPr>
          <w:lang w:val="fr-CH"/>
        </w:rPr>
        <w:t>UIT a déjà indiqué qu</w:t>
      </w:r>
      <w:r w:rsidR="00B979D7">
        <w:rPr>
          <w:lang w:val="fr-CH"/>
        </w:rPr>
        <w:t>'</w:t>
      </w:r>
      <w:r w:rsidR="0001709B" w:rsidRPr="00730563">
        <w:rPr>
          <w:lang w:val="fr-CH"/>
        </w:rPr>
        <w:t xml:space="preserve">elle souhaitait </w:t>
      </w:r>
      <w:r w:rsidR="00A91F2A" w:rsidRPr="00730563">
        <w:rPr>
          <w:lang w:val="fr-CH"/>
        </w:rPr>
        <w:t>contribuer à l</w:t>
      </w:r>
      <w:r w:rsidR="00B979D7">
        <w:rPr>
          <w:lang w:val="fr-CH"/>
        </w:rPr>
        <w:t>'</w:t>
      </w:r>
      <w:r w:rsidR="00A91F2A" w:rsidRPr="00730563">
        <w:rPr>
          <w:lang w:val="fr-CH"/>
        </w:rPr>
        <w:t>adoption de mesures propres à accélérer la localisation et le sauvetage d</w:t>
      </w:r>
      <w:r w:rsidR="00B979D7">
        <w:rPr>
          <w:lang w:val="fr-CH"/>
        </w:rPr>
        <w:t>'</w:t>
      </w:r>
      <w:r w:rsidR="00A91F2A" w:rsidRPr="00730563">
        <w:rPr>
          <w:lang w:val="fr-CH"/>
        </w:rPr>
        <w:t>un aéronef</w:t>
      </w:r>
      <w:r w:rsidR="00A91F2A" w:rsidRPr="00A91F2A">
        <w:rPr>
          <w:color w:val="000000"/>
        </w:rPr>
        <w:t xml:space="preserve"> </w:t>
      </w:r>
      <w:r w:rsidR="00A91F2A">
        <w:rPr>
          <w:color w:val="000000"/>
        </w:rPr>
        <w:t>en détresse</w:t>
      </w:r>
      <w:r w:rsidR="004C65A2">
        <w:rPr>
          <w:color w:val="000000"/>
        </w:rPr>
        <w:t>,</w:t>
      </w:r>
      <w:r w:rsidR="00A91F2A">
        <w:rPr>
          <w:color w:val="000000"/>
        </w:rPr>
        <w:t xml:space="preserve"> en apportant les modifications nécessaires au Règlement des radiocommunications</w:t>
      </w:r>
      <w:r w:rsidR="003228B3">
        <w:rPr>
          <w:color w:val="000000"/>
        </w:rPr>
        <w:t>;</w:t>
      </w:r>
    </w:p>
    <w:p w:rsidR="00B31093" w:rsidRPr="008118A3" w:rsidRDefault="008118A3" w:rsidP="004C65A2">
      <w:pPr>
        <w:rPr>
          <w:lang w:val="fr-CH"/>
        </w:rPr>
      </w:pPr>
      <w:r w:rsidRPr="008D44F3">
        <w:rPr>
          <w:i/>
          <w:iCs/>
          <w:lang w:eastAsia="ja-JP"/>
        </w:rPr>
        <w:t>b)</w:t>
      </w:r>
      <w:r>
        <w:rPr>
          <w:lang w:eastAsia="ja-JP"/>
        </w:rPr>
        <w:tab/>
      </w:r>
      <w:r w:rsidRPr="0004184C">
        <w:rPr>
          <w:lang w:eastAsia="ja-JP"/>
        </w:rPr>
        <w:t xml:space="preserve">que </w:t>
      </w:r>
      <w:r w:rsidRPr="0004184C">
        <w:t>l'</w:t>
      </w:r>
      <w:r w:rsidR="00FE7E10">
        <w:t>Annexe</w:t>
      </w:r>
      <w:r w:rsidR="003228B3">
        <w:t xml:space="preserve"> </w:t>
      </w:r>
      <w:r w:rsidRPr="0004184C">
        <w:t>10 de la Convention relative à l'aviation civile internationale contient des normes et pratiques recommandées (SARP</w:t>
      </w:r>
      <w:r w:rsidR="004C65A2">
        <w:t>)</w:t>
      </w:r>
      <w:r w:rsidR="004C65A2" w:rsidRPr="0004184C">
        <w:t xml:space="preserve"> applicables</w:t>
      </w:r>
      <w:r w:rsidRPr="0004184C">
        <w:t xml:space="preserve"> aux systèmes de radionavigation aéronautique et de radiocommunication utilisés par l'aviation civile internationale</w:t>
      </w:r>
      <w:r>
        <w:rPr>
          <w:lang w:eastAsia="ja-JP"/>
        </w:rPr>
        <w:t>;</w:t>
      </w:r>
    </w:p>
    <w:p w:rsidR="00B31093" w:rsidRPr="00730563" w:rsidRDefault="008118A3" w:rsidP="00425FA3">
      <w:pPr>
        <w:rPr>
          <w:lang w:val="fr-CH"/>
        </w:rPr>
      </w:pPr>
      <w:r w:rsidRPr="008D44F3">
        <w:rPr>
          <w:i/>
          <w:iCs/>
          <w:lang w:val="fr-CH"/>
        </w:rPr>
        <w:t>c)</w:t>
      </w:r>
      <w:r w:rsidRPr="00730563">
        <w:rPr>
          <w:lang w:val="fr-CH"/>
        </w:rPr>
        <w:tab/>
      </w:r>
      <w:r w:rsidR="00A91F2A">
        <w:rPr>
          <w:color w:val="000000"/>
        </w:rPr>
        <w:t>que des études sur le suivi des vols à l'échelle mondiale</w:t>
      </w:r>
      <w:r w:rsidR="004C65A2">
        <w:rPr>
          <w:color w:val="000000"/>
        </w:rPr>
        <w:t>,</w:t>
      </w:r>
      <w:r w:rsidR="00A91F2A">
        <w:rPr>
          <w:color w:val="000000"/>
        </w:rPr>
        <w:t xml:space="preserve"> </w:t>
      </w:r>
      <w:r w:rsidR="00952A76">
        <w:rPr>
          <w:color w:val="000000"/>
        </w:rPr>
        <w:t>ou sur des parties de cette question</w:t>
      </w:r>
      <w:r w:rsidR="004C65A2">
        <w:rPr>
          <w:color w:val="000000"/>
        </w:rPr>
        <w:t>,</w:t>
      </w:r>
      <w:r w:rsidR="00952A76">
        <w:rPr>
          <w:color w:val="000000"/>
        </w:rPr>
        <w:t xml:space="preserve"> </w:t>
      </w:r>
      <w:r w:rsidR="00A91F2A">
        <w:rPr>
          <w:color w:val="000000"/>
        </w:rPr>
        <w:t>sont en cours au sein du Secteur des radiocommunications de l'UIT</w:t>
      </w:r>
      <w:r w:rsidR="003228B3">
        <w:rPr>
          <w:color w:val="000000"/>
        </w:rPr>
        <w:t xml:space="preserve"> </w:t>
      </w:r>
      <w:r w:rsidRPr="00730563">
        <w:rPr>
          <w:lang w:val="fr-CH"/>
        </w:rPr>
        <w:t>(</w:t>
      </w:r>
      <w:r w:rsidR="002E2C8C" w:rsidRPr="00730563">
        <w:rPr>
          <w:lang w:val="fr-CH"/>
        </w:rPr>
        <w:t>UIT</w:t>
      </w:r>
      <w:r w:rsidR="00BF2826">
        <w:rPr>
          <w:lang w:val="fr-CH"/>
        </w:rPr>
        <w:t>-</w:t>
      </w:r>
      <w:r w:rsidRPr="00730563">
        <w:rPr>
          <w:lang w:val="fr-CH"/>
        </w:rPr>
        <w:t>R);</w:t>
      </w:r>
    </w:p>
    <w:p w:rsidR="00B31093" w:rsidRPr="008118A3" w:rsidRDefault="008118A3" w:rsidP="00425FA3">
      <w:pPr>
        <w:rPr>
          <w:lang w:val="fr-CH"/>
        </w:rPr>
      </w:pPr>
      <w:r w:rsidRPr="008D44F3">
        <w:rPr>
          <w:i/>
          <w:iCs/>
          <w:lang w:val="fr-CH"/>
        </w:rPr>
        <w:t>d)</w:t>
      </w:r>
      <w:r w:rsidRPr="003369DD">
        <w:rPr>
          <w:rFonts w:asciiTheme="majorBidi" w:hAnsiTheme="majorBidi" w:cstheme="majorBidi"/>
          <w:i/>
          <w:iCs/>
          <w:szCs w:val="24"/>
        </w:rPr>
        <w:tab/>
      </w:r>
      <w:r w:rsidRPr="003369DD">
        <w:rPr>
          <w:rFonts w:asciiTheme="majorBidi" w:hAnsiTheme="majorBidi" w:cstheme="majorBidi"/>
          <w:szCs w:val="24"/>
        </w:rPr>
        <w:t>que l'UIT et l'OACI ont conclu en 2012 un mémorandum d'accord, afin d'établir un cadre pour le renforcement de la coopération entre les deux parties</w:t>
      </w:r>
      <w:r w:rsidRPr="003369DD">
        <w:rPr>
          <w:rFonts w:asciiTheme="majorBidi" w:hAnsiTheme="majorBidi" w:cstheme="majorBidi"/>
          <w:i/>
          <w:iCs/>
          <w:szCs w:val="24"/>
        </w:rPr>
        <w:t>,</w:t>
      </w:r>
    </w:p>
    <w:p w:rsidR="006B5418" w:rsidRPr="00730563" w:rsidRDefault="006B5418" w:rsidP="00425FA3">
      <w:pPr>
        <w:pStyle w:val="Call"/>
        <w:rPr>
          <w:lang w:val="fr-CH"/>
        </w:rPr>
      </w:pPr>
      <w:r w:rsidRPr="00730563">
        <w:rPr>
          <w:lang w:val="fr-CH"/>
        </w:rPr>
        <w:lastRenderedPageBreak/>
        <w:t>not</w:t>
      </w:r>
      <w:r w:rsidR="00952A76" w:rsidRPr="00730563">
        <w:rPr>
          <w:lang w:val="fr-CH"/>
        </w:rPr>
        <w:t>ant</w:t>
      </w:r>
    </w:p>
    <w:p w:rsidR="006B5418" w:rsidRPr="00730563" w:rsidRDefault="006B5418" w:rsidP="008D44F3">
      <w:pPr>
        <w:rPr>
          <w:lang w:val="fr-CH"/>
        </w:rPr>
      </w:pPr>
      <w:r w:rsidRPr="008D44F3">
        <w:rPr>
          <w:i/>
          <w:iCs/>
          <w:lang w:val="fr-CH"/>
        </w:rPr>
        <w:t>a)</w:t>
      </w:r>
      <w:r w:rsidRPr="00730563">
        <w:rPr>
          <w:lang w:val="fr-CH"/>
        </w:rPr>
        <w:tab/>
      </w:r>
      <w:r w:rsidR="00952A76" w:rsidRPr="00730563">
        <w:rPr>
          <w:lang w:val="fr-CH"/>
        </w:rPr>
        <w:t>que le</w:t>
      </w:r>
      <w:r w:rsidR="003228B3">
        <w:rPr>
          <w:lang w:val="fr-CH"/>
        </w:rPr>
        <w:t xml:space="preserve"> </w:t>
      </w:r>
      <w:r w:rsidRPr="00730563">
        <w:rPr>
          <w:lang w:val="fr-CH"/>
        </w:rPr>
        <w:t xml:space="preserve">GADSS </w:t>
      </w:r>
      <w:r w:rsidR="00952A76" w:rsidRPr="00730563">
        <w:rPr>
          <w:lang w:val="fr-CH"/>
        </w:rPr>
        <w:t>doit encore être défini de façon plus détaillée, étant donné qu</w:t>
      </w:r>
      <w:r w:rsidR="00B979D7">
        <w:rPr>
          <w:lang w:val="fr-CH"/>
        </w:rPr>
        <w:t>'</w:t>
      </w:r>
      <w:r w:rsidR="00952A76" w:rsidRPr="00730563">
        <w:rPr>
          <w:lang w:val="fr-CH"/>
        </w:rPr>
        <w:t>il sera mis en œuvre de manière évolutive</w:t>
      </w:r>
      <w:r w:rsidR="004C65A2">
        <w:rPr>
          <w:lang w:val="fr-CH"/>
        </w:rPr>
        <w:t>,</w:t>
      </w:r>
      <w:r w:rsidR="00952A76" w:rsidRPr="00730563">
        <w:rPr>
          <w:lang w:val="fr-CH"/>
        </w:rPr>
        <w:t xml:space="preserve"> et qu</w:t>
      </w:r>
      <w:r w:rsidR="00B979D7">
        <w:rPr>
          <w:lang w:val="fr-CH"/>
        </w:rPr>
        <w:t>'</w:t>
      </w:r>
      <w:r w:rsidR="00952A76" w:rsidRPr="00730563">
        <w:rPr>
          <w:lang w:val="fr-CH"/>
        </w:rPr>
        <w:t>à ce titre, il est prévu qu</w:t>
      </w:r>
      <w:r w:rsidR="00B979D7">
        <w:rPr>
          <w:lang w:val="fr-CH"/>
        </w:rPr>
        <w:t>'</w:t>
      </w:r>
      <w:r w:rsidR="00952A76" w:rsidRPr="00730563">
        <w:rPr>
          <w:lang w:val="fr-CH"/>
        </w:rPr>
        <w:t xml:space="preserve">il </w:t>
      </w:r>
      <w:r w:rsidR="004C65A2">
        <w:rPr>
          <w:lang w:val="fr-CH"/>
        </w:rPr>
        <w:t>faudra</w:t>
      </w:r>
      <w:r w:rsidR="00B1634C">
        <w:rPr>
          <w:lang w:val="fr-CH"/>
        </w:rPr>
        <w:t xml:space="preserve"> </w:t>
      </w:r>
      <w:r w:rsidR="004C65A2">
        <w:rPr>
          <w:lang w:val="fr-CH"/>
        </w:rPr>
        <w:t>à terme</w:t>
      </w:r>
      <w:r w:rsidR="00952A76" w:rsidRPr="00730563">
        <w:rPr>
          <w:lang w:val="fr-CH"/>
        </w:rPr>
        <w:t xml:space="preserve"> modifier le Règlement des radiocommunications afin</w:t>
      </w:r>
      <w:r w:rsidR="003228B3">
        <w:rPr>
          <w:lang w:val="fr-CH"/>
        </w:rPr>
        <w:t xml:space="preserve"> </w:t>
      </w:r>
      <w:r w:rsidR="00952A76" w:rsidRPr="00730563">
        <w:rPr>
          <w:lang w:val="fr-CH"/>
        </w:rPr>
        <w:t>de faciliter la mise en œuvre des systèmes utilisés par le</w:t>
      </w:r>
      <w:r w:rsidR="003228B3">
        <w:rPr>
          <w:lang w:val="fr-CH"/>
        </w:rPr>
        <w:t xml:space="preserve"> </w:t>
      </w:r>
      <w:r w:rsidRPr="00730563">
        <w:rPr>
          <w:lang w:val="fr-CH"/>
        </w:rPr>
        <w:t>GADSS;</w:t>
      </w:r>
    </w:p>
    <w:p w:rsidR="006B5418" w:rsidRPr="00730563" w:rsidRDefault="006B5418" w:rsidP="00425FA3">
      <w:pPr>
        <w:rPr>
          <w:lang w:val="fr-CH"/>
        </w:rPr>
      </w:pPr>
      <w:r w:rsidRPr="008D44F3">
        <w:rPr>
          <w:i/>
          <w:iCs/>
          <w:lang w:val="fr-CH"/>
        </w:rPr>
        <w:t>b)</w:t>
      </w:r>
      <w:r w:rsidRPr="00730563">
        <w:rPr>
          <w:lang w:val="fr-CH"/>
        </w:rPr>
        <w:tab/>
      </w:r>
      <w:r w:rsidR="00952A76" w:rsidRPr="00730563">
        <w:rPr>
          <w:lang w:val="fr-CH"/>
        </w:rPr>
        <w:t>que le concept d</w:t>
      </w:r>
      <w:r w:rsidR="00B979D7">
        <w:rPr>
          <w:lang w:val="fr-CH"/>
        </w:rPr>
        <w:t>'</w:t>
      </w:r>
      <w:r w:rsidR="00952A76" w:rsidRPr="00730563">
        <w:rPr>
          <w:lang w:val="fr-CH"/>
        </w:rPr>
        <w:t xml:space="preserve">exploitation du </w:t>
      </w:r>
      <w:r w:rsidRPr="00730563">
        <w:rPr>
          <w:lang w:val="fr-CH"/>
        </w:rPr>
        <w:t xml:space="preserve">GADSS </w:t>
      </w:r>
      <w:r w:rsidR="00952A76" w:rsidRPr="00730563">
        <w:rPr>
          <w:lang w:val="fr-CH"/>
        </w:rPr>
        <w:t xml:space="preserve">ne prescrit aucune solution technique particulière pour le suivi des vols, mais prévoit en </w:t>
      </w:r>
      <w:r w:rsidR="00B1634C">
        <w:rPr>
          <w:lang w:val="fr-CH"/>
        </w:rPr>
        <w:t>re</w:t>
      </w:r>
      <w:r w:rsidR="00F10722">
        <w:rPr>
          <w:lang w:val="fr-CH"/>
        </w:rPr>
        <w:t>v</w:t>
      </w:r>
      <w:r w:rsidR="00952A76" w:rsidRPr="00730563">
        <w:rPr>
          <w:lang w:val="fr-CH"/>
        </w:rPr>
        <w:t>anche des scénarios qui pourront être utilisés pour vérifier si une</w:t>
      </w:r>
      <w:r w:rsidR="004C65A2">
        <w:rPr>
          <w:lang w:val="fr-CH"/>
        </w:rPr>
        <w:t xml:space="preserve"> solution donnée est conforme à ce</w:t>
      </w:r>
      <w:r w:rsidR="00952A76" w:rsidRPr="00730563">
        <w:rPr>
          <w:lang w:val="fr-CH"/>
        </w:rPr>
        <w:t xml:space="preserve"> concept </w:t>
      </w:r>
      <w:r w:rsidR="00CF6BD7" w:rsidRPr="00730563">
        <w:rPr>
          <w:lang w:val="fr-CH"/>
        </w:rPr>
        <w:t>sur la base de critères d</w:t>
      </w:r>
      <w:r w:rsidR="00B979D7">
        <w:rPr>
          <w:lang w:val="fr-CH"/>
        </w:rPr>
        <w:t>'</w:t>
      </w:r>
      <w:r w:rsidR="00CF6BD7" w:rsidRPr="00730563">
        <w:rPr>
          <w:lang w:val="fr-CH"/>
        </w:rPr>
        <w:t>efficacité</w:t>
      </w:r>
      <w:r w:rsidR="003228B3">
        <w:rPr>
          <w:lang w:val="fr-CH"/>
        </w:rPr>
        <w:t>,</w:t>
      </w:r>
    </w:p>
    <w:p w:rsidR="006B5418" w:rsidRPr="00730563" w:rsidRDefault="006B5418" w:rsidP="00425FA3">
      <w:pPr>
        <w:pStyle w:val="Call"/>
        <w:rPr>
          <w:lang w:val="fr-CH"/>
        </w:rPr>
      </w:pPr>
      <w:r w:rsidRPr="00730563">
        <w:rPr>
          <w:lang w:val="fr-CH"/>
        </w:rPr>
        <w:t>invite</w:t>
      </w:r>
      <w:r w:rsidR="003228B3">
        <w:rPr>
          <w:lang w:val="fr-CH"/>
        </w:rPr>
        <w:t xml:space="preserve"> </w:t>
      </w:r>
      <w:r w:rsidR="00CF6BD7" w:rsidRPr="00730563">
        <w:rPr>
          <w:lang w:val="fr-CH"/>
        </w:rPr>
        <w:t>l</w:t>
      </w:r>
      <w:r w:rsidR="00B979D7">
        <w:rPr>
          <w:lang w:val="fr-CH"/>
        </w:rPr>
        <w:t>'</w:t>
      </w:r>
      <w:r w:rsidR="002E2C8C" w:rsidRPr="00730563">
        <w:rPr>
          <w:lang w:val="fr-CH"/>
        </w:rPr>
        <w:t>UIT</w:t>
      </w:r>
      <w:r w:rsidR="00BF2826">
        <w:rPr>
          <w:lang w:val="fr-CH"/>
        </w:rPr>
        <w:t>-</w:t>
      </w:r>
      <w:r w:rsidRPr="00730563">
        <w:rPr>
          <w:lang w:val="fr-CH"/>
        </w:rPr>
        <w:t>R</w:t>
      </w:r>
    </w:p>
    <w:p w:rsidR="006B5418" w:rsidRPr="00730563" w:rsidRDefault="006B5418" w:rsidP="00425FA3">
      <w:pPr>
        <w:rPr>
          <w:lang w:val="fr-CH"/>
        </w:rPr>
      </w:pPr>
      <w:r w:rsidRPr="00730563">
        <w:rPr>
          <w:lang w:val="fr-CH"/>
        </w:rPr>
        <w:t>1</w:t>
      </w:r>
      <w:r w:rsidRPr="00730563">
        <w:rPr>
          <w:lang w:val="fr-CH"/>
        </w:rPr>
        <w:tab/>
      </w:r>
      <w:r w:rsidR="00CF6BD7" w:rsidRPr="00730563">
        <w:rPr>
          <w:lang w:val="fr-CH"/>
        </w:rPr>
        <w:t xml:space="preserve">à procéder, à temps pour la </w:t>
      </w:r>
      <w:r w:rsidR="00144B80">
        <w:rPr>
          <w:lang w:val="fr-CH"/>
        </w:rPr>
        <w:t>CMR-19</w:t>
      </w:r>
      <w:r w:rsidR="00CF6BD7" w:rsidRPr="00730563">
        <w:rPr>
          <w:lang w:val="fr-CH"/>
        </w:rPr>
        <w:t>, aux études nécessaires afin de faciliter la mise en œuvre du</w:t>
      </w:r>
      <w:r w:rsidR="003228B3">
        <w:rPr>
          <w:lang w:val="fr-CH"/>
        </w:rPr>
        <w:t xml:space="preserve"> </w:t>
      </w:r>
      <w:r w:rsidRPr="00730563">
        <w:rPr>
          <w:lang w:val="fr-CH"/>
        </w:rPr>
        <w:t>GADSS;</w:t>
      </w:r>
    </w:p>
    <w:p w:rsidR="006B5418" w:rsidRPr="00730563" w:rsidRDefault="006B5418" w:rsidP="00425FA3">
      <w:pPr>
        <w:rPr>
          <w:lang w:val="fr-CH"/>
        </w:rPr>
      </w:pPr>
      <w:r w:rsidRPr="00730563">
        <w:rPr>
          <w:lang w:val="fr-CH"/>
        </w:rPr>
        <w:t>2</w:t>
      </w:r>
      <w:r w:rsidRPr="00730563">
        <w:rPr>
          <w:lang w:val="fr-CH"/>
        </w:rPr>
        <w:tab/>
      </w:r>
      <w:r w:rsidR="004C65A2">
        <w:rPr>
          <w:lang w:val="fr-CH"/>
        </w:rPr>
        <w:t>à mettre en évidence</w:t>
      </w:r>
      <w:r w:rsidR="008D44F3">
        <w:rPr>
          <w:lang w:val="fr-CH"/>
        </w:rPr>
        <w:t>,</w:t>
      </w:r>
      <w:r w:rsidR="004C65A2">
        <w:rPr>
          <w:lang w:val="fr-CH"/>
        </w:rPr>
        <w:t xml:space="preserve"> à</w:t>
      </w:r>
      <w:r w:rsidR="00CF6BD7" w:rsidRPr="00730563">
        <w:rPr>
          <w:lang w:val="fr-CH"/>
        </w:rPr>
        <w:t xml:space="preserve"> temps pour la </w:t>
      </w:r>
      <w:r w:rsidR="00144B80">
        <w:rPr>
          <w:lang w:val="fr-CH"/>
        </w:rPr>
        <w:t>CMR-19</w:t>
      </w:r>
      <w:r w:rsidR="00CF6BD7" w:rsidRPr="00730563">
        <w:rPr>
          <w:lang w:val="fr-CH"/>
        </w:rPr>
        <w:t xml:space="preserve">, les éléments du </w:t>
      </w:r>
      <w:r w:rsidRPr="00730563">
        <w:rPr>
          <w:lang w:val="fr-CH"/>
        </w:rPr>
        <w:t xml:space="preserve">GADSS </w:t>
      </w:r>
      <w:r w:rsidR="004C65A2">
        <w:rPr>
          <w:lang w:val="fr-CH"/>
        </w:rPr>
        <w:t>nécessitant</w:t>
      </w:r>
      <w:r w:rsidR="00CF6BD7" w:rsidRPr="00730563">
        <w:rPr>
          <w:lang w:val="fr-CH"/>
        </w:rPr>
        <w:t xml:space="preserve"> des études suivies au sein du Secteur des radiocommunications de l</w:t>
      </w:r>
      <w:r w:rsidR="00B979D7">
        <w:rPr>
          <w:lang w:val="fr-CH"/>
        </w:rPr>
        <w:t>'</w:t>
      </w:r>
      <w:r w:rsidR="00CF6BD7" w:rsidRPr="00730563">
        <w:rPr>
          <w:lang w:val="fr-CH"/>
        </w:rPr>
        <w:t>UIT</w:t>
      </w:r>
      <w:r w:rsidR="003228B3">
        <w:rPr>
          <w:lang w:val="fr-CH"/>
        </w:rPr>
        <w:t>,</w:t>
      </w:r>
    </w:p>
    <w:p w:rsidR="006B5418" w:rsidRPr="00730563" w:rsidRDefault="00CF6BD7" w:rsidP="00425FA3">
      <w:pPr>
        <w:pStyle w:val="Call"/>
        <w:rPr>
          <w:lang w:val="fr-CH"/>
        </w:rPr>
      </w:pPr>
      <w:r w:rsidRPr="00730563">
        <w:rPr>
          <w:lang w:val="fr-CH"/>
        </w:rPr>
        <w:t>décide d</w:t>
      </w:r>
      <w:r w:rsidR="00B979D7">
        <w:rPr>
          <w:lang w:val="fr-CH"/>
        </w:rPr>
        <w:t>'</w:t>
      </w:r>
      <w:r w:rsidRPr="00730563">
        <w:rPr>
          <w:lang w:val="fr-CH"/>
        </w:rPr>
        <w:t xml:space="preserve">inviter la </w:t>
      </w:r>
      <w:r w:rsidR="00F50032">
        <w:rPr>
          <w:lang w:val="fr-CH"/>
        </w:rPr>
        <w:t>CMR</w:t>
      </w:r>
      <w:r w:rsidR="006B5418" w:rsidRPr="00730563">
        <w:rPr>
          <w:lang w:val="fr-CH"/>
        </w:rPr>
        <w:t>-19</w:t>
      </w:r>
    </w:p>
    <w:p w:rsidR="006B5418" w:rsidRPr="00730563" w:rsidRDefault="00CF6BD7" w:rsidP="00425FA3">
      <w:pPr>
        <w:rPr>
          <w:lang w:val="fr-CH"/>
        </w:rPr>
      </w:pPr>
      <w:r w:rsidRPr="00730563">
        <w:rPr>
          <w:lang w:val="fr-CH"/>
        </w:rPr>
        <w:t>à examiner les résultats des études et à prendre les mesures voulues</w:t>
      </w:r>
      <w:r w:rsidR="003228B3">
        <w:rPr>
          <w:lang w:val="fr-CH"/>
        </w:rPr>
        <w:t>,</w:t>
      </w:r>
    </w:p>
    <w:p w:rsidR="006B5418" w:rsidRPr="00730563" w:rsidRDefault="00CF6BD7" w:rsidP="00425FA3">
      <w:pPr>
        <w:pStyle w:val="Call"/>
        <w:rPr>
          <w:lang w:val="fr-CH"/>
        </w:rPr>
      </w:pPr>
      <w:r w:rsidRPr="00730563">
        <w:rPr>
          <w:lang w:val="fr-CH"/>
        </w:rPr>
        <w:t>invite l</w:t>
      </w:r>
      <w:r w:rsidR="00B979D7">
        <w:rPr>
          <w:lang w:val="fr-CH"/>
        </w:rPr>
        <w:t>'</w:t>
      </w:r>
      <w:r w:rsidRPr="00730563">
        <w:rPr>
          <w:lang w:val="fr-CH"/>
        </w:rPr>
        <w:t>OACI</w:t>
      </w:r>
      <w:r w:rsidR="003228B3">
        <w:rPr>
          <w:lang w:val="fr-CH"/>
        </w:rPr>
        <w:t xml:space="preserve"> </w:t>
      </w:r>
    </w:p>
    <w:p w:rsidR="006B5418" w:rsidRPr="00730563" w:rsidRDefault="00CF6BD7" w:rsidP="00425FA3">
      <w:pPr>
        <w:rPr>
          <w:lang w:val="fr-CH"/>
        </w:rPr>
      </w:pPr>
      <w:r w:rsidRPr="00730563">
        <w:rPr>
          <w:lang w:val="fr-CH"/>
        </w:rPr>
        <w:t>à participer aux études</w:t>
      </w:r>
      <w:r w:rsidR="004C65A2">
        <w:rPr>
          <w:lang w:val="fr-CH"/>
        </w:rPr>
        <w:t>,</w:t>
      </w:r>
    </w:p>
    <w:p w:rsidR="006B5418" w:rsidRPr="00730563" w:rsidRDefault="00CF6BD7" w:rsidP="00425FA3">
      <w:pPr>
        <w:pStyle w:val="Call"/>
        <w:rPr>
          <w:lang w:val="fr-CH"/>
        </w:rPr>
      </w:pPr>
      <w:r w:rsidRPr="00730563">
        <w:rPr>
          <w:lang w:val="fr-CH"/>
        </w:rPr>
        <w:t>charge le Secrétaire général</w:t>
      </w:r>
      <w:r w:rsidR="003228B3">
        <w:rPr>
          <w:lang w:val="fr-CH"/>
        </w:rPr>
        <w:t xml:space="preserve"> </w:t>
      </w:r>
    </w:p>
    <w:p w:rsidR="006B5418" w:rsidRDefault="00CF6BD7" w:rsidP="004C65A2">
      <w:pPr>
        <w:rPr>
          <w:lang w:val="fr-CH"/>
        </w:rPr>
      </w:pPr>
      <w:r w:rsidRPr="00730563">
        <w:rPr>
          <w:lang w:val="fr-CH"/>
        </w:rPr>
        <w:t>de porter la présente Résolution à l</w:t>
      </w:r>
      <w:r w:rsidR="00B979D7">
        <w:rPr>
          <w:lang w:val="fr-CH"/>
        </w:rPr>
        <w:t>'</w:t>
      </w:r>
      <w:r w:rsidRPr="00730563">
        <w:rPr>
          <w:lang w:val="fr-CH"/>
        </w:rPr>
        <w:t>attention de l</w:t>
      </w:r>
      <w:r w:rsidR="00B979D7">
        <w:rPr>
          <w:lang w:val="fr-CH"/>
        </w:rPr>
        <w:t>'</w:t>
      </w:r>
      <w:r w:rsidRPr="00730563">
        <w:rPr>
          <w:lang w:val="fr-CH"/>
        </w:rPr>
        <w:t>OACI</w:t>
      </w:r>
      <w:r w:rsidR="004C65A2">
        <w:rPr>
          <w:lang w:val="fr-CH"/>
        </w:rPr>
        <w:t>.</w:t>
      </w:r>
    </w:p>
    <w:p w:rsidR="00F27EE5" w:rsidRPr="00730563" w:rsidRDefault="00F27EE5" w:rsidP="00F27EE5">
      <w:pPr>
        <w:pStyle w:val="Reasons"/>
        <w:rPr>
          <w:lang w:val="fr-CH"/>
        </w:rPr>
      </w:pPr>
    </w:p>
    <w:p w:rsidR="006B5418" w:rsidRPr="00730563" w:rsidRDefault="006B5418" w:rsidP="00425FA3">
      <w:pPr>
        <w:tabs>
          <w:tab w:val="clear" w:pos="1134"/>
          <w:tab w:val="clear" w:pos="1871"/>
          <w:tab w:val="clear" w:pos="2268"/>
        </w:tabs>
        <w:overflowPunct/>
        <w:autoSpaceDE/>
        <w:autoSpaceDN/>
        <w:adjustRightInd/>
        <w:spacing w:before="0"/>
        <w:textAlignment w:val="auto"/>
        <w:rPr>
          <w:lang w:val="fr-CH"/>
        </w:rPr>
      </w:pPr>
      <w:r w:rsidRPr="00730563">
        <w:rPr>
          <w:lang w:val="fr-CH"/>
        </w:rPr>
        <w:br w:type="page"/>
      </w:r>
    </w:p>
    <w:p w:rsidR="00F67632" w:rsidRDefault="00F67632" w:rsidP="00425FA3">
      <w:pPr>
        <w:pStyle w:val="Appendixtitle"/>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144B80">
        <w:rPr>
          <w:lang w:val="fr-CH"/>
        </w:rPr>
        <w:t>CMR-19</w:t>
      </w:r>
      <w:r w:rsidR="003228B3">
        <w:rPr>
          <w:lang w:val="fr-CH"/>
        </w:rPr>
        <w:t xml:space="preserve"> </w:t>
      </w:r>
    </w:p>
    <w:p w:rsidR="000F13C2" w:rsidRPr="000F13C2" w:rsidRDefault="000F13C2" w:rsidP="000F13C2">
      <w:pPr>
        <w:pStyle w:val="Normalaftertitle"/>
        <w:rPr>
          <w:lang w:val="fr-CH"/>
        </w:rPr>
      </w:pP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21"/>
        <w:gridCol w:w="5100"/>
      </w:tblGrid>
      <w:tr w:rsidR="008D44F3" w:rsidTr="008653E6">
        <w:tc>
          <w:tcPr>
            <w:tcW w:w="1418" w:type="dxa"/>
            <w:tcBorders>
              <w:top w:val="nil"/>
              <w:left w:val="nil"/>
              <w:bottom w:val="nil"/>
              <w:right w:val="nil"/>
            </w:tcBorders>
          </w:tcPr>
          <w:p w:rsidR="008D44F3" w:rsidRPr="00FD175A" w:rsidRDefault="008D44F3" w:rsidP="008653E6">
            <w:pPr>
              <w:tabs>
                <w:tab w:val="clear" w:pos="1871"/>
                <w:tab w:val="clear" w:pos="2268"/>
                <w:tab w:val="left" w:pos="6123"/>
              </w:tabs>
              <w:spacing w:before="60"/>
              <w:rPr>
                <w:b/>
                <w:bCs/>
                <w:i/>
                <w:iCs/>
                <w:lang w:val="fr-CH"/>
              </w:rPr>
            </w:pPr>
            <w:r w:rsidRPr="00FD175A">
              <w:rPr>
                <w:b/>
                <w:bCs/>
                <w:i/>
                <w:iCs/>
                <w:lang w:val="fr-CH"/>
              </w:rPr>
              <w:t>Objet:</w:t>
            </w:r>
          </w:p>
        </w:tc>
        <w:tc>
          <w:tcPr>
            <w:tcW w:w="8221" w:type="dxa"/>
            <w:gridSpan w:val="2"/>
            <w:tcBorders>
              <w:top w:val="nil"/>
              <w:left w:val="nil"/>
              <w:bottom w:val="nil"/>
              <w:right w:val="nil"/>
            </w:tcBorders>
          </w:tcPr>
          <w:p w:rsidR="008D44F3" w:rsidRDefault="008D44F3" w:rsidP="008653E6">
            <w:pPr>
              <w:tabs>
                <w:tab w:val="clear" w:pos="1871"/>
                <w:tab w:val="clear" w:pos="2268"/>
                <w:tab w:val="left" w:pos="6123"/>
              </w:tabs>
              <w:spacing w:before="60"/>
              <w:rPr>
                <w:b/>
                <w:bCs/>
                <w:i/>
                <w:iCs/>
                <w:lang w:val="fr-CH"/>
              </w:rPr>
            </w:pPr>
            <w:r w:rsidRPr="00730563">
              <w:rPr>
                <w:lang w:val="fr-CH"/>
              </w:rPr>
              <w:t>Dispositions réglementaires relatives à l</w:t>
            </w:r>
            <w:r>
              <w:rPr>
                <w:lang w:val="fr-CH"/>
              </w:rPr>
              <w:t>'</w:t>
            </w:r>
            <w:r w:rsidRPr="00730563">
              <w:rPr>
                <w:lang w:val="fr-CH"/>
              </w:rPr>
              <w:t>utilisation opérationnelle du Système mondial de détresse et de sécurité aéronautique</w:t>
            </w:r>
          </w:p>
        </w:tc>
      </w:tr>
      <w:tr w:rsidR="008D44F3" w:rsidTr="008653E6">
        <w:tc>
          <w:tcPr>
            <w:tcW w:w="1418" w:type="dxa"/>
            <w:tcBorders>
              <w:top w:val="nil"/>
              <w:left w:val="nil"/>
              <w:bottom w:val="single" w:sz="4" w:space="0" w:color="auto"/>
              <w:right w:val="nil"/>
            </w:tcBorders>
          </w:tcPr>
          <w:p w:rsidR="008D44F3" w:rsidRPr="00FD175A" w:rsidRDefault="008D44F3" w:rsidP="008653E6">
            <w:pPr>
              <w:tabs>
                <w:tab w:val="clear" w:pos="1871"/>
                <w:tab w:val="clear" w:pos="2268"/>
                <w:tab w:val="left" w:pos="6123"/>
              </w:tabs>
              <w:spacing w:before="80"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8D44F3" w:rsidRDefault="008D44F3" w:rsidP="008653E6">
            <w:pPr>
              <w:tabs>
                <w:tab w:val="clear" w:pos="1871"/>
                <w:tab w:val="clear" w:pos="2268"/>
                <w:tab w:val="left" w:pos="6123"/>
              </w:tabs>
              <w:spacing w:before="80"/>
              <w:rPr>
                <w:b/>
                <w:bCs/>
                <w:i/>
                <w:iCs/>
                <w:lang w:val="fr-CH"/>
              </w:rPr>
            </w:pPr>
            <w:r w:rsidRPr="00393191">
              <w:rPr>
                <w:lang w:val="en-US"/>
              </w:rPr>
              <w:t>CEPT</w:t>
            </w:r>
          </w:p>
        </w:tc>
      </w:tr>
      <w:tr w:rsidR="006B5418" w:rsidRPr="006B5418" w:rsidTr="00842F62">
        <w:tc>
          <w:tcPr>
            <w:tcW w:w="9639" w:type="dxa"/>
            <w:gridSpan w:val="3"/>
            <w:tcBorders>
              <w:top w:val="single" w:sz="4" w:space="0" w:color="auto"/>
              <w:left w:val="nil"/>
              <w:bottom w:val="single" w:sz="4" w:space="0" w:color="auto"/>
              <w:right w:val="nil"/>
            </w:tcBorders>
          </w:tcPr>
          <w:p w:rsidR="006B5418" w:rsidRPr="00730563" w:rsidRDefault="006B5418" w:rsidP="00425FA3">
            <w:pPr>
              <w:rPr>
                <w:lang w:val="fr-CH"/>
              </w:rPr>
            </w:pPr>
            <w:r w:rsidRPr="00730563">
              <w:rPr>
                <w:b/>
                <w:bCs/>
                <w:i/>
                <w:iCs/>
                <w:lang w:val="fr-CH"/>
              </w:rPr>
              <w:t>Proposition:</w:t>
            </w:r>
          </w:p>
          <w:p w:rsidR="006B5418" w:rsidRPr="00730563" w:rsidRDefault="00254999" w:rsidP="00425FA3">
            <w:pPr>
              <w:rPr>
                <w:b/>
                <w:i/>
                <w:lang w:val="fr-CH"/>
              </w:rPr>
            </w:pPr>
            <w:r>
              <w:rPr>
                <w:lang w:val="fr-CH"/>
              </w:rPr>
              <w:t>e</w:t>
            </w:r>
            <w:r w:rsidR="00736237" w:rsidRPr="00730563">
              <w:rPr>
                <w:lang w:val="fr-CH"/>
              </w:rPr>
              <w:t>nvisager des mesures réglementaires pour le développement et la mise en œuvre du système mondial de détresse et de sécurité aéronautique (GADSS</w:t>
            </w:r>
            <w:r w:rsidR="004C65A2">
              <w:rPr>
                <w:lang w:val="fr-CH"/>
              </w:rPr>
              <w:t>)</w:t>
            </w:r>
            <w:r w:rsidR="004C65A2" w:rsidRPr="00730563">
              <w:rPr>
                <w:lang w:val="fr-CH"/>
              </w:rPr>
              <w:t xml:space="preserve"> conformément</w:t>
            </w:r>
            <w:r w:rsidR="00736237" w:rsidRPr="00730563">
              <w:rPr>
                <w:lang w:val="fr-CH"/>
              </w:rPr>
              <w:t xml:space="preserve"> à la Résolution</w:t>
            </w:r>
            <w:r w:rsidR="003228B3">
              <w:rPr>
                <w:lang w:val="fr-CH"/>
              </w:rPr>
              <w:t xml:space="preserve"> </w:t>
            </w:r>
            <w:r w:rsidR="006B5418" w:rsidRPr="00730563">
              <w:rPr>
                <w:rStyle w:val="Artdef"/>
                <w:lang w:val="fr-CH"/>
              </w:rPr>
              <w:t>[EUR-</w:t>
            </w:r>
            <w:r w:rsidR="004C65A2">
              <w:rPr>
                <w:rStyle w:val="Artdef"/>
                <w:lang w:val="fr-CH"/>
              </w:rPr>
              <w:t> </w:t>
            </w:r>
            <w:r w:rsidR="006B5418" w:rsidRPr="00730563">
              <w:rPr>
                <w:rStyle w:val="Artdef"/>
                <w:lang w:val="fr-CH"/>
              </w:rPr>
              <w:t>L10-11] (</w:t>
            </w:r>
            <w:r w:rsidR="003228B3">
              <w:rPr>
                <w:rStyle w:val="Artdef"/>
                <w:lang w:val="fr-CH"/>
              </w:rPr>
              <w:t>CMR-15</w:t>
            </w:r>
            <w:r w:rsidR="006B5418" w:rsidRPr="00730563">
              <w:rPr>
                <w:rStyle w:val="Artdef"/>
                <w:lang w:val="fr-CH"/>
              </w:rPr>
              <w:t>)</w:t>
            </w:r>
            <w:r w:rsidR="000F13C2">
              <w:rPr>
                <w:rStyle w:val="Artdef"/>
                <w:b w:val="0"/>
                <w:bCs/>
                <w:lang w:val="fr-CH"/>
              </w:rPr>
              <w:t>.</w:t>
            </w:r>
          </w:p>
        </w:tc>
      </w:tr>
      <w:tr w:rsidR="006B5418" w:rsidRPr="006B5418" w:rsidTr="00842F62">
        <w:tc>
          <w:tcPr>
            <w:tcW w:w="9639" w:type="dxa"/>
            <w:gridSpan w:val="3"/>
            <w:tcBorders>
              <w:top w:val="single" w:sz="4" w:space="0" w:color="auto"/>
              <w:left w:val="nil"/>
              <w:bottom w:val="single" w:sz="4" w:space="0" w:color="auto"/>
              <w:right w:val="nil"/>
            </w:tcBorders>
          </w:tcPr>
          <w:p w:rsidR="006B5418" w:rsidRPr="00730563" w:rsidRDefault="006B5418" w:rsidP="00425FA3">
            <w:pPr>
              <w:rPr>
                <w:b/>
                <w:bCs/>
                <w:i/>
                <w:iCs/>
                <w:lang w:val="fr-CH"/>
              </w:rPr>
            </w:pPr>
            <w:r w:rsidRPr="00730563">
              <w:rPr>
                <w:b/>
                <w:bCs/>
                <w:i/>
                <w:iCs/>
                <w:lang w:val="fr-CH"/>
              </w:rPr>
              <w:t>Contexte/motif:</w:t>
            </w:r>
          </w:p>
          <w:p w:rsidR="006B5418" w:rsidRPr="00730563" w:rsidRDefault="00736237" w:rsidP="00425FA3">
            <w:pPr>
              <w:rPr>
                <w:b/>
                <w:i/>
                <w:lang w:val="fr-CH"/>
              </w:rPr>
            </w:pPr>
            <w:r w:rsidRPr="00730563">
              <w:rPr>
                <w:lang w:val="fr-CH"/>
              </w:rPr>
              <w:t>Plusieurs catastrophes aériennes ont suscité un débat au niveau international et</w:t>
            </w:r>
            <w:r w:rsidR="003228B3">
              <w:rPr>
                <w:lang w:val="fr-CH"/>
              </w:rPr>
              <w:t xml:space="preserve"> </w:t>
            </w:r>
            <w:r w:rsidR="00254999">
              <w:rPr>
                <w:lang w:val="fr-CH"/>
              </w:rPr>
              <w:t xml:space="preserve">ont </w:t>
            </w:r>
            <w:r w:rsidRPr="00730563">
              <w:rPr>
                <w:lang w:val="fr-CH"/>
              </w:rPr>
              <w:t>fait ressortir la nécessité de mettre en place un système mondial intégré</w:t>
            </w:r>
            <w:r w:rsidR="003228B3">
              <w:rPr>
                <w:lang w:val="fr-CH"/>
              </w:rPr>
              <w:t xml:space="preserve"> </w:t>
            </w:r>
            <w:r w:rsidRPr="00730563">
              <w:rPr>
                <w:lang w:val="fr-CH"/>
              </w:rPr>
              <w:t>visant à identifier et à localiser rapidement un aéronef</w:t>
            </w:r>
            <w:r w:rsidR="00254999">
              <w:rPr>
                <w:lang w:val="fr-CH"/>
              </w:rPr>
              <w:t>,</w:t>
            </w:r>
            <w:r w:rsidRPr="00730563">
              <w:rPr>
                <w:lang w:val="fr-CH"/>
              </w:rPr>
              <w:t xml:space="preserve"> pendant toutes les phases d</w:t>
            </w:r>
            <w:r w:rsidR="00B979D7">
              <w:rPr>
                <w:lang w:val="fr-CH"/>
              </w:rPr>
              <w:t>'</w:t>
            </w:r>
            <w:r w:rsidRPr="00730563">
              <w:rPr>
                <w:lang w:val="fr-CH"/>
              </w:rPr>
              <w:t>un vol ainsi que dans les situations de détresse et d</w:t>
            </w:r>
            <w:r w:rsidR="00B979D7">
              <w:rPr>
                <w:lang w:val="fr-CH"/>
              </w:rPr>
              <w:t>'</w:t>
            </w:r>
            <w:r w:rsidRPr="00730563">
              <w:rPr>
                <w:lang w:val="fr-CH"/>
              </w:rPr>
              <w:t>urgence. En outre, ce système mondial intégré sera</w:t>
            </w:r>
            <w:r w:rsidR="003228B3">
              <w:rPr>
                <w:lang w:val="fr-CH"/>
              </w:rPr>
              <w:t xml:space="preserve"> </w:t>
            </w:r>
            <w:r w:rsidRPr="00730563">
              <w:rPr>
                <w:lang w:val="fr-CH"/>
              </w:rPr>
              <w:t>destiné à appuyer les opérations de recherche et de sauvetage et à faciliter l</w:t>
            </w:r>
            <w:r w:rsidR="00B979D7">
              <w:rPr>
                <w:lang w:val="fr-CH"/>
              </w:rPr>
              <w:t>'</w:t>
            </w:r>
            <w:r w:rsidRPr="00730563">
              <w:rPr>
                <w:lang w:val="fr-CH"/>
              </w:rPr>
              <w:t>extraction des enregistreurs de données de vol. Actuellement, l</w:t>
            </w:r>
            <w:r w:rsidR="00B979D7">
              <w:rPr>
                <w:lang w:val="fr-CH"/>
              </w:rPr>
              <w:t>'</w:t>
            </w:r>
            <w:r w:rsidRPr="00730563">
              <w:rPr>
                <w:lang w:val="fr-CH"/>
              </w:rPr>
              <w:t>OACI</w:t>
            </w:r>
            <w:r w:rsidR="003228B3">
              <w:rPr>
                <w:lang w:val="fr-CH"/>
              </w:rPr>
              <w:t xml:space="preserve"> </w:t>
            </w:r>
            <w:r w:rsidRPr="00730563">
              <w:rPr>
                <w:lang w:val="fr-CH"/>
              </w:rPr>
              <w:t>élabore un document sur un concept d</w:t>
            </w:r>
            <w:r w:rsidR="00B979D7">
              <w:rPr>
                <w:lang w:val="fr-CH"/>
              </w:rPr>
              <w:t>'</w:t>
            </w:r>
            <w:r w:rsidRPr="00730563">
              <w:rPr>
                <w:lang w:val="fr-CH"/>
              </w:rPr>
              <w:t>exploitation du système mondial de détresse et de sécurité aéronautique (GADSS</w:t>
            </w:r>
            <w:r w:rsidR="004C65A2">
              <w:rPr>
                <w:lang w:val="fr-CH"/>
              </w:rPr>
              <w:t>)</w:t>
            </w:r>
            <w:r w:rsidR="004C65A2" w:rsidRPr="00730563">
              <w:rPr>
                <w:lang w:val="fr-CH"/>
              </w:rPr>
              <w:t xml:space="preserve"> et</w:t>
            </w:r>
            <w:r w:rsidRPr="00730563">
              <w:rPr>
                <w:lang w:val="fr-CH"/>
              </w:rPr>
              <w:t xml:space="preserve"> a demandé qu</w:t>
            </w:r>
            <w:r w:rsidR="00B979D7">
              <w:rPr>
                <w:lang w:val="fr-CH"/>
              </w:rPr>
              <w:t>'</w:t>
            </w:r>
            <w:r w:rsidRPr="00730563">
              <w:rPr>
                <w:lang w:val="fr-CH"/>
              </w:rPr>
              <w:t xml:space="preserve">un </w:t>
            </w:r>
            <w:r w:rsidR="00254999">
              <w:rPr>
                <w:lang w:val="fr-CH"/>
              </w:rPr>
              <w:t>point s</w:t>
            </w:r>
            <w:r w:rsidRPr="00730563">
              <w:rPr>
                <w:lang w:val="fr-CH"/>
              </w:rPr>
              <w:t>oit inscrit à l</w:t>
            </w:r>
            <w:r w:rsidR="00B979D7">
              <w:rPr>
                <w:lang w:val="fr-CH"/>
              </w:rPr>
              <w:t>'</w:t>
            </w:r>
            <w:r w:rsidRPr="00730563">
              <w:rPr>
                <w:lang w:val="fr-CH"/>
              </w:rPr>
              <w:t>ordre du jour d</w:t>
            </w:r>
            <w:r w:rsidR="00B979D7">
              <w:rPr>
                <w:lang w:val="fr-CH"/>
              </w:rPr>
              <w:t>'</w:t>
            </w:r>
            <w:r w:rsidRPr="00730563">
              <w:rPr>
                <w:lang w:val="fr-CH"/>
              </w:rPr>
              <w:t xml:space="preserve">une </w:t>
            </w:r>
            <w:r w:rsidR="00B1634C" w:rsidRPr="00730563">
              <w:rPr>
                <w:lang w:val="fr-CH"/>
              </w:rPr>
              <w:t>conférence</w:t>
            </w:r>
            <w:r w:rsidR="003228B3">
              <w:rPr>
                <w:lang w:val="fr-CH"/>
              </w:rPr>
              <w:t xml:space="preserve"> </w:t>
            </w:r>
            <w:r w:rsidRPr="00730563">
              <w:rPr>
                <w:lang w:val="fr-CH"/>
              </w:rPr>
              <w:t>future</w:t>
            </w:r>
            <w:r w:rsidR="003228B3">
              <w:rPr>
                <w:lang w:val="fr-CH"/>
              </w:rPr>
              <w:t xml:space="preserve"> </w:t>
            </w:r>
            <w:r w:rsidRPr="00730563">
              <w:rPr>
                <w:lang w:val="fr-CH"/>
              </w:rPr>
              <w:t xml:space="preserve">pour répondre aux besoins du </w:t>
            </w:r>
            <w:r w:rsidR="006B5418" w:rsidRPr="00730563">
              <w:rPr>
                <w:lang w:val="fr-CH"/>
              </w:rPr>
              <w:t>GADSS.</w:t>
            </w:r>
          </w:p>
        </w:tc>
      </w:tr>
      <w:tr w:rsidR="006B5418" w:rsidRPr="00714540" w:rsidTr="00842F62">
        <w:tc>
          <w:tcPr>
            <w:tcW w:w="9639" w:type="dxa"/>
            <w:gridSpan w:val="3"/>
            <w:tcBorders>
              <w:top w:val="single" w:sz="4" w:space="0" w:color="auto"/>
              <w:left w:val="nil"/>
              <w:bottom w:val="single" w:sz="4" w:space="0" w:color="auto"/>
              <w:right w:val="nil"/>
            </w:tcBorders>
          </w:tcPr>
          <w:p w:rsidR="006B5418" w:rsidRPr="00A31EA2" w:rsidRDefault="006B5418" w:rsidP="00425FA3">
            <w:r w:rsidRPr="0014454C">
              <w:rPr>
                <w:b/>
                <w:bCs/>
                <w:i/>
                <w:iCs/>
                <w:lang w:val="fr-CH"/>
              </w:rPr>
              <w:t>Services de radiocommunication concernés</w:t>
            </w:r>
            <w:r w:rsidRPr="00A31EA2">
              <w:t>:</w:t>
            </w:r>
          </w:p>
          <w:p w:rsidR="006B5418" w:rsidRPr="00714540" w:rsidRDefault="00736237" w:rsidP="00425FA3">
            <w:pPr>
              <w:rPr>
                <w:b/>
                <w:i/>
              </w:rPr>
            </w:pPr>
            <w:r>
              <w:rPr>
                <w:lang w:val="fr-CH"/>
              </w:rPr>
              <w:t xml:space="preserve">Services de radionavigation aéronautique, mobile aéronautique </w:t>
            </w:r>
            <w:r w:rsidRPr="00DD7BBF">
              <w:rPr>
                <w:lang w:val="fr-CH"/>
              </w:rPr>
              <w:t>(R)</w:t>
            </w:r>
            <w:r>
              <w:rPr>
                <w:lang w:val="fr-CH"/>
              </w:rPr>
              <w:t xml:space="preserve">, mobile aéronautique par satellite </w:t>
            </w:r>
            <w:r w:rsidRPr="00DD7BBF">
              <w:rPr>
                <w:lang w:val="fr-CH"/>
              </w:rPr>
              <w:t>(R)</w:t>
            </w:r>
            <w:r>
              <w:rPr>
                <w:lang w:val="fr-CH"/>
              </w:rPr>
              <w:t>,</w:t>
            </w:r>
            <w:r w:rsidR="003228B3">
              <w:rPr>
                <w:lang w:val="fr-CH"/>
              </w:rPr>
              <w:t xml:space="preserve"> </w:t>
            </w:r>
            <w:r>
              <w:rPr>
                <w:lang w:val="fr-CH"/>
              </w:rPr>
              <w:t>mobile aéronautique et mobile aéronautique par satellite</w:t>
            </w:r>
            <w:r w:rsidR="003228B3">
              <w:rPr>
                <w:lang w:val="fr-CH"/>
              </w:rPr>
              <w:t xml:space="preserve"> </w:t>
            </w:r>
          </w:p>
        </w:tc>
      </w:tr>
      <w:tr w:rsidR="006B5418" w:rsidRPr="00714540" w:rsidTr="00842F62">
        <w:tc>
          <w:tcPr>
            <w:tcW w:w="9639" w:type="dxa"/>
            <w:gridSpan w:val="3"/>
            <w:tcBorders>
              <w:top w:val="single" w:sz="4" w:space="0" w:color="auto"/>
              <w:left w:val="nil"/>
              <w:bottom w:val="single" w:sz="4" w:space="0" w:color="auto"/>
              <w:right w:val="nil"/>
            </w:tcBorders>
          </w:tcPr>
          <w:p w:rsidR="006B5418" w:rsidRPr="00A31EA2" w:rsidRDefault="006B5418" w:rsidP="00425FA3">
            <w:r w:rsidRPr="0014454C">
              <w:rPr>
                <w:b/>
                <w:bCs/>
                <w:i/>
                <w:iCs/>
                <w:lang w:val="fr-CH"/>
              </w:rPr>
              <w:t>Indication des difficultés éventuelles</w:t>
            </w:r>
            <w:r w:rsidRPr="0014454C">
              <w:rPr>
                <w:b/>
                <w:bCs/>
                <w:i/>
                <w:iCs/>
              </w:rPr>
              <w:t>:</w:t>
            </w:r>
          </w:p>
          <w:p w:rsidR="006B5418" w:rsidRPr="00714540" w:rsidRDefault="000F13C2" w:rsidP="00425FA3">
            <w:pPr>
              <w:rPr>
                <w:b/>
                <w:i/>
              </w:rPr>
            </w:pPr>
            <w:r>
              <w:t>N</w:t>
            </w:r>
            <w:r w:rsidR="00A500DC">
              <w:t xml:space="preserve">éant </w:t>
            </w:r>
          </w:p>
        </w:tc>
      </w:tr>
      <w:tr w:rsidR="006B5418" w:rsidRPr="009E4745" w:rsidTr="00842F62">
        <w:tc>
          <w:tcPr>
            <w:tcW w:w="9639" w:type="dxa"/>
            <w:gridSpan w:val="3"/>
            <w:tcBorders>
              <w:top w:val="single" w:sz="4" w:space="0" w:color="auto"/>
              <w:left w:val="nil"/>
              <w:bottom w:val="single" w:sz="4" w:space="0" w:color="auto"/>
              <w:right w:val="nil"/>
            </w:tcBorders>
          </w:tcPr>
          <w:p w:rsidR="006B5418" w:rsidRPr="00A31EA2" w:rsidRDefault="006B5418" w:rsidP="00425FA3">
            <w:r w:rsidRPr="003A2ED4">
              <w:rPr>
                <w:b/>
                <w:bCs/>
                <w:i/>
                <w:iCs/>
                <w:lang w:val="fr-CH"/>
              </w:rPr>
              <w:t>Etudes précédentes ou en cours sur la question</w:t>
            </w:r>
            <w:r w:rsidRPr="003A2ED4">
              <w:rPr>
                <w:b/>
                <w:bCs/>
                <w:i/>
                <w:iCs/>
              </w:rPr>
              <w:t>:</w:t>
            </w:r>
          </w:p>
          <w:p w:rsidR="006B5418" w:rsidRPr="009E4745" w:rsidRDefault="000F13C2" w:rsidP="00425FA3">
            <w:pPr>
              <w:rPr>
                <w:b/>
                <w:i/>
                <w:lang w:val="fr-CH"/>
              </w:rPr>
            </w:pPr>
            <w:r>
              <w:t>N</w:t>
            </w:r>
            <w:r w:rsidR="00A500DC">
              <w:t xml:space="preserve">éant </w:t>
            </w:r>
          </w:p>
        </w:tc>
      </w:tr>
      <w:tr w:rsidR="006B5418" w:rsidRPr="006B5418" w:rsidTr="00842F62">
        <w:tc>
          <w:tcPr>
            <w:tcW w:w="4539" w:type="dxa"/>
            <w:gridSpan w:val="2"/>
            <w:tcBorders>
              <w:top w:val="single" w:sz="4" w:space="0" w:color="auto"/>
              <w:left w:val="nil"/>
              <w:bottom w:val="single" w:sz="4" w:space="0" w:color="auto"/>
              <w:right w:val="single" w:sz="4" w:space="0" w:color="auto"/>
            </w:tcBorders>
          </w:tcPr>
          <w:p w:rsidR="006B5418" w:rsidRPr="00A31EA2" w:rsidRDefault="006B5418" w:rsidP="00425FA3">
            <w:r w:rsidRPr="0014454C">
              <w:rPr>
                <w:b/>
                <w:bCs/>
                <w:i/>
                <w:iCs/>
                <w:lang w:val="fr-CH"/>
              </w:rPr>
              <w:t>Etudes devant être réalisées par</w:t>
            </w:r>
            <w:r w:rsidRPr="0014454C">
              <w:rPr>
                <w:b/>
                <w:bCs/>
                <w:i/>
                <w:iCs/>
              </w:rPr>
              <w:t>:</w:t>
            </w:r>
          </w:p>
          <w:p w:rsidR="006B5418" w:rsidRPr="009E4745" w:rsidRDefault="00736237" w:rsidP="00425FA3">
            <w:pPr>
              <w:rPr>
                <w:b/>
                <w:i/>
                <w:color w:val="000000"/>
                <w:lang w:val="fr-CH"/>
              </w:rPr>
            </w:pPr>
            <w:r>
              <w:rPr>
                <w:color w:val="000000"/>
              </w:rPr>
              <w:t>CE</w:t>
            </w:r>
            <w:r w:rsidR="000F13C2">
              <w:rPr>
                <w:color w:val="000000"/>
              </w:rPr>
              <w:t xml:space="preserve"> </w:t>
            </w:r>
            <w:r>
              <w:rPr>
                <w:color w:val="000000"/>
              </w:rPr>
              <w:t>5 de l</w:t>
            </w:r>
            <w:r w:rsidR="00B979D7">
              <w:rPr>
                <w:color w:val="000000"/>
              </w:rPr>
              <w:t>'</w:t>
            </w:r>
            <w:r w:rsidR="002E2C8C">
              <w:rPr>
                <w:color w:val="000000"/>
              </w:rPr>
              <w:t>UIT</w:t>
            </w:r>
            <w:r w:rsidR="00BF2826">
              <w:rPr>
                <w:color w:val="000000"/>
              </w:rPr>
              <w:t>-</w:t>
            </w:r>
            <w:r w:rsidR="006B5418">
              <w:rPr>
                <w:color w:val="000000"/>
              </w:rPr>
              <w:t xml:space="preserve">R </w:t>
            </w:r>
          </w:p>
        </w:tc>
        <w:tc>
          <w:tcPr>
            <w:tcW w:w="5100" w:type="dxa"/>
            <w:tcBorders>
              <w:top w:val="single" w:sz="4" w:space="0" w:color="auto"/>
              <w:left w:val="single" w:sz="4" w:space="0" w:color="auto"/>
              <w:bottom w:val="single" w:sz="4" w:space="0" w:color="auto"/>
              <w:right w:val="nil"/>
            </w:tcBorders>
          </w:tcPr>
          <w:p w:rsidR="006B5418" w:rsidRPr="00730563" w:rsidRDefault="006B5418" w:rsidP="00425FA3">
            <w:pPr>
              <w:rPr>
                <w:b/>
                <w:bCs/>
                <w:i/>
                <w:iCs/>
                <w:lang w:val="fr-CH"/>
              </w:rPr>
            </w:pPr>
            <w:r w:rsidRPr="00504217">
              <w:rPr>
                <w:b/>
                <w:bCs/>
                <w:i/>
                <w:iCs/>
              </w:rPr>
              <w:t>avec la participation de</w:t>
            </w:r>
            <w:r w:rsidRPr="00730563">
              <w:rPr>
                <w:b/>
                <w:bCs/>
                <w:i/>
                <w:iCs/>
                <w:lang w:val="fr-CH"/>
              </w:rPr>
              <w:t>:</w:t>
            </w:r>
          </w:p>
          <w:p w:rsidR="006B5418" w:rsidRPr="00730563" w:rsidRDefault="00C203CC" w:rsidP="00425FA3">
            <w:pPr>
              <w:rPr>
                <w:b/>
                <w:i/>
                <w:color w:val="000000"/>
                <w:lang w:val="fr-CH"/>
              </w:rPr>
            </w:pPr>
            <w:r w:rsidRPr="00730563">
              <w:rPr>
                <w:color w:val="000000"/>
                <w:lang w:val="fr-CH"/>
              </w:rPr>
              <w:t xml:space="preserve">Administrations et Membres du Secteur de </w:t>
            </w:r>
            <w:r w:rsidR="00254999" w:rsidRPr="00730563">
              <w:rPr>
                <w:color w:val="000000"/>
                <w:lang w:val="fr-CH"/>
              </w:rPr>
              <w:t>l</w:t>
            </w:r>
            <w:r w:rsidR="00B979D7">
              <w:rPr>
                <w:color w:val="000000"/>
                <w:lang w:val="fr-CH"/>
              </w:rPr>
              <w:t>'</w:t>
            </w:r>
            <w:r w:rsidR="00254999" w:rsidRPr="00730563">
              <w:rPr>
                <w:color w:val="000000"/>
                <w:lang w:val="fr-CH"/>
              </w:rPr>
              <w:t>UIT</w:t>
            </w:r>
            <w:r w:rsidR="00254999">
              <w:rPr>
                <w:color w:val="000000"/>
                <w:lang w:val="fr-CH"/>
              </w:rPr>
              <w:noBreakHyphen/>
            </w:r>
            <w:r w:rsidR="006B5418" w:rsidRPr="00730563">
              <w:rPr>
                <w:color w:val="000000"/>
                <w:lang w:val="fr-CH"/>
              </w:rPr>
              <w:t>R</w:t>
            </w:r>
            <w:r w:rsidR="00736237" w:rsidRPr="00730563">
              <w:rPr>
                <w:color w:val="000000"/>
                <w:lang w:val="fr-CH"/>
              </w:rPr>
              <w:t xml:space="preserve"> et OACI</w:t>
            </w:r>
            <w:r w:rsidR="003228B3">
              <w:rPr>
                <w:color w:val="000000"/>
                <w:lang w:val="fr-CH"/>
              </w:rPr>
              <w:t xml:space="preserve"> </w:t>
            </w:r>
          </w:p>
        </w:tc>
      </w:tr>
      <w:tr w:rsidR="006B5418" w:rsidRPr="006B5418" w:rsidTr="00842F62">
        <w:tc>
          <w:tcPr>
            <w:tcW w:w="9639" w:type="dxa"/>
            <w:gridSpan w:val="3"/>
            <w:tcBorders>
              <w:top w:val="single" w:sz="4" w:space="0" w:color="auto"/>
              <w:left w:val="nil"/>
              <w:bottom w:val="single" w:sz="4" w:space="0" w:color="auto"/>
              <w:right w:val="nil"/>
            </w:tcBorders>
          </w:tcPr>
          <w:p w:rsidR="006B5418" w:rsidRPr="00A31EA2" w:rsidRDefault="006B5418" w:rsidP="00425FA3">
            <w:r w:rsidRPr="0014454C">
              <w:rPr>
                <w:b/>
                <w:bCs/>
                <w:i/>
                <w:iCs/>
                <w:lang w:val="fr-CH"/>
              </w:rPr>
              <w:t>Commissions d'études de l'UIT-R concernées</w:t>
            </w:r>
            <w:r w:rsidRPr="00A31EA2">
              <w:rPr>
                <w:b/>
                <w:bCs/>
                <w:i/>
                <w:iCs/>
              </w:rPr>
              <w:t>:</w:t>
            </w:r>
          </w:p>
          <w:p w:rsidR="006B5418" w:rsidRPr="00730563" w:rsidRDefault="00C937A8" w:rsidP="00425FA3">
            <w:pPr>
              <w:rPr>
                <w:b/>
                <w:i/>
                <w:lang w:val="fr-CH"/>
              </w:rPr>
            </w:pPr>
            <w:r w:rsidRPr="00730563">
              <w:rPr>
                <w:lang w:val="fr-CH"/>
              </w:rPr>
              <w:t>CE</w:t>
            </w:r>
            <w:r w:rsidR="006B5418" w:rsidRPr="00730563">
              <w:rPr>
                <w:lang w:val="fr-CH"/>
              </w:rPr>
              <w:t xml:space="preserve"> 5 (</w:t>
            </w:r>
            <w:r w:rsidR="00872994" w:rsidRPr="00730563">
              <w:rPr>
                <w:lang w:val="fr-CH"/>
              </w:rPr>
              <w:t>GT</w:t>
            </w:r>
            <w:r w:rsidR="003228B3">
              <w:rPr>
                <w:lang w:val="fr-CH"/>
              </w:rPr>
              <w:t xml:space="preserve"> </w:t>
            </w:r>
            <w:r w:rsidR="006B5418" w:rsidRPr="00730563">
              <w:rPr>
                <w:lang w:val="fr-CH"/>
              </w:rPr>
              <w:t xml:space="preserve">5A, 5B </w:t>
            </w:r>
            <w:r w:rsidR="00736237" w:rsidRPr="00730563">
              <w:rPr>
                <w:lang w:val="fr-CH"/>
              </w:rPr>
              <w:t>et</w:t>
            </w:r>
            <w:r w:rsidR="003228B3">
              <w:rPr>
                <w:lang w:val="fr-CH"/>
              </w:rPr>
              <w:t xml:space="preserve"> </w:t>
            </w:r>
            <w:r w:rsidR="006B5418" w:rsidRPr="00730563">
              <w:rPr>
                <w:lang w:val="fr-CH"/>
              </w:rPr>
              <w:t xml:space="preserve">5C), </w:t>
            </w:r>
            <w:r w:rsidRPr="00730563">
              <w:rPr>
                <w:lang w:val="fr-CH"/>
              </w:rPr>
              <w:t>CE</w:t>
            </w:r>
            <w:r w:rsidR="000F13C2">
              <w:rPr>
                <w:lang w:val="fr-CH"/>
              </w:rPr>
              <w:t xml:space="preserve"> </w:t>
            </w:r>
            <w:r w:rsidR="006B5418" w:rsidRPr="00730563">
              <w:rPr>
                <w:lang w:val="fr-CH"/>
              </w:rPr>
              <w:t>4</w:t>
            </w:r>
            <w:r w:rsidR="000F13C2">
              <w:rPr>
                <w:lang w:val="fr-CH"/>
              </w:rPr>
              <w:br/>
            </w:r>
          </w:p>
        </w:tc>
      </w:tr>
      <w:tr w:rsidR="006B5418" w:rsidRPr="006B5418" w:rsidTr="00842F62">
        <w:tc>
          <w:tcPr>
            <w:tcW w:w="9639" w:type="dxa"/>
            <w:gridSpan w:val="3"/>
            <w:tcBorders>
              <w:top w:val="single" w:sz="4" w:space="0" w:color="auto"/>
              <w:left w:val="nil"/>
              <w:bottom w:val="single" w:sz="4" w:space="0" w:color="auto"/>
              <w:right w:val="nil"/>
            </w:tcBorders>
          </w:tcPr>
          <w:p w:rsidR="006B5418" w:rsidRPr="00A31EA2" w:rsidRDefault="006B5418" w:rsidP="00425FA3">
            <w:r w:rsidRPr="0014454C">
              <w:rPr>
                <w:b/>
                <w:bCs/>
                <w:i/>
                <w:iCs/>
              </w:rPr>
              <w:t xml:space="preserve">Répercussions au niveau des ressources de l'UIT, y compris incidences </w:t>
            </w:r>
            <w:r w:rsidR="00254999" w:rsidRPr="0014454C">
              <w:rPr>
                <w:b/>
                <w:bCs/>
                <w:i/>
                <w:iCs/>
              </w:rPr>
              <w:t xml:space="preserve">financières </w:t>
            </w:r>
            <w:r w:rsidRPr="0014454C">
              <w:rPr>
                <w:b/>
                <w:bCs/>
                <w:i/>
                <w:iCs/>
              </w:rPr>
              <w:br/>
              <w:t>(voir le numéro 126 de la Convention):</w:t>
            </w:r>
          </w:p>
          <w:p w:rsidR="006B5418" w:rsidRPr="00730563" w:rsidRDefault="00736237"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r w:rsidR="003228B3">
              <w:rPr>
                <w:lang w:val="fr-CH"/>
              </w:rPr>
              <w:t xml:space="preserve"> </w:t>
            </w:r>
            <w:r w:rsidR="000F13C2">
              <w:rPr>
                <w:lang w:val="fr-CH"/>
              </w:rPr>
              <w:br/>
            </w:r>
          </w:p>
        </w:tc>
      </w:tr>
      <w:tr w:rsidR="006B5418" w:rsidRPr="009E4745" w:rsidTr="00842F62">
        <w:tc>
          <w:tcPr>
            <w:tcW w:w="4539" w:type="dxa"/>
            <w:gridSpan w:val="2"/>
            <w:tcBorders>
              <w:top w:val="single" w:sz="4" w:space="0" w:color="auto"/>
              <w:left w:val="nil"/>
              <w:bottom w:val="single" w:sz="4" w:space="0" w:color="auto"/>
              <w:right w:val="nil"/>
            </w:tcBorders>
          </w:tcPr>
          <w:p w:rsidR="006B5418" w:rsidRPr="009E4745" w:rsidRDefault="006B5418" w:rsidP="00425FA3">
            <w:pPr>
              <w:rPr>
                <w:b/>
                <w:iCs/>
                <w:lang w:val="fr-CH"/>
              </w:rPr>
            </w:pPr>
            <w:r w:rsidRPr="00695ABE">
              <w:rPr>
                <w:b/>
                <w:bCs/>
                <w:i/>
                <w:iCs/>
              </w:rPr>
              <w:t>Proposition régionale commune:</w:t>
            </w:r>
            <w:r w:rsidRPr="008C0EDF">
              <w:rPr>
                <w:b/>
                <w:bCs/>
              </w:rPr>
              <w:t xml:space="preserve"> </w:t>
            </w:r>
            <w:r w:rsidRPr="009217A6">
              <w:t>Oui</w:t>
            </w:r>
          </w:p>
        </w:tc>
        <w:tc>
          <w:tcPr>
            <w:tcW w:w="5100" w:type="dxa"/>
            <w:tcBorders>
              <w:top w:val="single" w:sz="4" w:space="0" w:color="auto"/>
              <w:left w:val="nil"/>
              <w:bottom w:val="single" w:sz="4" w:space="0" w:color="auto"/>
              <w:right w:val="nil"/>
            </w:tcBorders>
          </w:tcPr>
          <w:p w:rsidR="006B5418" w:rsidRPr="00A31EA2" w:rsidRDefault="006B5418" w:rsidP="00425FA3">
            <w:r w:rsidRPr="00695ABE">
              <w:rPr>
                <w:b/>
                <w:bCs/>
                <w:i/>
                <w:iCs/>
              </w:rPr>
              <w:t>Proposition soumise par plusieurs pays:</w:t>
            </w:r>
            <w:r w:rsidRPr="008C0EDF">
              <w:rPr>
                <w:b/>
                <w:bCs/>
              </w:rPr>
              <w:t xml:space="preserve"> </w:t>
            </w:r>
            <w:r w:rsidRPr="009217A6">
              <w:t>Non</w:t>
            </w:r>
          </w:p>
          <w:p w:rsidR="006B5418" w:rsidRDefault="006B5418" w:rsidP="00254999">
            <w:pPr>
              <w:rPr>
                <w:b/>
                <w:bCs/>
                <w:i/>
                <w:iCs/>
                <w:lang w:val="fr-CH"/>
              </w:rPr>
            </w:pPr>
            <w:r w:rsidRPr="003A2ED4">
              <w:rPr>
                <w:b/>
                <w:bCs/>
                <w:i/>
                <w:iCs/>
                <w:lang w:val="fr-CH"/>
              </w:rPr>
              <w:t>Nombre de pays:</w:t>
            </w:r>
          </w:p>
          <w:p w:rsidR="000F13C2" w:rsidRPr="00254999" w:rsidRDefault="000F13C2" w:rsidP="00254999"/>
        </w:tc>
      </w:tr>
      <w:tr w:rsidR="000F13C2" w:rsidRPr="009E4745" w:rsidTr="008653E6">
        <w:tc>
          <w:tcPr>
            <w:tcW w:w="9639" w:type="dxa"/>
            <w:gridSpan w:val="3"/>
            <w:tcBorders>
              <w:top w:val="single" w:sz="4" w:space="0" w:color="auto"/>
              <w:left w:val="nil"/>
              <w:bottom w:val="single" w:sz="4" w:space="0" w:color="auto"/>
              <w:right w:val="nil"/>
            </w:tcBorders>
          </w:tcPr>
          <w:p w:rsidR="000F13C2" w:rsidRDefault="000F13C2" w:rsidP="000F13C2">
            <w:pPr>
              <w:keepNext/>
              <w:keepLines/>
            </w:pPr>
            <w:r w:rsidRPr="003A2ED4">
              <w:rPr>
                <w:b/>
                <w:bCs/>
                <w:i/>
                <w:iCs/>
              </w:rPr>
              <w:lastRenderedPageBreak/>
              <w:t>Observations</w:t>
            </w:r>
          </w:p>
          <w:p w:rsidR="000F13C2" w:rsidRPr="00730563" w:rsidRDefault="000F13C2" w:rsidP="000F13C2">
            <w:pPr>
              <w:keepNext/>
              <w:keepLines/>
              <w:rPr>
                <w:lang w:val="fr-CH"/>
              </w:rPr>
            </w:pPr>
            <w:r w:rsidRPr="00730563">
              <w:rPr>
                <w:lang w:val="fr-CH"/>
              </w:rPr>
              <w:t>I</w:t>
            </w:r>
            <w:r>
              <w:rPr>
                <w:lang w:val="fr-CH"/>
              </w:rPr>
              <w:t>l convient de noter ce qui suit</w:t>
            </w:r>
            <w:r w:rsidRPr="00730563">
              <w:rPr>
                <w:lang w:val="fr-CH"/>
              </w:rPr>
              <w:t>:</w:t>
            </w:r>
          </w:p>
          <w:p w:rsidR="000F13C2" w:rsidRPr="00730563" w:rsidRDefault="000F13C2" w:rsidP="00F27EE5">
            <w:pPr>
              <w:keepNext/>
              <w:keepLines/>
              <w:ind w:left="1134" w:hanging="1134"/>
              <w:rPr>
                <w:lang w:val="fr-CH"/>
              </w:rPr>
            </w:pPr>
            <w:r w:rsidRPr="000F13C2">
              <w:rPr>
                <w:lang w:val="fr-CH"/>
              </w:rPr>
              <w:t>–</w:t>
            </w:r>
            <w:r w:rsidRPr="00730563">
              <w:rPr>
                <w:lang w:val="fr-CH"/>
              </w:rPr>
              <w:tab/>
              <w:t xml:space="preserve">les travaux préparatoires en vue de la </w:t>
            </w:r>
            <w:r>
              <w:rPr>
                <w:lang w:val="fr-CH"/>
              </w:rPr>
              <w:t>CMR-19</w:t>
            </w:r>
            <w:r w:rsidRPr="00730563">
              <w:rPr>
                <w:lang w:val="fr-CH"/>
              </w:rPr>
              <w:t xml:space="preserve"> </w:t>
            </w:r>
            <w:r>
              <w:rPr>
                <w:lang w:val="fr-CH"/>
              </w:rPr>
              <w:t>concernant</w:t>
            </w:r>
            <w:r w:rsidRPr="00730563">
              <w:rPr>
                <w:lang w:val="fr-CH"/>
              </w:rPr>
              <w:t xml:space="preserve"> le</w:t>
            </w:r>
            <w:r>
              <w:rPr>
                <w:lang w:val="fr-CH"/>
              </w:rPr>
              <w:t xml:space="preserve"> </w:t>
            </w:r>
            <w:r w:rsidRPr="00730563">
              <w:rPr>
                <w:lang w:val="fr-CH"/>
              </w:rPr>
              <w:t xml:space="preserve">GADSS dépendront peut-être également des décisions que prendra la </w:t>
            </w:r>
            <w:r>
              <w:rPr>
                <w:lang w:val="fr-CH"/>
              </w:rPr>
              <w:t>CMR-</w:t>
            </w:r>
            <w:r w:rsidRPr="00730563">
              <w:rPr>
                <w:lang w:val="fr-CH"/>
              </w:rPr>
              <w:t>15 en application de la</w:t>
            </w:r>
            <w:r>
              <w:rPr>
                <w:lang w:val="fr-CH"/>
              </w:rPr>
              <w:t xml:space="preserve"> </w:t>
            </w:r>
            <w:r w:rsidRPr="00730563">
              <w:rPr>
                <w:lang w:val="fr-CH"/>
              </w:rPr>
              <w:t>Résolution 185 de la Conférence de plénipotentiaires de 2014 (Busan, 2014)</w:t>
            </w:r>
            <w:r>
              <w:rPr>
                <w:lang w:val="fr-CH"/>
              </w:rPr>
              <w:t>;</w:t>
            </w:r>
          </w:p>
          <w:p w:rsidR="000F13C2" w:rsidRPr="000F13C2" w:rsidRDefault="000F13C2" w:rsidP="00F27EE5">
            <w:pPr>
              <w:keepNext/>
              <w:keepLines/>
              <w:ind w:left="1134" w:hanging="1134"/>
            </w:pPr>
            <w:r w:rsidRPr="000F13C2">
              <w:rPr>
                <w:lang w:val="fr-CH"/>
              </w:rPr>
              <w:t>–</w:t>
            </w:r>
            <w:r w:rsidRPr="00730563">
              <w:rPr>
                <w:lang w:val="fr-CH"/>
              </w:rPr>
              <w:tab/>
              <w:t>il se peut que toutes les modifications à apporter au Règlement des radiocommunications pour faciliter la mise en œuvre du</w:t>
            </w:r>
            <w:r>
              <w:rPr>
                <w:lang w:val="fr-CH"/>
              </w:rPr>
              <w:t xml:space="preserve"> </w:t>
            </w:r>
            <w:r w:rsidRPr="00730563">
              <w:rPr>
                <w:lang w:val="fr-CH"/>
              </w:rPr>
              <w:t>GADSS</w:t>
            </w:r>
            <w:r>
              <w:rPr>
                <w:lang w:val="fr-CH"/>
              </w:rPr>
              <w:t xml:space="preserve"> </w:t>
            </w:r>
            <w:r w:rsidRPr="00730563">
              <w:rPr>
                <w:lang w:val="fr-CH"/>
              </w:rPr>
              <w:t xml:space="preserve">ne soient pas identifiées </w:t>
            </w:r>
            <w:r>
              <w:rPr>
                <w:color w:val="000000"/>
              </w:rPr>
              <w:t>pendant un cycle de CMR.</w:t>
            </w:r>
          </w:p>
        </w:tc>
      </w:tr>
    </w:tbl>
    <w:p w:rsidR="00F27EE5" w:rsidRDefault="00F27EE5" w:rsidP="00F27EE5">
      <w:pPr>
        <w:rPr>
          <w:lang w:val="fr-CH"/>
        </w:rPr>
      </w:pPr>
    </w:p>
    <w:p w:rsidR="000F13C2" w:rsidRDefault="000F13C2">
      <w:pPr>
        <w:tabs>
          <w:tab w:val="clear" w:pos="1134"/>
          <w:tab w:val="clear" w:pos="1871"/>
          <w:tab w:val="clear" w:pos="2268"/>
        </w:tabs>
        <w:overflowPunct/>
        <w:autoSpaceDE/>
        <w:autoSpaceDN/>
        <w:adjustRightInd/>
        <w:spacing w:before="0"/>
        <w:textAlignment w:val="auto"/>
        <w:rPr>
          <w:rFonts w:hAnsi="Times New Roman Bold"/>
          <w:b/>
          <w:lang w:val="fr-CH"/>
        </w:rPr>
      </w:pPr>
      <w:r>
        <w:rPr>
          <w:lang w:val="fr-CH"/>
        </w:rPr>
        <w:br w:type="page"/>
      </w:r>
    </w:p>
    <w:p w:rsidR="006B1FD4" w:rsidRPr="00730563" w:rsidRDefault="00A846F5" w:rsidP="00425FA3">
      <w:pPr>
        <w:pStyle w:val="Proposal"/>
        <w:rPr>
          <w:lang w:val="fr-CH"/>
        </w:rPr>
      </w:pPr>
      <w:r w:rsidRPr="00730563">
        <w:rPr>
          <w:lang w:val="fr-CH"/>
        </w:rPr>
        <w:lastRenderedPageBreak/>
        <w:t>ADD</w:t>
      </w:r>
      <w:r w:rsidRPr="00730563">
        <w:rPr>
          <w:lang w:val="fr-CH"/>
        </w:rPr>
        <w:tab/>
        <w:t>EUR/9A25/14</w:t>
      </w:r>
    </w:p>
    <w:p w:rsidR="006B5418" w:rsidRPr="00730563" w:rsidRDefault="001261B0" w:rsidP="00425FA3">
      <w:pPr>
        <w:pStyle w:val="ResNo"/>
        <w:rPr>
          <w:lang w:val="fr-CH"/>
        </w:rPr>
      </w:pPr>
      <w:r w:rsidRPr="00730563">
        <w:rPr>
          <w:lang w:val="fr-CH"/>
        </w:rPr>
        <w:t xml:space="preserve">PROJET DE NOUVELLE </w:t>
      </w:r>
      <w:r w:rsidR="00BB138D">
        <w:rPr>
          <w:lang w:val="fr-CH"/>
        </w:rPr>
        <w:t>RÉSOLUTION</w:t>
      </w:r>
      <w:r w:rsidR="00156377" w:rsidRPr="00730563">
        <w:rPr>
          <w:lang w:val="fr-CH"/>
        </w:rPr>
        <w:t xml:space="preserve"> [EUR-M10-12] (</w:t>
      </w:r>
      <w:r w:rsidR="003228B3">
        <w:rPr>
          <w:lang w:val="fr-CH"/>
        </w:rPr>
        <w:t>CMR-15</w:t>
      </w:r>
      <w:r w:rsidR="00156377" w:rsidRPr="00730563">
        <w:rPr>
          <w:lang w:val="fr-CH"/>
        </w:rPr>
        <w:t>)</w:t>
      </w:r>
    </w:p>
    <w:p w:rsidR="00156377" w:rsidRPr="00730563" w:rsidRDefault="000F13C2" w:rsidP="0099559B">
      <w:pPr>
        <w:pStyle w:val="Restitle"/>
        <w:rPr>
          <w:lang w:val="fr-CH"/>
        </w:rPr>
      </w:pPr>
      <w:r>
        <w:rPr>
          <w:lang w:val="fr-CH"/>
        </w:rPr>
        <w:t>E</w:t>
      </w:r>
      <w:r w:rsidR="00736237" w:rsidRPr="00730563">
        <w:rPr>
          <w:lang w:val="fr-CH"/>
        </w:rPr>
        <w:t xml:space="preserve">tudes relatives aux </w:t>
      </w:r>
      <w:r w:rsidR="00736237">
        <w:rPr>
          <w:color w:val="000000"/>
        </w:rPr>
        <w:t>dispositifs de radioc</w:t>
      </w:r>
      <w:r w:rsidR="0099559B">
        <w:rPr>
          <w:color w:val="000000"/>
        </w:rPr>
        <w:t>ommunication</w:t>
      </w:r>
      <w:r w:rsidR="00736237">
        <w:rPr>
          <w:color w:val="000000"/>
        </w:rPr>
        <w:t xml:space="preserve"> maritimes fonctionnant dans la bande de fréquences</w:t>
      </w:r>
      <w:r w:rsidR="003228B3">
        <w:rPr>
          <w:color w:val="000000"/>
        </w:rPr>
        <w:t xml:space="preserve"> </w:t>
      </w:r>
      <w:r w:rsidR="00156377" w:rsidRPr="00730563">
        <w:rPr>
          <w:lang w:val="fr-CH"/>
        </w:rPr>
        <w:t xml:space="preserve">154-174 MHz </w:t>
      </w:r>
      <w:r w:rsidR="005D0630" w:rsidRPr="00730563">
        <w:rPr>
          <w:lang w:val="fr-CH"/>
        </w:rPr>
        <w:t>sans lien réglementaire</w:t>
      </w:r>
      <w:r w:rsidR="003228B3">
        <w:rPr>
          <w:lang w:val="fr-CH"/>
        </w:rPr>
        <w:t xml:space="preserve"> </w:t>
      </w:r>
      <w:r w:rsidR="0099559B">
        <w:rPr>
          <w:lang w:val="fr-CH"/>
        </w:rPr>
        <w:t>avec des navires ou</w:t>
      </w:r>
      <w:r w:rsidR="005D0630" w:rsidRPr="00730563">
        <w:rPr>
          <w:lang w:val="fr-CH"/>
        </w:rPr>
        <w:t xml:space="preserve"> des stations côtières pour garantir la sécurité de la navigation </w:t>
      </w:r>
      <w:r>
        <w:rPr>
          <w:lang w:val="fr-CH"/>
        </w:rPr>
        <w:br/>
      </w:r>
      <w:r w:rsidR="005D0630" w:rsidRPr="00730563">
        <w:rPr>
          <w:lang w:val="fr-CH"/>
        </w:rPr>
        <w:t>et protéger l</w:t>
      </w:r>
      <w:r w:rsidR="00B979D7">
        <w:rPr>
          <w:lang w:val="fr-CH"/>
        </w:rPr>
        <w:t>'</w:t>
      </w:r>
      <w:r w:rsidR="005D0630" w:rsidRPr="00730563">
        <w:rPr>
          <w:lang w:val="fr-CH"/>
        </w:rPr>
        <w:t>intégrité du</w:t>
      </w:r>
      <w:r w:rsidR="003228B3">
        <w:rPr>
          <w:lang w:val="fr-CH"/>
        </w:rPr>
        <w:t xml:space="preserve"> </w:t>
      </w:r>
      <w:r w:rsidR="0099559B">
        <w:rPr>
          <w:lang w:val="fr-CH"/>
        </w:rPr>
        <w:t xml:space="preserve">Système mondial de détresse </w:t>
      </w:r>
      <w:r>
        <w:rPr>
          <w:lang w:val="fr-CH"/>
        </w:rPr>
        <w:br/>
      </w:r>
      <w:r w:rsidR="0099559B">
        <w:rPr>
          <w:lang w:val="fr-CH"/>
        </w:rPr>
        <w:t>et de sécurité en mer</w:t>
      </w:r>
      <w:r w:rsidR="001261B0" w:rsidRPr="00730563">
        <w:rPr>
          <w:lang w:val="fr-CH"/>
        </w:rPr>
        <w:t xml:space="preserve"> </w:t>
      </w:r>
    </w:p>
    <w:p w:rsidR="00156377" w:rsidRPr="00730563" w:rsidRDefault="001261B0" w:rsidP="00425FA3">
      <w:pPr>
        <w:pStyle w:val="Normalaftertitle"/>
        <w:rPr>
          <w:lang w:val="fr-CH"/>
        </w:rPr>
      </w:pPr>
      <w:r w:rsidRPr="00730563">
        <w:rPr>
          <w:lang w:val="fr-CH"/>
        </w:rPr>
        <w:t xml:space="preserve">La Conférence mondiale des radiocommunications </w:t>
      </w:r>
      <w:r w:rsidR="00156377" w:rsidRPr="00730563">
        <w:rPr>
          <w:lang w:val="fr-CH"/>
        </w:rPr>
        <w:t>(</w:t>
      </w:r>
      <w:r w:rsidRPr="00730563">
        <w:rPr>
          <w:lang w:val="fr-CH"/>
        </w:rPr>
        <w:t>Genève</w:t>
      </w:r>
      <w:r w:rsidR="003228B3">
        <w:rPr>
          <w:lang w:val="fr-CH"/>
        </w:rPr>
        <w:t>,</w:t>
      </w:r>
      <w:r w:rsidR="00156377" w:rsidRPr="00730563">
        <w:rPr>
          <w:lang w:val="fr-CH"/>
        </w:rPr>
        <w:t xml:space="preserve"> 2015),</w:t>
      </w:r>
    </w:p>
    <w:p w:rsidR="00156377" w:rsidRPr="00730563" w:rsidRDefault="00071B1B" w:rsidP="00425FA3">
      <w:pPr>
        <w:pStyle w:val="Call"/>
        <w:rPr>
          <w:lang w:val="fr-CH"/>
        </w:rPr>
      </w:pPr>
      <w:r w:rsidRPr="00730563">
        <w:rPr>
          <w:lang w:val="fr-CH"/>
        </w:rPr>
        <w:t xml:space="preserve">considérant </w:t>
      </w:r>
    </w:p>
    <w:p w:rsidR="00156377" w:rsidRPr="00730563" w:rsidRDefault="00156377" w:rsidP="00425FA3">
      <w:pPr>
        <w:rPr>
          <w:lang w:val="fr-CH"/>
        </w:rPr>
      </w:pPr>
      <w:r w:rsidRPr="000F13C2">
        <w:rPr>
          <w:i/>
          <w:iCs/>
          <w:lang w:val="fr-CH"/>
        </w:rPr>
        <w:t>a)</w:t>
      </w:r>
      <w:r w:rsidRPr="00730563">
        <w:rPr>
          <w:lang w:val="fr-CH"/>
        </w:rPr>
        <w:tab/>
      </w:r>
      <w:r w:rsidR="005D0630" w:rsidRPr="00730563">
        <w:rPr>
          <w:lang w:val="fr-CH"/>
        </w:rPr>
        <w:t>qu</w:t>
      </w:r>
      <w:r w:rsidR="00B979D7">
        <w:rPr>
          <w:lang w:val="fr-CH"/>
        </w:rPr>
        <w:t>'</w:t>
      </w:r>
      <w:r w:rsidR="005D0630" w:rsidRPr="00730563">
        <w:rPr>
          <w:lang w:val="fr-CH"/>
        </w:rPr>
        <w:t xml:space="preserve">il existe sur le marché </w:t>
      </w:r>
      <w:r w:rsidR="00467B52" w:rsidRPr="00730563">
        <w:rPr>
          <w:lang w:val="fr-CH"/>
        </w:rPr>
        <w:t>plusieurs di</w:t>
      </w:r>
      <w:r w:rsidR="00C60986">
        <w:rPr>
          <w:lang w:val="fr-CH"/>
        </w:rPr>
        <w:t>spositifs de radiocommunication</w:t>
      </w:r>
      <w:r w:rsidR="00467B52" w:rsidRPr="00730563">
        <w:rPr>
          <w:lang w:val="fr-CH"/>
        </w:rPr>
        <w:t xml:space="preserve"> maritimes</w:t>
      </w:r>
      <w:r w:rsidR="005D0630" w:rsidRPr="005D0630">
        <w:rPr>
          <w:color w:val="000000"/>
        </w:rPr>
        <w:t xml:space="preserve"> </w:t>
      </w:r>
      <w:r w:rsidR="003650E3">
        <w:rPr>
          <w:szCs w:val="24"/>
          <w:lang w:val="fr-CH"/>
        </w:rPr>
        <w:t>destinés à des usages différents</w:t>
      </w:r>
      <w:r w:rsidR="005D0630" w:rsidRPr="00730563">
        <w:rPr>
          <w:lang w:val="fr-CH"/>
        </w:rPr>
        <w:t>, qui fonctionnent sans lien réglementaire avec des navires</w:t>
      </w:r>
      <w:r w:rsidR="003228B3">
        <w:rPr>
          <w:lang w:val="fr-CH"/>
        </w:rPr>
        <w:t xml:space="preserve"> </w:t>
      </w:r>
      <w:r w:rsidR="005D0630" w:rsidRPr="00730563">
        <w:rPr>
          <w:lang w:val="fr-CH"/>
        </w:rPr>
        <w:t>ou des stations côtières</w:t>
      </w:r>
      <w:r w:rsidR="003228B3">
        <w:rPr>
          <w:lang w:val="fr-CH"/>
        </w:rPr>
        <w:t>;</w:t>
      </w:r>
    </w:p>
    <w:p w:rsidR="006B5418" w:rsidRPr="00730563" w:rsidRDefault="00156377" w:rsidP="00425FA3">
      <w:pPr>
        <w:rPr>
          <w:lang w:val="fr-CH"/>
        </w:rPr>
      </w:pPr>
      <w:r w:rsidRPr="000F13C2">
        <w:rPr>
          <w:i/>
          <w:iCs/>
          <w:lang w:val="fr-CH"/>
        </w:rPr>
        <w:t>b)</w:t>
      </w:r>
      <w:r w:rsidRPr="00730563">
        <w:rPr>
          <w:lang w:val="fr-CH"/>
        </w:rPr>
        <w:tab/>
      </w:r>
      <w:r w:rsidR="00C73ED6" w:rsidRPr="00730563">
        <w:rPr>
          <w:lang w:val="fr-CH"/>
        </w:rPr>
        <w:t xml:space="preserve">que, </w:t>
      </w:r>
      <w:r w:rsidR="00C73ED6">
        <w:rPr>
          <w:color w:val="000000"/>
        </w:rPr>
        <w:t xml:space="preserve">comme exemples de </w:t>
      </w:r>
      <w:r w:rsidR="00C73ED6" w:rsidRPr="00730563">
        <w:rPr>
          <w:lang w:val="fr-CH"/>
        </w:rPr>
        <w:t>dispositifs</w:t>
      </w:r>
      <w:r w:rsidR="00C73ED6">
        <w:rPr>
          <w:color w:val="000000"/>
        </w:rPr>
        <w:t xml:space="preserve"> de ce type, on peut citer, sans que cette liste soit exhaustive,</w:t>
      </w:r>
      <w:r w:rsidR="00C73ED6" w:rsidRPr="00730563">
        <w:rPr>
          <w:lang w:val="fr-CH"/>
        </w:rPr>
        <w:t xml:space="preserve"> les</w:t>
      </w:r>
      <w:r w:rsidRPr="00730563">
        <w:rPr>
          <w:lang w:val="fr-CH"/>
        </w:rPr>
        <w:t xml:space="preserve"> </w:t>
      </w:r>
      <w:r w:rsidR="00332CF8">
        <w:rPr>
          <w:lang w:val="fr-CH"/>
        </w:rPr>
        <w:t>«</w:t>
      </w:r>
      <w:r w:rsidR="006F359C">
        <w:rPr>
          <w:color w:val="000000"/>
        </w:rPr>
        <w:t>dispositifs signalant la présence d'une personne à la mer</w:t>
      </w:r>
      <w:r w:rsidR="00C73ED6">
        <w:rPr>
          <w:color w:val="000000"/>
        </w:rPr>
        <w:t>»</w:t>
      </w:r>
      <w:r w:rsidR="003228B3">
        <w:rPr>
          <w:color w:val="000000"/>
        </w:rPr>
        <w:t xml:space="preserve"> </w:t>
      </w:r>
      <w:r w:rsidR="006F359C">
        <w:rPr>
          <w:color w:val="000000"/>
        </w:rPr>
        <w:t>(MOB)</w:t>
      </w:r>
      <w:r w:rsidRPr="00730563">
        <w:rPr>
          <w:lang w:val="fr-CH"/>
        </w:rPr>
        <w:t xml:space="preserve">, </w:t>
      </w:r>
      <w:r w:rsidR="00C73ED6" w:rsidRPr="00730563">
        <w:rPr>
          <w:lang w:val="fr-CH"/>
        </w:rPr>
        <w:t>les dispositifs de repérage des plongeurs,</w:t>
      </w:r>
      <w:r w:rsidR="003228B3">
        <w:rPr>
          <w:lang w:val="fr-CH"/>
        </w:rPr>
        <w:t xml:space="preserve"> </w:t>
      </w:r>
      <w:r w:rsidR="00C73ED6" w:rsidRPr="00730563">
        <w:rPr>
          <w:lang w:val="fr-CH"/>
        </w:rPr>
        <w:t xml:space="preserve">les </w:t>
      </w:r>
      <w:r w:rsidR="006F359C" w:rsidRPr="00730563">
        <w:rPr>
          <w:lang w:val="fr-CH"/>
        </w:rPr>
        <w:t>dispositifs de localisation des filets de pêche,</w:t>
      </w:r>
      <w:r w:rsidR="003228B3">
        <w:rPr>
          <w:lang w:val="fr-CH"/>
        </w:rPr>
        <w:t xml:space="preserve"> </w:t>
      </w:r>
      <w:r w:rsidR="00C73ED6" w:rsidRPr="00730563">
        <w:rPr>
          <w:lang w:val="fr-CH"/>
        </w:rPr>
        <w:t>les</w:t>
      </w:r>
      <w:r w:rsidR="003228B3">
        <w:rPr>
          <w:lang w:val="fr-CH"/>
        </w:rPr>
        <w:t xml:space="preserve"> </w:t>
      </w:r>
      <w:r w:rsidR="00C73ED6" w:rsidRPr="00730563">
        <w:rPr>
          <w:lang w:val="fr-CH"/>
        </w:rPr>
        <w:t xml:space="preserve">dispositifs de </w:t>
      </w:r>
      <w:r w:rsidR="006F359C" w:rsidRPr="00730563">
        <w:rPr>
          <w:lang w:val="fr-CH"/>
        </w:rPr>
        <w:t>surveillance des icebergs</w:t>
      </w:r>
      <w:r w:rsidR="003228B3">
        <w:rPr>
          <w:lang w:val="fr-CH"/>
        </w:rPr>
        <w:t>,</w:t>
      </w:r>
      <w:r w:rsidR="00B1634C">
        <w:rPr>
          <w:lang w:val="fr-CH"/>
        </w:rPr>
        <w:t xml:space="preserve"> </w:t>
      </w:r>
      <w:r w:rsidR="00C73ED6" w:rsidRPr="00730563">
        <w:rPr>
          <w:lang w:val="fr-CH"/>
        </w:rPr>
        <w:t>les</w:t>
      </w:r>
      <w:r w:rsidR="003228B3">
        <w:rPr>
          <w:lang w:val="fr-CH"/>
        </w:rPr>
        <w:t xml:space="preserve"> </w:t>
      </w:r>
      <w:r w:rsidR="00C73ED6" w:rsidRPr="00730563">
        <w:rPr>
          <w:lang w:val="fr-CH"/>
        </w:rPr>
        <w:t>dispositifs de</w:t>
      </w:r>
      <w:r w:rsidRPr="00730563">
        <w:rPr>
          <w:lang w:val="fr-CH"/>
        </w:rPr>
        <w:t xml:space="preserve"> </w:t>
      </w:r>
      <w:r w:rsidR="00C73ED6">
        <w:rPr>
          <w:color w:val="000000"/>
        </w:rPr>
        <w:t>suivi des marées noires et les dispositifs de</w:t>
      </w:r>
      <w:r w:rsidR="00C73ED6" w:rsidRPr="00730563">
        <w:rPr>
          <w:lang w:val="fr-CH"/>
        </w:rPr>
        <w:t xml:space="preserve"> localisation</w:t>
      </w:r>
      <w:r w:rsidR="00C73ED6">
        <w:rPr>
          <w:color w:val="000000"/>
        </w:rPr>
        <w:t xml:space="preserve"> de bouées</w:t>
      </w:r>
      <w:r w:rsidR="003228B3">
        <w:rPr>
          <w:color w:val="000000"/>
        </w:rPr>
        <w:t xml:space="preserve"> </w:t>
      </w:r>
      <w:r w:rsidR="00C73ED6">
        <w:rPr>
          <w:color w:val="000000"/>
        </w:rPr>
        <w:t>océanographiques</w:t>
      </w:r>
      <w:r w:rsidR="00C60986">
        <w:rPr>
          <w:color w:val="000000"/>
        </w:rPr>
        <w:t>;</w:t>
      </w:r>
    </w:p>
    <w:p w:rsidR="004D08BE" w:rsidRPr="00730563" w:rsidRDefault="004D08BE" w:rsidP="00425FA3">
      <w:pPr>
        <w:rPr>
          <w:lang w:val="fr-CH"/>
        </w:rPr>
      </w:pPr>
      <w:r w:rsidRPr="000F13C2">
        <w:rPr>
          <w:i/>
          <w:iCs/>
          <w:lang w:val="fr-CH"/>
        </w:rPr>
        <w:t>c)</w:t>
      </w:r>
      <w:r w:rsidRPr="00730563">
        <w:rPr>
          <w:lang w:val="fr-CH"/>
        </w:rPr>
        <w:tab/>
      </w:r>
      <w:r w:rsidR="00C73ED6" w:rsidRPr="00730563">
        <w:rPr>
          <w:lang w:val="fr-CH"/>
        </w:rPr>
        <w:t>que ces dispositifs utilisent la technologie</w:t>
      </w:r>
      <w:r w:rsidR="003228B3">
        <w:rPr>
          <w:lang w:val="fr-CH"/>
        </w:rPr>
        <w:t xml:space="preserve"> </w:t>
      </w:r>
      <w:r w:rsidR="003650E3" w:rsidRPr="00730563">
        <w:rPr>
          <w:lang w:val="fr-CH"/>
        </w:rPr>
        <w:t>fondée sur le système d'identification automatique</w:t>
      </w:r>
      <w:r w:rsidRPr="00730563">
        <w:rPr>
          <w:lang w:val="fr-CH"/>
        </w:rPr>
        <w:t xml:space="preserve"> </w:t>
      </w:r>
      <w:r w:rsidR="003650E3" w:rsidRPr="00730563">
        <w:rPr>
          <w:lang w:val="fr-CH"/>
        </w:rPr>
        <w:t>(</w:t>
      </w:r>
      <w:r w:rsidRPr="00730563">
        <w:rPr>
          <w:lang w:val="fr-CH"/>
        </w:rPr>
        <w:t>AIS</w:t>
      </w:r>
      <w:r w:rsidR="00C60986">
        <w:rPr>
          <w:lang w:val="fr-CH"/>
        </w:rPr>
        <w:t>)</w:t>
      </w:r>
      <w:r w:rsidR="00C60986" w:rsidRPr="00730563">
        <w:rPr>
          <w:lang w:val="fr-CH"/>
        </w:rPr>
        <w:t xml:space="preserve"> ou</w:t>
      </w:r>
      <w:r w:rsidR="003228B3">
        <w:rPr>
          <w:lang w:val="fr-CH"/>
        </w:rPr>
        <w:t xml:space="preserve"> </w:t>
      </w:r>
      <w:r w:rsidR="003650E3" w:rsidRPr="00730563">
        <w:rPr>
          <w:lang w:val="fr-CH"/>
        </w:rPr>
        <w:t>le système d'appel sélectif numérique</w:t>
      </w:r>
      <w:r w:rsidR="003650E3" w:rsidRPr="00C73ED6">
        <w:rPr>
          <w:color w:val="000000"/>
        </w:rPr>
        <w:t xml:space="preserve"> </w:t>
      </w:r>
      <w:r w:rsidR="003650E3">
        <w:rPr>
          <w:color w:val="000000"/>
        </w:rPr>
        <w:t>(ASN</w:t>
      </w:r>
      <w:r w:rsidR="00C60986">
        <w:rPr>
          <w:color w:val="000000"/>
        </w:rPr>
        <w:t>) ou</w:t>
      </w:r>
      <w:r w:rsidR="00C73ED6">
        <w:rPr>
          <w:color w:val="000000"/>
        </w:rPr>
        <w:t xml:space="preserve"> une technologie permettant d</w:t>
      </w:r>
      <w:r w:rsidR="00B979D7">
        <w:rPr>
          <w:color w:val="000000"/>
        </w:rPr>
        <w:t>'</w:t>
      </w:r>
      <w:r w:rsidR="00C73ED6">
        <w:rPr>
          <w:color w:val="000000"/>
        </w:rPr>
        <w:t>émettre des messages prononcés par une voix de synthèse, voire une combinaison de ces</w:t>
      </w:r>
      <w:r w:rsidR="003228B3">
        <w:rPr>
          <w:color w:val="000000"/>
        </w:rPr>
        <w:t xml:space="preserve"> </w:t>
      </w:r>
      <w:r w:rsidR="00C73ED6">
        <w:rPr>
          <w:color w:val="000000"/>
        </w:rPr>
        <w:t>technologies</w:t>
      </w:r>
      <w:r w:rsidR="00C60986">
        <w:rPr>
          <w:color w:val="000000"/>
        </w:rPr>
        <w:t>,</w:t>
      </w:r>
    </w:p>
    <w:p w:rsidR="004D08BE" w:rsidRPr="00730563" w:rsidRDefault="003650E3" w:rsidP="00425FA3">
      <w:pPr>
        <w:pStyle w:val="Call"/>
        <w:rPr>
          <w:lang w:val="fr-CH"/>
        </w:rPr>
      </w:pPr>
      <w:r w:rsidRPr="00730563">
        <w:rPr>
          <w:lang w:val="fr-CH"/>
        </w:rPr>
        <w:t>r</w:t>
      </w:r>
      <w:r w:rsidR="00C73ED6" w:rsidRPr="00730563">
        <w:rPr>
          <w:lang w:val="fr-CH"/>
        </w:rPr>
        <w:t xml:space="preserve">econnaissant </w:t>
      </w:r>
    </w:p>
    <w:p w:rsidR="004D08BE" w:rsidRPr="00730563" w:rsidRDefault="004D08BE" w:rsidP="00425FA3">
      <w:pPr>
        <w:rPr>
          <w:lang w:val="fr-CH"/>
        </w:rPr>
      </w:pPr>
      <w:r w:rsidRPr="000F13C2">
        <w:rPr>
          <w:i/>
          <w:iCs/>
          <w:lang w:val="fr-CH"/>
        </w:rPr>
        <w:t>a)</w:t>
      </w:r>
      <w:r w:rsidRPr="00730563">
        <w:rPr>
          <w:lang w:val="fr-CH"/>
        </w:rPr>
        <w:tab/>
      </w:r>
      <w:r w:rsidR="00C73ED6" w:rsidRPr="00730563">
        <w:rPr>
          <w:lang w:val="fr-CH"/>
        </w:rPr>
        <w:t>que ces applications</w:t>
      </w:r>
      <w:r w:rsidR="003650E3" w:rsidRPr="00730563">
        <w:rPr>
          <w:lang w:val="fr-CH"/>
        </w:rPr>
        <w:t xml:space="preserve"> ne satisfont pas, ou ne satisfont que partiellement, </w:t>
      </w:r>
      <w:r w:rsidR="00C73ED6" w:rsidRPr="00730563">
        <w:rPr>
          <w:lang w:val="fr-CH"/>
        </w:rPr>
        <w:t>aux dispositions pertinentes du Règlement des radiocommunications et des Recommandations de l</w:t>
      </w:r>
      <w:r w:rsidR="00B979D7">
        <w:rPr>
          <w:lang w:val="fr-CH"/>
        </w:rPr>
        <w:t>'</w:t>
      </w:r>
      <w:r w:rsidR="00C73ED6" w:rsidRPr="00730563">
        <w:rPr>
          <w:lang w:val="fr-CH"/>
        </w:rPr>
        <w:t>UIT-R</w:t>
      </w:r>
      <w:r w:rsidR="003228B3">
        <w:rPr>
          <w:lang w:val="fr-CH"/>
        </w:rPr>
        <w:t>;</w:t>
      </w:r>
    </w:p>
    <w:p w:rsidR="004D08BE" w:rsidRPr="00730563" w:rsidRDefault="004D08BE" w:rsidP="00425FA3">
      <w:pPr>
        <w:rPr>
          <w:lang w:val="fr-CH"/>
        </w:rPr>
      </w:pPr>
      <w:r w:rsidRPr="000F13C2">
        <w:rPr>
          <w:i/>
          <w:iCs/>
          <w:lang w:val="fr-CH"/>
        </w:rPr>
        <w:t>b)</w:t>
      </w:r>
      <w:r w:rsidRPr="00730563">
        <w:rPr>
          <w:lang w:val="fr-CH"/>
        </w:rPr>
        <w:tab/>
      </w:r>
      <w:r w:rsidR="003650E3" w:rsidRPr="00730563">
        <w:rPr>
          <w:lang w:val="fr-CH"/>
        </w:rPr>
        <w:t>que le service mobile maritime es</w:t>
      </w:r>
      <w:r w:rsidR="00C60986">
        <w:rPr>
          <w:lang w:val="fr-CH"/>
        </w:rPr>
        <w:t>t un service de sécurité utilisé</w:t>
      </w:r>
      <w:r w:rsidR="003228B3">
        <w:rPr>
          <w:lang w:val="fr-CH"/>
        </w:rPr>
        <w:t xml:space="preserve"> </w:t>
      </w:r>
      <w:r w:rsidR="003650E3" w:rsidRPr="00730563">
        <w:rPr>
          <w:lang w:val="fr-CH"/>
        </w:rPr>
        <w:t>dans le monde entier</w:t>
      </w:r>
      <w:r w:rsidR="003228B3">
        <w:rPr>
          <w:lang w:val="fr-CH"/>
        </w:rPr>
        <w:t>;</w:t>
      </w:r>
    </w:p>
    <w:p w:rsidR="004D08BE" w:rsidRPr="00730563" w:rsidRDefault="004D08BE" w:rsidP="00425FA3">
      <w:pPr>
        <w:rPr>
          <w:lang w:val="fr-CH"/>
        </w:rPr>
      </w:pPr>
      <w:r w:rsidRPr="000F13C2">
        <w:rPr>
          <w:i/>
          <w:iCs/>
          <w:lang w:val="fr-CH"/>
        </w:rPr>
        <w:t>c)</w:t>
      </w:r>
      <w:r w:rsidRPr="00730563">
        <w:rPr>
          <w:lang w:val="fr-CH"/>
        </w:rPr>
        <w:tab/>
      </w:r>
      <w:r w:rsidR="003650E3" w:rsidRPr="00730563">
        <w:rPr>
          <w:lang w:val="fr-CH"/>
        </w:rPr>
        <w:t>que l</w:t>
      </w:r>
      <w:r w:rsidR="00B979D7">
        <w:rPr>
          <w:lang w:val="fr-CH"/>
        </w:rPr>
        <w:t>'</w:t>
      </w:r>
      <w:r w:rsidR="003650E3" w:rsidRPr="00730563">
        <w:rPr>
          <w:lang w:val="fr-CH"/>
        </w:rPr>
        <w:t>utilisation non réglementée des fréquences de l</w:t>
      </w:r>
      <w:r w:rsidR="00B979D7">
        <w:rPr>
          <w:lang w:val="fr-CH"/>
        </w:rPr>
        <w:t>'</w:t>
      </w:r>
      <w:r w:rsidR="003650E3" w:rsidRPr="00730563">
        <w:rPr>
          <w:lang w:val="fr-CH"/>
        </w:rPr>
        <w:t xml:space="preserve">Appendice 18 du Règlement des radiocommunications et </w:t>
      </w:r>
      <w:r w:rsidR="00FE14A6" w:rsidRPr="00730563">
        <w:rPr>
          <w:lang w:val="fr-CH"/>
        </w:rPr>
        <w:t xml:space="preserve">de </w:t>
      </w:r>
      <w:r w:rsidR="003650E3" w:rsidRPr="00730563">
        <w:rPr>
          <w:lang w:val="fr-CH"/>
        </w:rPr>
        <w:t>la numérotation</w:t>
      </w:r>
      <w:r w:rsidR="003228B3">
        <w:rPr>
          <w:lang w:val="fr-CH"/>
        </w:rPr>
        <w:t xml:space="preserve"> </w:t>
      </w:r>
      <w:r w:rsidRPr="00730563">
        <w:rPr>
          <w:lang w:val="fr-CH"/>
        </w:rPr>
        <w:t>(Recommandation UIT-R M.585</w:t>
      </w:r>
      <w:r w:rsidR="00C60986">
        <w:rPr>
          <w:lang w:val="fr-CH"/>
        </w:rPr>
        <w:t>)</w:t>
      </w:r>
      <w:r w:rsidR="00C60986" w:rsidRPr="00730563">
        <w:rPr>
          <w:lang w:val="fr-CH"/>
        </w:rPr>
        <w:t xml:space="preserve"> par</w:t>
      </w:r>
      <w:r w:rsidR="003228B3">
        <w:rPr>
          <w:lang w:val="fr-CH"/>
        </w:rPr>
        <w:t xml:space="preserve"> </w:t>
      </w:r>
      <w:r w:rsidR="003650E3" w:rsidRPr="00730563">
        <w:rPr>
          <w:lang w:val="fr-CH"/>
        </w:rPr>
        <w:t>ces dispositifs est source de confusion</w:t>
      </w:r>
      <w:r w:rsidR="003228B3">
        <w:rPr>
          <w:lang w:val="fr-CH"/>
        </w:rPr>
        <w:t xml:space="preserve"> </w:t>
      </w:r>
      <w:r w:rsidR="00FE14A6" w:rsidRPr="00730563">
        <w:rPr>
          <w:lang w:val="fr-CH"/>
        </w:rPr>
        <w:t>et a déjà été à l</w:t>
      </w:r>
      <w:r w:rsidR="00B979D7">
        <w:rPr>
          <w:lang w:val="fr-CH"/>
        </w:rPr>
        <w:t>'</w:t>
      </w:r>
      <w:r w:rsidR="00FE14A6" w:rsidRPr="00730563">
        <w:rPr>
          <w:lang w:val="fr-CH"/>
        </w:rPr>
        <w:t>origine de brouillages dans le service mobile maritime</w:t>
      </w:r>
      <w:r w:rsidR="003228B3">
        <w:rPr>
          <w:lang w:val="fr-CH"/>
        </w:rPr>
        <w:t>;</w:t>
      </w:r>
    </w:p>
    <w:p w:rsidR="004D08BE" w:rsidRPr="00730563" w:rsidRDefault="004D08BE" w:rsidP="00425FA3">
      <w:pPr>
        <w:rPr>
          <w:lang w:val="fr-CH"/>
        </w:rPr>
      </w:pPr>
      <w:r w:rsidRPr="000F13C2">
        <w:rPr>
          <w:i/>
          <w:iCs/>
          <w:lang w:val="fr-CH"/>
        </w:rPr>
        <w:t>d</w:t>
      </w:r>
      <w:r w:rsidR="00BF2826" w:rsidRPr="000F13C2">
        <w:rPr>
          <w:i/>
          <w:iCs/>
          <w:lang w:val="fr-CH"/>
        </w:rPr>
        <w:t>)</w:t>
      </w:r>
      <w:r w:rsidRPr="00730563">
        <w:rPr>
          <w:lang w:val="fr-CH"/>
        </w:rPr>
        <w:tab/>
      </w:r>
      <w:r w:rsidR="00FE14A6" w:rsidRPr="00730563">
        <w:rPr>
          <w:lang w:val="fr-CH"/>
        </w:rPr>
        <w:t>qu</w:t>
      </w:r>
      <w:r w:rsidR="00B979D7">
        <w:rPr>
          <w:lang w:val="fr-CH"/>
        </w:rPr>
        <w:t>'</w:t>
      </w:r>
      <w:r w:rsidR="00FE14A6" w:rsidRPr="00730563">
        <w:rPr>
          <w:lang w:val="fr-CH"/>
        </w:rPr>
        <w:t>il est nécessaire d</w:t>
      </w:r>
      <w:r w:rsidR="00B979D7">
        <w:rPr>
          <w:lang w:val="fr-CH"/>
        </w:rPr>
        <w:t>'</w:t>
      </w:r>
      <w:r w:rsidR="00FE14A6" w:rsidRPr="00730563">
        <w:rPr>
          <w:lang w:val="fr-CH"/>
        </w:rPr>
        <w:t>adopter des mesures d</w:t>
      </w:r>
      <w:r w:rsidR="00B979D7">
        <w:rPr>
          <w:lang w:val="fr-CH"/>
        </w:rPr>
        <w:t>'</w:t>
      </w:r>
      <w:r w:rsidR="00FE14A6" w:rsidRPr="00730563">
        <w:rPr>
          <w:lang w:val="fr-CH"/>
        </w:rPr>
        <w:t>harmonisation pour permettre l</w:t>
      </w:r>
      <w:r w:rsidR="00B979D7">
        <w:rPr>
          <w:lang w:val="fr-CH"/>
        </w:rPr>
        <w:t>'</w:t>
      </w:r>
      <w:r w:rsidR="00FE14A6" w:rsidRPr="00730563">
        <w:rPr>
          <w:lang w:val="fr-CH"/>
        </w:rPr>
        <w:t xml:space="preserve">exploitation des </w:t>
      </w:r>
      <w:r w:rsidR="00FE14A6">
        <w:rPr>
          <w:color w:val="000000"/>
        </w:rPr>
        <w:t>radiobalises maritimes personnelles</w:t>
      </w:r>
      <w:r w:rsidR="00FE14A6" w:rsidRPr="00730563">
        <w:rPr>
          <w:lang w:val="fr-CH"/>
        </w:rPr>
        <w:t xml:space="preserve"> dans</w:t>
      </w:r>
      <w:r w:rsidRPr="00730563">
        <w:rPr>
          <w:lang w:val="fr-CH"/>
        </w:rPr>
        <w:t xml:space="preserve"> </w:t>
      </w:r>
      <w:r w:rsidR="00FE14A6">
        <w:rPr>
          <w:color w:val="000000"/>
        </w:rPr>
        <w:t>la bande d'ondes métriques attribuée aux services maritimes</w:t>
      </w:r>
      <w:r w:rsidRPr="00730563">
        <w:rPr>
          <w:lang w:val="fr-CH"/>
        </w:rPr>
        <w:t>;</w:t>
      </w:r>
    </w:p>
    <w:p w:rsidR="004D08BE" w:rsidRPr="00730563" w:rsidRDefault="004D08BE" w:rsidP="00C60986">
      <w:pPr>
        <w:rPr>
          <w:lang w:val="fr-CH"/>
        </w:rPr>
      </w:pPr>
      <w:r w:rsidRPr="000F13C2">
        <w:rPr>
          <w:i/>
          <w:iCs/>
          <w:lang w:val="fr-CH"/>
        </w:rPr>
        <w:t>e)</w:t>
      </w:r>
      <w:r w:rsidRPr="00730563">
        <w:rPr>
          <w:lang w:val="fr-CH"/>
        </w:rPr>
        <w:tab/>
      </w:r>
      <w:r w:rsidR="00FE14A6" w:rsidRPr="00730563">
        <w:rPr>
          <w:lang w:val="fr-CH"/>
        </w:rPr>
        <w:t>que l</w:t>
      </w:r>
      <w:r w:rsidR="00B979D7">
        <w:rPr>
          <w:lang w:val="fr-CH"/>
        </w:rPr>
        <w:t>'</w:t>
      </w:r>
      <w:r w:rsidR="00FE14A6" w:rsidRPr="00730563">
        <w:rPr>
          <w:lang w:val="fr-CH"/>
        </w:rPr>
        <w:t>exploitation non réglementée de ces dispositifs compromet la sécurité de la na</w:t>
      </w:r>
      <w:r w:rsidR="00C60986">
        <w:rPr>
          <w:lang w:val="fr-CH"/>
        </w:rPr>
        <w:t>vigation et l</w:t>
      </w:r>
      <w:r w:rsidR="00B979D7">
        <w:rPr>
          <w:lang w:val="fr-CH"/>
        </w:rPr>
        <w:t>'</w:t>
      </w:r>
      <w:r w:rsidR="00C60986">
        <w:rPr>
          <w:lang w:val="fr-CH"/>
        </w:rPr>
        <w:t>intégrité du Système mondial de détresse et de sécurité en mer (SMDSM)</w:t>
      </w:r>
      <w:r w:rsidR="003228B3">
        <w:rPr>
          <w:lang w:val="fr-CH"/>
        </w:rPr>
        <w:t>,</w:t>
      </w:r>
    </w:p>
    <w:p w:rsidR="004D08BE" w:rsidRPr="00730563" w:rsidRDefault="004D08BE" w:rsidP="00425FA3">
      <w:pPr>
        <w:pStyle w:val="Call"/>
        <w:rPr>
          <w:lang w:val="fr-CH"/>
        </w:rPr>
      </w:pPr>
      <w:r w:rsidRPr="00730563">
        <w:rPr>
          <w:lang w:val="fr-CH"/>
        </w:rPr>
        <w:t>invite</w:t>
      </w:r>
      <w:r w:rsidR="003228B3">
        <w:rPr>
          <w:lang w:val="fr-CH"/>
        </w:rPr>
        <w:t xml:space="preserve"> </w:t>
      </w:r>
      <w:r w:rsidR="00FE14A6" w:rsidRPr="00730563">
        <w:rPr>
          <w:lang w:val="fr-CH"/>
        </w:rPr>
        <w:t>l</w:t>
      </w:r>
      <w:r w:rsidR="00B979D7">
        <w:rPr>
          <w:lang w:val="fr-CH"/>
        </w:rPr>
        <w:t>'</w:t>
      </w:r>
      <w:r w:rsidR="002E2C8C" w:rsidRPr="00730563">
        <w:rPr>
          <w:lang w:val="fr-CH"/>
        </w:rPr>
        <w:t>UIT</w:t>
      </w:r>
      <w:r w:rsidR="00BF2826">
        <w:rPr>
          <w:lang w:val="fr-CH"/>
        </w:rPr>
        <w:t>-</w:t>
      </w:r>
      <w:r w:rsidRPr="00730563">
        <w:rPr>
          <w:lang w:val="fr-CH"/>
        </w:rPr>
        <w:t>R</w:t>
      </w:r>
    </w:p>
    <w:p w:rsidR="004D08BE" w:rsidRPr="00730563" w:rsidRDefault="004D08BE" w:rsidP="00425FA3">
      <w:pPr>
        <w:rPr>
          <w:lang w:val="fr-CH"/>
        </w:rPr>
      </w:pPr>
      <w:r w:rsidRPr="00730563">
        <w:rPr>
          <w:lang w:val="fr-CH"/>
        </w:rPr>
        <w:t>1</w:t>
      </w:r>
      <w:r w:rsidRPr="00730563">
        <w:rPr>
          <w:lang w:val="fr-CH"/>
        </w:rPr>
        <w:tab/>
      </w:r>
      <w:r w:rsidR="00FE14A6" w:rsidRPr="00730563">
        <w:rPr>
          <w:lang w:val="fr-CH"/>
        </w:rPr>
        <w:t>à procéder aux études nécessaires pour classer par catégories les différents di</w:t>
      </w:r>
      <w:r w:rsidR="00F62BF5">
        <w:rPr>
          <w:lang w:val="fr-CH"/>
        </w:rPr>
        <w:t>spositifs de radiocommunication</w:t>
      </w:r>
      <w:r w:rsidR="00FE14A6" w:rsidRPr="00730563">
        <w:rPr>
          <w:lang w:val="fr-CH"/>
        </w:rPr>
        <w:t xml:space="preserve"> maritimes autonomes</w:t>
      </w:r>
      <w:r w:rsidR="003228B3">
        <w:rPr>
          <w:lang w:val="fr-CH"/>
        </w:rPr>
        <w:t>;</w:t>
      </w:r>
    </w:p>
    <w:p w:rsidR="004D08BE" w:rsidRPr="00730563" w:rsidRDefault="004D08BE" w:rsidP="000F13C2">
      <w:pPr>
        <w:rPr>
          <w:lang w:val="fr-CH"/>
        </w:rPr>
      </w:pPr>
      <w:r w:rsidRPr="00730563">
        <w:rPr>
          <w:lang w:val="fr-CH"/>
        </w:rPr>
        <w:t>2</w:t>
      </w:r>
      <w:r w:rsidRPr="00730563">
        <w:rPr>
          <w:lang w:val="fr-CH"/>
        </w:rPr>
        <w:tab/>
      </w:r>
      <w:r w:rsidR="00FE14A6" w:rsidRPr="00730563">
        <w:rPr>
          <w:lang w:val="fr-CH"/>
        </w:rPr>
        <w:t>à procéder aux études nécessaires, sur la base des résultats</w:t>
      </w:r>
      <w:r w:rsidR="003228B3">
        <w:rPr>
          <w:lang w:val="fr-CH"/>
        </w:rPr>
        <w:t xml:space="preserve"> </w:t>
      </w:r>
      <w:r w:rsidR="00F62BF5">
        <w:rPr>
          <w:lang w:val="fr-CH"/>
        </w:rPr>
        <w:t>des études visées au</w:t>
      </w:r>
      <w:r w:rsidR="00FE14A6" w:rsidRPr="00730563">
        <w:rPr>
          <w:lang w:val="fr-CH"/>
        </w:rPr>
        <w:t xml:space="preserve"> point</w:t>
      </w:r>
      <w:r w:rsidR="003228B3">
        <w:rPr>
          <w:lang w:val="fr-CH"/>
        </w:rPr>
        <w:t xml:space="preserve"> </w:t>
      </w:r>
      <w:r w:rsidR="00FE14A6" w:rsidRPr="00730563">
        <w:rPr>
          <w:lang w:val="fr-CH"/>
        </w:rPr>
        <w:t>1</w:t>
      </w:r>
      <w:r w:rsidR="003228B3">
        <w:rPr>
          <w:lang w:val="fr-CH"/>
        </w:rPr>
        <w:t xml:space="preserve"> </w:t>
      </w:r>
      <w:r w:rsidR="00FE14A6" w:rsidRPr="00730563">
        <w:rPr>
          <w:lang w:val="fr-CH"/>
        </w:rPr>
        <w:t xml:space="preserve">du </w:t>
      </w:r>
      <w:r w:rsidR="00FE14A6" w:rsidRPr="000F13C2">
        <w:rPr>
          <w:i/>
          <w:iCs/>
          <w:lang w:val="fr-CH"/>
        </w:rPr>
        <w:t>invite l</w:t>
      </w:r>
      <w:r w:rsidR="00B979D7" w:rsidRPr="000F13C2">
        <w:rPr>
          <w:i/>
          <w:iCs/>
          <w:lang w:val="fr-CH"/>
        </w:rPr>
        <w:t>'</w:t>
      </w:r>
      <w:r w:rsidR="00FE14A6" w:rsidRPr="000F13C2">
        <w:rPr>
          <w:i/>
          <w:iCs/>
          <w:lang w:val="fr-CH"/>
        </w:rPr>
        <w:t>UIT-R</w:t>
      </w:r>
      <w:r w:rsidR="00FE14A6" w:rsidRPr="00730563">
        <w:rPr>
          <w:lang w:val="fr-CH"/>
        </w:rPr>
        <w:t xml:space="preserve">, pour déterminer les dispositions réglementaires à adopter </w:t>
      </w:r>
      <w:r w:rsidR="000F13C2">
        <w:rPr>
          <w:lang w:val="fr-CH"/>
        </w:rPr>
        <w:t>a</w:t>
      </w:r>
      <w:r w:rsidR="00FE14A6" w:rsidRPr="00730563">
        <w:rPr>
          <w:lang w:val="fr-CH"/>
        </w:rPr>
        <w:t>fin de permettre l</w:t>
      </w:r>
      <w:r w:rsidR="00B979D7">
        <w:rPr>
          <w:lang w:val="fr-CH"/>
        </w:rPr>
        <w:t>'</w:t>
      </w:r>
      <w:r w:rsidR="00FE14A6" w:rsidRPr="00730563">
        <w:rPr>
          <w:lang w:val="fr-CH"/>
        </w:rPr>
        <w:t>exploitation des di</w:t>
      </w:r>
      <w:r w:rsidR="00F62BF5">
        <w:rPr>
          <w:lang w:val="fr-CH"/>
        </w:rPr>
        <w:t>spositifs de radiocommunication</w:t>
      </w:r>
      <w:r w:rsidR="00FE14A6" w:rsidRPr="00730563">
        <w:rPr>
          <w:lang w:val="fr-CH"/>
        </w:rPr>
        <w:t xml:space="preserve"> maritimes autonomes non associées à des navires ou à des stations côtières</w:t>
      </w:r>
      <w:r w:rsidR="003228B3">
        <w:rPr>
          <w:lang w:val="fr-CH"/>
        </w:rPr>
        <w:t>;</w:t>
      </w:r>
    </w:p>
    <w:p w:rsidR="006B5418" w:rsidRPr="004D08BE" w:rsidRDefault="004D08BE" w:rsidP="000F13C2">
      <w:pPr>
        <w:rPr>
          <w:lang w:val="fr-CH"/>
        </w:rPr>
      </w:pPr>
      <w:r>
        <w:lastRenderedPageBreak/>
        <w:t>3</w:t>
      </w:r>
      <w:r w:rsidRPr="004473DA">
        <w:tab/>
      </w:r>
      <w:r w:rsidRPr="004D08BE">
        <w:t>à mener des études de partage et de compatibilité, sur la base des résultats</w:t>
      </w:r>
      <w:r w:rsidR="000F13C2">
        <w:t xml:space="preserve"> des études visées aux</w:t>
      </w:r>
      <w:r w:rsidRPr="004D08BE">
        <w:t xml:space="preserve"> point</w:t>
      </w:r>
      <w:r w:rsidR="00FE14A6">
        <w:t>s</w:t>
      </w:r>
      <w:r w:rsidRPr="004D08BE">
        <w:t xml:space="preserve"> 1 </w:t>
      </w:r>
      <w:r w:rsidR="00FE14A6">
        <w:t xml:space="preserve">et 2 </w:t>
      </w:r>
      <w:r w:rsidRPr="004D08BE">
        <w:t xml:space="preserve">du </w:t>
      </w:r>
      <w:r w:rsidRPr="000F13C2">
        <w:rPr>
          <w:i/>
          <w:iCs/>
        </w:rPr>
        <w:t>invite l'UIT-R</w:t>
      </w:r>
      <w:r w:rsidRPr="004D08BE">
        <w:t>, afin de déterminer des bandes de fréquences et des mesures réglementaires appropriées;</w:t>
      </w:r>
    </w:p>
    <w:p w:rsidR="004D08BE" w:rsidRPr="00730563" w:rsidRDefault="004D08BE" w:rsidP="000F13C2">
      <w:pPr>
        <w:rPr>
          <w:lang w:val="fr-CH"/>
        </w:rPr>
      </w:pPr>
      <w:r w:rsidRPr="00730563">
        <w:rPr>
          <w:lang w:val="fr-CH"/>
        </w:rPr>
        <w:t>4</w:t>
      </w:r>
      <w:r w:rsidRPr="00730563">
        <w:rPr>
          <w:lang w:val="fr-CH"/>
        </w:rPr>
        <w:tab/>
      </w:r>
      <w:r w:rsidR="00FE14A6" w:rsidRPr="004D08BE">
        <w:t>à mener des études sur la base des résultats</w:t>
      </w:r>
      <w:r w:rsidR="00F62BF5">
        <w:t xml:space="preserve"> des études visées aux</w:t>
      </w:r>
      <w:r w:rsidR="00FE14A6" w:rsidRPr="004D08BE">
        <w:t xml:space="preserve"> point</w:t>
      </w:r>
      <w:r w:rsidR="00FE14A6">
        <w:t>s</w:t>
      </w:r>
      <w:r w:rsidR="00FE14A6" w:rsidRPr="004D08BE">
        <w:t xml:space="preserve"> 1 </w:t>
      </w:r>
      <w:r w:rsidR="00FE14A6">
        <w:t>à 3</w:t>
      </w:r>
      <w:r w:rsidR="003228B3">
        <w:t xml:space="preserve"> </w:t>
      </w:r>
      <w:r w:rsidR="00FE14A6" w:rsidRPr="004D08BE">
        <w:t xml:space="preserve">du </w:t>
      </w:r>
      <w:r w:rsidR="00FE14A6" w:rsidRPr="000F13C2">
        <w:rPr>
          <w:i/>
          <w:iCs/>
        </w:rPr>
        <w:t>invite l'UIT-R</w:t>
      </w:r>
      <w:r w:rsidR="00FE14A6" w:rsidRPr="004D08BE">
        <w:t>,</w:t>
      </w:r>
      <w:r w:rsidR="003228B3">
        <w:t xml:space="preserve"> </w:t>
      </w:r>
      <w:r w:rsidR="00FE14A6" w:rsidRPr="00730563">
        <w:rPr>
          <w:lang w:val="fr-CH"/>
        </w:rPr>
        <w:t xml:space="preserve">compte tenu des techniques maritimes actuelles, </w:t>
      </w:r>
      <w:r w:rsidR="000F13C2">
        <w:rPr>
          <w:lang w:val="fr-CH"/>
        </w:rPr>
        <w:t>a</w:t>
      </w:r>
      <w:r w:rsidR="00FE14A6" w:rsidRPr="00730563">
        <w:rPr>
          <w:lang w:val="fr-CH"/>
        </w:rPr>
        <w:t>fin</w:t>
      </w:r>
      <w:r w:rsidR="0069027E" w:rsidRPr="00730563">
        <w:rPr>
          <w:lang w:val="fr-CH"/>
        </w:rPr>
        <w:t xml:space="preserve"> d</w:t>
      </w:r>
      <w:r w:rsidR="00B979D7">
        <w:rPr>
          <w:lang w:val="fr-CH"/>
        </w:rPr>
        <w:t>'</w:t>
      </w:r>
      <w:r w:rsidR="0069027E" w:rsidRPr="00730563">
        <w:rPr>
          <w:lang w:val="fr-CH"/>
        </w:rPr>
        <w:t>identifier des bandes de fréquences pour les di</w:t>
      </w:r>
      <w:r w:rsidR="00F62BF5">
        <w:rPr>
          <w:lang w:val="fr-CH"/>
        </w:rPr>
        <w:t>spositifs de radiocommunication</w:t>
      </w:r>
      <w:r w:rsidR="0069027E" w:rsidRPr="00730563">
        <w:rPr>
          <w:lang w:val="fr-CH"/>
        </w:rPr>
        <w:t xml:space="preserve"> maritimes autonomes dans la bande de fréquences</w:t>
      </w:r>
      <w:r w:rsidR="003228B3">
        <w:rPr>
          <w:lang w:val="fr-CH"/>
        </w:rPr>
        <w:t xml:space="preserve"> </w:t>
      </w:r>
      <w:r w:rsidRPr="00730563">
        <w:rPr>
          <w:lang w:val="fr-CH"/>
        </w:rPr>
        <w:t>154-174 MHz,</w:t>
      </w:r>
    </w:p>
    <w:p w:rsidR="004D08BE" w:rsidRPr="00730563" w:rsidRDefault="0069027E" w:rsidP="00425FA3">
      <w:pPr>
        <w:pStyle w:val="Call"/>
        <w:rPr>
          <w:lang w:val="fr-CH"/>
        </w:rPr>
      </w:pPr>
      <w:r w:rsidRPr="00730563">
        <w:rPr>
          <w:lang w:val="fr-CH"/>
        </w:rPr>
        <w:t>décide d</w:t>
      </w:r>
      <w:r w:rsidR="00B979D7">
        <w:rPr>
          <w:lang w:val="fr-CH"/>
        </w:rPr>
        <w:t>'</w:t>
      </w:r>
      <w:r w:rsidRPr="00730563">
        <w:rPr>
          <w:lang w:val="fr-CH"/>
        </w:rPr>
        <w:t>inviter la</w:t>
      </w:r>
      <w:r w:rsidR="004D08BE" w:rsidRPr="00730563">
        <w:rPr>
          <w:lang w:val="fr-CH"/>
        </w:rPr>
        <w:t xml:space="preserve"> </w:t>
      </w:r>
      <w:r w:rsidR="00F50032">
        <w:rPr>
          <w:lang w:val="fr-CH"/>
        </w:rPr>
        <w:t>CMR</w:t>
      </w:r>
      <w:r w:rsidR="004D08BE" w:rsidRPr="00730563">
        <w:rPr>
          <w:lang w:val="fr-CH"/>
        </w:rPr>
        <w:t>-19</w:t>
      </w:r>
    </w:p>
    <w:p w:rsidR="004D08BE" w:rsidRPr="00730563" w:rsidRDefault="0069027E" w:rsidP="00425FA3">
      <w:pPr>
        <w:rPr>
          <w:lang w:val="fr-CH"/>
        </w:rPr>
      </w:pPr>
      <w:r w:rsidRPr="00730563">
        <w:rPr>
          <w:lang w:val="fr-CH"/>
        </w:rPr>
        <w:t xml:space="preserve">à examiner, </w:t>
      </w:r>
      <w:r>
        <w:rPr>
          <w:color w:val="000000"/>
        </w:rPr>
        <w:t xml:space="preserve">en se fondant sur les </w:t>
      </w:r>
      <w:r w:rsidRPr="00730563">
        <w:rPr>
          <w:lang w:val="fr-CH"/>
        </w:rPr>
        <w:t>ré</w:t>
      </w:r>
      <w:r w:rsidR="00F62BF5">
        <w:rPr>
          <w:lang w:val="fr-CH"/>
        </w:rPr>
        <w:t>sultats des études de l</w:t>
      </w:r>
      <w:r w:rsidR="00B979D7">
        <w:rPr>
          <w:lang w:val="fr-CH"/>
        </w:rPr>
        <w:t>'</w:t>
      </w:r>
      <w:r w:rsidR="00F62BF5">
        <w:rPr>
          <w:lang w:val="fr-CH"/>
        </w:rPr>
        <w:t>UIT-R, d</w:t>
      </w:r>
      <w:r w:rsidRPr="00730563">
        <w:rPr>
          <w:lang w:val="fr-CH"/>
        </w:rPr>
        <w:t>es mesures régleme</w:t>
      </w:r>
      <w:r w:rsidR="00F62BF5">
        <w:rPr>
          <w:lang w:val="fr-CH"/>
        </w:rPr>
        <w:t>ntaires appropriées, y compris d</w:t>
      </w:r>
      <w:r w:rsidRPr="00730563">
        <w:rPr>
          <w:lang w:val="fr-CH"/>
        </w:rPr>
        <w:t>es attributions de fréquences, pour</w:t>
      </w:r>
      <w:r w:rsidR="003228B3">
        <w:rPr>
          <w:lang w:val="fr-CH"/>
        </w:rPr>
        <w:t xml:space="preserve"> </w:t>
      </w:r>
      <w:r w:rsidRPr="00730563">
        <w:rPr>
          <w:lang w:val="fr-CH"/>
        </w:rPr>
        <w:t>permettre aux di</w:t>
      </w:r>
      <w:r w:rsidR="00F62BF5">
        <w:rPr>
          <w:lang w:val="fr-CH"/>
        </w:rPr>
        <w:t>spositifs de radiocommunication</w:t>
      </w:r>
      <w:r w:rsidRPr="00730563">
        <w:rPr>
          <w:lang w:val="fr-CH"/>
        </w:rPr>
        <w:t xml:space="preserve"> maritimes</w:t>
      </w:r>
      <w:r w:rsidR="003228B3">
        <w:rPr>
          <w:lang w:val="fr-CH"/>
        </w:rPr>
        <w:t xml:space="preserve"> </w:t>
      </w:r>
      <w:r w:rsidR="00F62BF5">
        <w:rPr>
          <w:lang w:val="fr-CH"/>
        </w:rPr>
        <w:t>fonctionnant sans lien avec des navires ou d</w:t>
      </w:r>
      <w:r w:rsidRPr="00730563">
        <w:rPr>
          <w:lang w:val="fr-CH"/>
        </w:rPr>
        <w:t>es stations côtières d</w:t>
      </w:r>
      <w:r w:rsidR="00B979D7">
        <w:rPr>
          <w:lang w:val="fr-CH"/>
        </w:rPr>
        <w:t>'</w:t>
      </w:r>
      <w:r w:rsidRPr="00730563">
        <w:rPr>
          <w:lang w:val="fr-CH"/>
        </w:rPr>
        <w:t>assurer et d</w:t>
      </w:r>
      <w:r w:rsidR="00B979D7">
        <w:rPr>
          <w:lang w:val="fr-CH"/>
        </w:rPr>
        <w:t>'</w:t>
      </w:r>
      <w:r w:rsidRPr="00730563">
        <w:rPr>
          <w:lang w:val="fr-CH"/>
        </w:rPr>
        <w:t>améliorer la sécurité de la navigation</w:t>
      </w:r>
      <w:r w:rsidR="003228B3">
        <w:rPr>
          <w:lang w:val="fr-CH"/>
        </w:rPr>
        <w:t>,</w:t>
      </w:r>
    </w:p>
    <w:p w:rsidR="004D08BE" w:rsidRPr="005E234F" w:rsidRDefault="004D08BE" w:rsidP="00425FA3">
      <w:pPr>
        <w:pStyle w:val="Call"/>
      </w:pPr>
      <w:r w:rsidRPr="005E234F">
        <w:t>invite en outre</w:t>
      </w:r>
    </w:p>
    <w:p w:rsidR="006B5418" w:rsidRPr="004D08BE" w:rsidRDefault="00B1634C" w:rsidP="00425FA3">
      <w:pPr>
        <w:rPr>
          <w:lang w:val="fr-CH"/>
        </w:rPr>
      </w:pPr>
      <w:r>
        <w:t>l</w:t>
      </w:r>
      <w:r w:rsidR="00B979D7">
        <w:t>'</w:t>
      </w:r>
      <w:r>
        <w:t>Organisation</w:t>
      </w:r>
      <w:r w:rsidR="0069027E">
        <w:t xml:space="preserve"> maritime internationale</w:t>
      </w:r>
      <w:r>
        <w:t>, (</w:t>
      </w:r>
      <w:r w:rsidR="0069027E">
        <w:t>OMI)</w:t>
      </w:r>
      <w:r w:rsidR="004D08BE" w:rsidRPr="00B67AA7">
        <w:t>, l'Organisation météorologique mondiale (OMM), l'Organisation hydrographique internationale (OHI), l'Association internationale de signalisation maritime (AISM), la Commission électrotechnique internationale (CEI</w:t>
      </w:r>
      <w:r>
        <w:t>)</w:t>
      </w:r>
      <w:r w:rsidRPr="00B67AA7">
        <w:t xml:space="preserve"> et</w:t>
      </w:r>
      <w:r w:rsidR="004D08BE" w:rsidRPr="00B67AA7">
        <w:t xml:space="preserve"> </w:t>
      </w:r>
      <w:r w:rsidR="004D08BE">
        <w:t xml:space="preserve">le </w:t>
      </w:r>
      <w:r w:rsidR="004D08BE" w:rsidRPr="00B67AA7">
        <w:t>Comité international radio-maritime (CIRM</w:t>
      </w:r>
      <w:r>
        <w:t>)</w:t>
      </w:r>
      <w:r w:rsidRPr="00B67AA7">
        <w:t xml:space="preserve"> à</w:t>
      </w:r>
      <w:r w:rsidR="004D08BE" w:rsidRPr="00B67AA7">
        <w:t xml:space="preserve"> contribuer à ces études,</w:t>
      </w:r>
    </w:p>
    <w:p w:rsidR="006B37A6" w:rsidRPr="005E234F" w:rsidRDefault="006B37A6" w:rsidP="00425FA3">
      <w:pPr>
        <w:pStyle w:val="Call"/>
      </w:pPr>
      <w:r w:rsidRPr="005E234F">
        <w:t>charge le Secrétaire général</w:t>
      </w:r>
    </w:p>
    <w:p w:rsidR="00BC536B" w:rsidRDefault="006B37A6" w:rsidP="00425FA3">
      <w:r w:rsidRPr="00B67AA7">
        <w:t>de porter la présente Résolution à l'attention de l'OMI, de l'OMM, de l'OHI, de la CEI, de l'AISM</w:t>
      </w:r>
      <w:r>
        <w:t>,</w:t>
      </w:r>
      <w:r w:rsidRPr="00B67AA7">
        <w:t xml:space="preserve"> du CIRM et </w:t>
      </w:r>
      <w:r>
        <w:t xml:space="preserve">des </w:t>
      </w:r>
      <w:r w:rsidRPr="00B67AA7">
        <w:t xml:space="preserve">autres organisations internationales </w:t>
      </w:r>
      <w:r>
        <w:t>ou</w:t>
      </w:r>
      <w:r w:rsidRPr="00B67AA7">
        <w:t xml:space="preserve"> régionales concernées.</w:t>
      </w:r>
    </w:p>
    <w:p w:rsidR="00F27EE5" w:rsidRDefault="00F27EE5" w:rsidP="00F27EE5">
      <w:pPr>
        <w:pStyle w:val="Reasons"/>
      </w:pPr>
    </w:p>
    <w:p w:rsidR="00BC536B" w:rsidRDefault="00BC536B" w:rsidP="00425FA3">
      <w:pPr>
        <w:tabs>
          <w:tab w:val="clear" w:pos="1134"/>
          <w:tab w:val="clear" w:pos="1871"/>
          <w:tab w:val="clear" w:pos="2268"/>
        </w:tabs>
        <w:overflowPunct/>
        <w:autoSpaceDE/>
        <w:autoSpaceDN/>
        <w:adjustRightInd/>
        <w:spacing w:before="0"/>
        <w:textAlignment w:val="auto"/>
        <w:rPr>
          <w:lang w:val="fr-CH"/>
        </w:rPr>
      </w:pPr>
      <w:r>
        <w:rPr>
          <w:lang w:val="fr-CH"/>
        </w:rPr>
        <w:br w:type="page"/>
      </w:r>
    </w:p>
    <w:p w:rsidR="00BC536B" w:rsidRPr="00730563" w:rsidRDefault="00EE436A" w:rsidP="00425FA3">
      <w:pPr>
        <w:pStyle w:val="Appendixtitle"/>
        <w:rPr>
          <w:lang w:val="fr-CH"/>
        </w:rPr>
      </w:pPr>
      <w:r w:rsidRPr="00730563">
        <w:rPr>
          <w:lang w:val="fr-CH"/>
        </w:rPr>
        <w:lastRenderedPageBreak/>
        <w:t>Proposition d</w:t>
      </w:r>
      <w:r w:rsidR="00B979D7">
        <w:rPr>
          <w:lang w:val="fr-CH"/>
        </w:rPr>
        <w:t>'</w:t>
      </w:r>
      <w:r w:rsidRPr="00730563">
        <w:rPr>
          <w:lang w:val="fr-CH"/>
        </w:rPr>
        <w:t>inscription d</w:t>
      </w:r>
      <w:r w:rsidR="00B979D7">
        <w:rPr>
          <w:lang w:val="fr-CH"/>
        </w:rPr>
        <w:t>'</w:t>
      </w:r>
      <w:r w:rsidRPr="00730563">
        <w:rPr>
          <w:lang w:val="fr-CH"/>
        </w:rPr>
        <w:t>un point à l</w:t>
      </w:r>
      <w:r w:rsidR="00B979D7">
        <w:rPr>
          <w:lang w:val="fr-CH"/>
        </w:rPr>
        <w:t>'</w:t>
      </w:r>
      <w:r w:rsidRPr="00730563">
        <w:rPr>
          <w:lang w:val="fr-CH"/>
        </w:rPr>
        <w:t xml:space="preserve">ordre du jour de la </w:t>
      </w:r>
      <w:r w:rsidR="00F50032">
        <w:rPr>
          <w:lang w:val="fr-CH"/>
        </w:rPr>
        <w:t>CMR</w:t>
      </w:r>
      <w:r w:rsidR="00BC536B" w:rsidRPr="00730563">
        <w:rPr>
          <w:lang w:val="fr-CH"/>
        </w:rPr>
        <w:t>-19</w:t>
      </w:r>
    </w:p>
    <w:tbl>
      <w:tblPr>
        <w:tblStyle w:val="TableGrid"/>
        <w:tblpPr w:leftFromText="180" w:rightFromText="180" w:vertAnchor="text" w:tblpY="1"/>
        <w:tblOverlap w:val="never"/>
        <w:tblW w:w="0" w:type="auto"/>
        <w:tblLook w:val="04A0" w:firstRow="1" w:lastRow="0" w:firstColumn="1" w:lastColumn="0" w:noHBand="0" w:noVBand="1"/>
      </w:tblPr>
      <w:tblGrid>
        <w:gridCol w:w="1418"/>
        <w:gridCol w:w="3132"/>
        <w:gridCol w:w="5089"/>
      </w:tblGrid>
      <w:tr w:rsidR="000F13C2" w:rsidTr="008653E6">
        <w:tc>
          <w:tcPr>
            <w:tcW w:w="1418" w:type="dxa"/>
            <w:tcBorders>
              <w:top w:val="nil"/>
              <w:left w:val="nil"/>
              <w:bottom w:val="nil"/>
              <w:right w:val="nil"/>
            </w:tcBorders>
          </w:tcPr>
          <w:p w:rsidR="000F13C2" w:rsidRPr="00FD175A" w:rsidRDefault="000F13C2" w:rsidP="008653E6">
            <w:pPr>
              <w:tabs>
                <w:tab w:val="clear" w:pos="1871"/>
                <w:tab w:val="clear" w:pos="2268"/>
                <w:tab w:val="left" w:pos="6123"/>
              </w:tabs>
              <w:spacing w:before="60"/>
              <w:rPr>
                <w:b/>
                <w:bCs/>
                <w:i/>
                <w:iCs/>
                <w:lang w:val="fr-CH"/>
              </w:rPr>
            </w:pPr>
            <w:r w:rsidRPr="00FD175A">
              <w:rPr>
                <w:b/>
                <w:bCs/>
                <w:i/>
                <w:iCs/>
                <w:lang w:val="fr-CH"/>
              </w:rPr>
              <w:t>Objet:</w:t>
            </w:r>
          </w:p>
        </w:tc>
        <w:tc>
          <w:tcPr>
            <w:tcW w:w="8221" w:type="dxa"/>
            <w:gridSpan w:val="2"/>
            <w:tcBorders>
              <w:top w:val="nil"/>
              <w:left w:val="nil"/>
              <w:bottom w:val="nil"/>
              <w:right w:val="nil"/>
            </w:tcBorders>
          </w:tcPr>
          <w:p w:rsidR="000F13C2" w:rsidRDefault="000F13C2" w:rsidP="008653E6">
            <w:pPr>
              <w:tabs>
                <w:tab w:val="clear" w:pos="1871"/>
                <w:tab w:val="clear" w:pos="2268"/>
                <w:tab w:val="left" w:pos="6123"/>
              </w:tabs>
              <w:spacing w:before="60"/>
              <w:rPr>
                <w:b/>
                <w:bCs/>
                <w:i/>
                <w:iCs/>
                <w:lang w:val="fr-CH"/>
              </w:rPr>
            </w:pPr>
            <w:r>
              <w:rPr>
                <w:lang w:val="fr-CH"/>
              </w:rPr>
              <w:t>E</w:t>
            </w:r>
            <w:r w:rsidRPr="00730563">
              <w:rPr>
                <w:lang w:val="fr-CH"/>
              </w:rPr>
              <w:t>tudes relatives aux di</w:t>
            </w:r>
            <w:r>
              <w:rPr>
                <w:lang w:val="fr-CH"/>
              </w:rPr>
              <w:t>spositifs de radiocommunication</w:t>
            </w:r>
            <w:r w:rsidRPr="00730563">
              <w:rPr>
                <w:lang w:val="fr-CH"/>
              </w:rPr>
              <w:t xml:space="preserve"> maritimes fonctionnant dans la bande de fréquences 154-174 MH</w:t>
            </w:r>
            <w:r>
              <w:rPr>
                <w:lang w:val="fr-CH"/>
              </w:rPr>
              <w:t>z sans lien réglementaire avec des navires ou d</w:t>
            </w:r>
            <w:r w:rsidRPr="00730563">
              <w:rPr>
                <w:lang w:val="fr-CH"/>
              </w:rPr>
              <w:t>es stations côtières pour assurer la sécurité de la navigation et protéger l</w:t>
            </w:r>
            <w:r>
              <w:rPr>
                <w:lang w:val="fr-CH"/>
              </w:rPr>
              <w:t>'</w:t>
            </w:r>
            <w:r w:rsidRPr="00730563">
              <w:rPr>
                <w:lang w:val="fr-CH"/>
              </w:rPr>
              <w:t>intégrité du</w:t>
            </w:r>
            <w:r>
              <w:rPr>
                <w:b/>
                <w:bCs/>
                <w:lang w:val="fr-CH"/>
              </w:rPr>
              <w:t xml:space="preserve"> </w:t>
            </w:r>
            <w:r w:rsidRPr="00730563">
              <w:rPr>
                <w:lang w:val="fr-CH"/>
              </w:rPr>
              <w:t>SMDSM</w:t>
            </w:r>
          </w:p>
        </w:tc>
      </w:tr>
      <w:tr w:rsidR="000F13C2" w:rsidTr="008653E6">
        <w:tc>
          <w:tcPr>
            <w:tcW w:w="1418" w:type="dxa"/>
            <w:tcBorders>
              <w:top w:val="nil"/>
              <w:left w:val="nil"/>
              <w:bottom w:val="single" w:sz="4" w:space="0" w:color="auto"/>
              <w:right w:val="nil"/>
            </w:tcBorders>
          </w:tcPr>
          <w:p w:rsidR="000F13C2" w:rsidRPr="00FD175A" w:rsidRDefault="000F13C2" w:rsidP="008653E6">
            <w:pPr>
              <w:tabs>
                <w:tab w:val="clear" w:pos="1871"/>
                <w:tab w:val="clear" w:pos="2268"/>
                <w:tab w:val="left" w:pos="6123"/>
              </w:tabs>
              <w:spacing w:before="80" w:after="40"/>
              <w:rPr>
                <w:b/>
                <w:bCs/>
                <w:i/>
                <w:iCs/>
                <w:lang w:val="fr-CH"/>
              </w:rPr>
            </w:pPr>
            <w:r w:rsidRPr="00FD175A">
              <w:rPr>
                <w:b/>
                <w:bCs/>
                <w:i/>
                <w:iCs/>
              </w:rPr>
              <w:t>Origine:</w:t>
            </w:r>
          </w:p>
        </w:tc>
        <w:tc>
          <w:tcPr>
            <w:tcW w:w="8221" w:type="dxa"/>
            <w:gridSpan w:val="2"/>
            <w:tcBorders>
              <w:top w:val="nil"/>
              <w:left w:val="nil"/>
              <w:bottom w:val="single" w:sz="4" w:space="0" w:color="auto"/>
              <w:right w:val="nil"/>
            </w:tcBorders>
          </w:tcPr>
          <w:p w:rsidR="000F13C2" w:rsidRDefault="000F13C2" w:rsidP="008653E6">
            <w:pPr>
              <w:tabs>
                <w:tab w:val="clear" w:pos="1871"/>
                <w:tab w:val="clear" w:pos="2268"/>
                <w:tab w:val="left" w:pos="6123"/>
              </w:tabs>
              <w:spacing w:before="80"/>
              <w:rPr>
                <w:b/>
                <w:bCs/>
                <w:i/>
                <w:iCs/>
                <w:lang w:val="fr-CH"/>
              </w:rPr>
            </w:pPr>
            <w:r w:rsidRPr="00393191">
              <w:rPr>
                <w:lang w:val="en-US"/>
              </w:rPr>
              <w:t>CEPT</w:t>
            </w:r>
          </w:p>
        </w:tc>
      </w:tr>
      <w:tr w:rsidR="00BC536B" w:rsidRPr="00BC536B" w:rsidTr="000F13C2">
        <w:tc>
          <w:tcPr>
            <w:tcW w:w="9639" w:type="dxa"/>
            <w:gridSpan w:val="3"/>
            <w:tcBorders>
              <w:top w:val="single" w:sz="4" w:space="0" w:color="auto"/>
              <w:left w:val="nil"/>
              <w:bottom w:val="single" w:sz="4" w:space="0" w:color="auto"/>
              <w:right w:val="nil"/>
            </w:tcBorders>
          </w:tcPr>
          <w:p w:rsidR="00BC536B" w:rsidRPr="00730563" w:rsidRDefault="00BC536B" w:rsidP="00425FA3">
            <w:pPr>
              <w:rPr>
                <w:lang w:val="fr-CH"/>
              </w:rPr>
            </w:pPr>
            <w:r w:rsidRPr="00730563">
              <w:rPr>
                <w:b/>
                <w:bCs/>
                <w:i/>
                <w:iCs/>
                <w:lang w:val="fr-CH"/>
              </w:rPr>
              <w:t>Proposition:</w:t>
            </w:r>
          </w:p>
          <w:p w:rsidR="00BC536B" w:rsidRPr="00730563" w:rsidRDefault="00EE436A" w:rsidP="000F13C2">
            <w:pPr>
              <w:rPr>
                <w:b/>
                <w:i/>
                <w:lang w:val="fr-CH"/>
              </w:rPr>
            </w:pPr>
            <w:r w:rsidRPr="00730563">
              <w:rPr>
                <w:lang w:val="fr-CH"/>
              </w:rPr>
              <w:t>envisager des dispositions réglementaires et identifier des bandes de fréquences, au besoin, pour les di</w:t>
            </w:r>
            <w:r w:rsidR="00E340FC">
              <w:rPr>
                <w:lang w:val="fr-CH"/>
              </w:rPr>
              <w:t>spositifs de radiocommunication</w:t>
            </w:r>
            <w:r w:rsidRPr="00730563">
              <w:rPr>
                <w:lang w:val="fr-CH"/>
              </w:rPr>
              <w:t xml:space="preserve"> maritimes</w:t>
            </w:r>
            <w:r w:rsidR="003228B3">
              <w:rPr>
                <w:lang w:val="fr-CH"/>
              </w:rPr>
              <w:t xml:space="preserve"> </w:t>
            </w:r>
            <w:r w:rsidRPr="00730563">
              <w:rPr>
                <w:lang w:val="fr-CH"/>
              </w:rPr>
              <w:t>fonctionnant dans la bande de fréquences 154-174 MH</w:t>
            </w:r>
            <w:r w:rsidR="00E340FC">
              <w:rPr>
                <w:lang w:val="fr-CH"/>
              </w:rPr>
              <w:t>z sans lien avec des navires ou d</w:t>
            </w:r>
            <w:r w:rsidRPr="00730563">
              <w:rPr>
                <w:lang w:val="fr-CH"/>
              </w:rPr>
              <w:t>es stations côtières</w:t>
            </w:r>
            <w:r w:rsidR="00E340FC">
              <w:rPr>
                <w:lang w:val="fr-CH"/>
              </w:rPr>
              <w:t>,</w:t>
            </w:r>
            <w:r w:rsidRPr="00730563">
              <w:rPr>
                <w:lang w:val="fr-CH"/>
              </w:rPr>
              <w:t xml:space="preserve"> pour assurer la sécurité de la navigation et protéger l</w:t>
            </w:r>
            <w:r w:rsidR="00B979D7">
              <w:rPr>
                <w:lang w:val="fr-CH"/>
              </w:rPr>
              <w:t>'</w:t>
            </w:r>
            <w:r w:rsidRPr="00730563">
              <w:rPr>
                <w:lang w:val="fr-CH"/>
              </w:rPr>
              <w:t>intégrité du</w:t>
            </w:r>
            <w:r w:rsidR="003228B3">
              <w:rPr>
                <w:b/>
                <w:bCs/>
                <w:lang w:val="fr-CH"/>
              </w:rPr>
              <w:t xml:space="preserve"> </w:t>
            </w:r>
            <w:r w:rsidR="00E939AE">
              <w:rPr>
                <w:lang w:val="fr-CH"/>
              </w:rPr>
              <w:t>SMDSM</w:t>
            </w:r>
            <w:r w:rsidR="000F13C2">
              <w:rPr>
                <w:lang w:val="fr-CH"/>
              </w:rPr>
              <w:t>.</w:t>
            </w:r>
            <w:r w:rsidRPr="00730563">
              <w:rPr>
                <w:lang w:val="fr-CH"/>
              </w:rPr>
              <w:t xml:space="preserve"> </w:t>
            </w:r>
          </w:p>
        </w:tc>
      </w:tr>
      <w:tr w:rsidR="00BC536B" w:rsidRPr="00BC536B" w:rsidTr="000F13C2">
        <w:tc>
          <w:tcPr>
            <w:tcW w:w="9639" w:type="dxa"/>
            <w:gridSpan w:val="3"/>
            <w:tcBorders>
              <w:top w:val="single" w:sz="4" w:space="0" w:color="auto"/>
              <w:left w:val="nil"/>
              <w:bottom w:val="single" w:sz="4" w:space="0" w:color="auto"/>
              <w:right w:val="nil"/>
            </w:tcBorders>
          </w:tcPr>
          <w:p w:rsidR="00BC536B" w:rsidRPr="00730563" w:rsidRDefault="00BC536B" w:rsidP="00425FA3">
            <w:pPr>
              <w:rPr>
                <w:b/>
                <w:bCs/>
                <w:i/>
                <w:iCs/>
                <w:lang w:val="fr-CH"/>
              </w:rPr>
            </w:pPr>
            <w:r w:rsidRPr="00730563">
              <w:rPr>
                <w:b/>
                <w:bCs/>
                <w:i/>
                <w:iCs/>
                <w:lang w:val="fr-CH"/>
              </w:rPr>
              <w:t>Contexte/motif:</w:t>
            </w:r>
          </w:p>
          <w:p w:rsidR="00BC536B" w:rsidRPr="00730563" w:rsidRDefault="00EE436A" w:rsidP="000F13C2">
            <w:pPr>
              <w:rPr>
                <w:b/>
                <w:i/>
                <w:lang w:val="fr-CH"/>
              </w:rPr>
            </w:pPr>
            <w:r w:rsidRPr="00730563">
              <w:rPr>
                <w:lang w:val="fr-CH"/>
              </w:rPr>
              <w:t>Il existe aujourd</w:t>
            </w:r>
            <w:r w:rsidR="00B979D7">
              <w:rPr>
                <w:lang w:val="fr-CH"/>
              </w:rPr>
              <w:t>'</w:t>
            </w:r>
            <w:r w:rsidRPr="00730563">
              <w:rPr>
                <w:lang w:val="fr-CH"/>
              </w:rPr>
              <w:t>hui sur le marché</w:t>
            </w:r>
            <w:r w:rsidR="003228B3">
              <w:rPr>
                <w:lang w:val="fr-CH"/>
              </w:rPr>
              <w:t xml:space="preserve"> </w:t>
            </w:r>
            <w:r w:rsidRPr="00730563">
              <w:rPr>
                <w:lang w:val="fr-CH"/>
              </w:rPr>
              <w:t>plusieurs nouveaux systèmes de radiocommunication destinés à être utilisés dans un environnement maritime. Ces systèmes utilisent</w:t>
            </w:r>
            <w:r w:rsidR="003228B3">
              <w:rPr>
                <w:lang w:val="fr-CH"/>
              </w:rPr>
              <w:t>,</w:t>
            </w:r>
            <w:r w:rsidRPr="00730563">
              <w:rPr>
                <w:lang w:val="fr-CH"/>
              </w:rPr>
              <w:t xml:space="preserve"> le plus souvent, des</w:t>
            </w:r>
            <w:r w:rsidR="00E340FC">
              <w:rPr>
                <w:lang w:val="fr-CH"/>
              </w:rPr>
              <w:t xml:space="preserve"> fréquences assujetties à l</w:t>
            </w:r>
            <w:r w:rsidR="00B979D7">
              <w:rPr>
                <w:lang w:val="fr-CH"/>
              </w:rPr>
              <w:t>'</w:t>
            </w:r>
            <w:r w:rsidR="00E340FC">
              <w:rPr>
                <w:lang w:val="fr-CH"/>
              </w:rPr>
              <w:t>A</w:t>
            </w:r>
            <w:r w:rsidRPr="00730563">
              <w:rPr>
                <w:lang w:val="fr-CH"/>
              </w:rPr>
              <w:t xml:space="preserve">ppendice 18. </w:t>
            </w:r>
            <w:r w:rsidR="000F13C2">
              <w:rPr>
                <w:lang w:val="fr-CH"/>
              </w:rPr>
              <w:t>E</w:t>
            </w:r>
            <w:r w:rsidRPr="00730563">
              <w:rPr>
                <w:lang w:val="fr-CH"/>
              </w:rPr>
              <w:t>tant donné que ces dispositifs</w:t>
            </w:r>
            <w:r w:rsidR="00E340FC">
              <w:rPr>
                <w:lang w:val="fr-CH"/>
              </w:rPr>
              <w:t xml:space="preserve"> ne sont pas associés à</w:t>
            </w:r>
            <w:r w:rsidRPr="00730563">
              <w:rPr>
                <w:lang w:val="fr-CH"/>
              </w:rPr>
              <w:t xml:space="preserve"> </w:t>
            </w:r>
            <w:r w:rsidR="00E340FC">
              <w:rPr>
                <w:lang w:val="fr-CH"/>
              </w:rPr>
              <w:t xml:space="preserve">une station côtière ou à un </w:t>
            </w:r>
            <w:r w:rsidRPr="00730563">
              <w:rPr>
                <w:lang w:val="fr-CH"/>
              </w:rPr>
              <w:t>navire, il faut élaborer de nouvelles dispositions pour réglementer les nouveaux dispositifs ainsi que les nouvelles applications en question</w:t>
            </w:r>
            <w:r w:rsidR="00E340FC">
              <w:rPr>
                <w:lang w:val="fr-CH"/>
              </w:rPr>
              <w:t>.</w:t>
            </w:r>
          </w:p>
        </w:tc>
      </w:tr>
      <w:tr w:rsidR="00BC536B" w:rsidRPr="00714540" w:rsidTr="000F13C2">
        <w:tc>
          <w:tcPr>
            <w:tcW w:w="9639" w:type="dxa"/>
            <w:gridSpan w:val="3"/>
            <w:tcBorders>
              <w:top w:val="single" w:sz="4" w:space="0" w:color="auto"/>
              <w:left w:val="nil"/>
              <w:bottom w:val="single" w:sz="4" w:space="0" w:color="auto"/>
              <w:right w:val="nil"/>
            </w:tcBorders>
          </w:tcPr>
          <w:p w:rsidR="00BC536B" w:rsidRPr="00A31EA2" w:rsidRDefault="00BC536B" w:rsidP="00425FA3">
            <w:r w:rsidRPr="0014454C">
              <w:rPr>
                <w:b/>
                <w:bCs/>
                <w:i/>
                <w:iCs/>
                <w:lang w:val="fr-CH"/>
              </w:rPr>
              <w:t>Services de radiocommunication concernés</w:t>
            </w:r>
            <w:r w:rsidRPr="00A31EA2">
              <w:t>:</w:t>
            </w:r>
          </w:p>
          <w:p w:rsidR="00BC536B" w:rsidRPr="00714540" w:rsidRDefault="00EE436A" w:rsidP="00425FA3">
            <w:pPr>
              <w:rPr>
                <w:b/>
                <w:i/>
              </w:rPr>
            </w:pPr>
            <w:r>
              <w:t>Services fixe et mobile au voisinage de</w:t>
            </w:r>
            <w:r w:rsidR="003228B3">
              <w:t xml:space="preserve"> </w:t>
            </w:r>
            <w:r w:rsidR="00BC536B" w:rsidRPr="004D44CB">
              <w:t>160 MHz</w:t>
            </w:r>
          </w:p>
        </w:tc>
      </w:tr>
      <w:tr w:rsidR="00BC536B" w:rsidRPr="00BC536B" w:rsidTr="000F13C2">
        <w:tc>
          <w:tcPr>
            <w:tcW w:w="9639" w:type="dxa"/>
            <w:gridSpan w:val="3"/>
            <w:tcBorders>
              <w:top w:val="single" w:sz="4" w:space="0" w:color="auto"/>
              <w:left w:val="nil"/>
              <w:bottom w:val="single" w:sz="4" w:space="0" w:color="auto"/>
              <w:right w:val="nil"/>
            </w:tcBorders>
          </w:tcPr>
          <w:p w:rsidR="00BC536B" w:rsidRPr="00730563" w:rsidRDefault="00BC536B" w:rsidP="00425FA3">
            <w:pPr>
              <w:rPr>
                <w:lang w:val="fr-CH"/>
              </w:rPr>
            </w:pPr>
            <w:r w:rsidRPr="00730563">
              <w:rPr>
                <w:b/>
                <w:bCs/>
                <w:i/>
                <w:iCs/>
                <w:lang w:val="fr-CH"/>
              </w:rPr>
              <w:t>Indication des difficultés éventuelles:</w:t>
            </w:r>
          </w:p>
          <w:p w:rsidR="00BC536B" w:rsidRPr="00730563" w:rsidRDefault="00EE436A" w:rsidP="00425FA3">
            <w:pPr>
              <w:rPr>
                <w:b/>
                <w:i/>
                <w:lang w:val="fr-CH"/>
              </w:rPr>
            </w:pPr>
            <w:r w:rsidRPr="00730563">
              <w:rPr>
                <w:lang w:val="fr-CH"/>
              </w:rPr>
              <w:t>Les ban</w:t>
            </w:r>
            <w:r w:rsidR="00F4626A">
              <w:rPr>
                <w:lang w:val="fr-CH"/>
              </w:rPr>
              <w:t>des de fréquences adjacentes aux</w:t>
            </w:r>
            <w:r w:rsidRPr="00730563">
              <w:rPr>
                <w:lang w:val="fr-CH"/>
              </w:rPr>
              <w:t xml:space="preserve"> bandes</w:t>
            </w:r>
            <w:r w:rsidR="00F4626A">
              <w:rPr>
                <w:lang w:val="fr-CH"/>
              </w:rPr>
              <w:t xml:space="preserve"> de fréquences assujetties à l</w:t>
            </w:r>
            <w:r w:rsidR="00B979D7">
              <w:rPr>
                <w:lang w:val="fr-CH"/>
              </w:rPr>
              <w:t>'</w:t>
            </w:r>
            <w:r w:rsidR="00F4626A">
              <w:rPr>
                <w:lang w:val="fr-CH"/>
              </w:rPr>
              <w:t>A</w:t>
            </w:r>
            <w:r w:rsidRPr="00730563">
              <w:rPr>
                <w:lang w:val="fr-CH"/>
              </w:rPr>
              <w:t>ppendice 18 sont utilisées</w:t>
            </w:r>
            <w:r w:rsidR="003228B3">
              <w:rPr>
                <w:lang w:val="fr-CH"/>
              </w:rPr>
              <w:t xml:space="preserve"> </w:t>
            </w:r>
            <w:r w:rsidR="00F4626A">
              <w:rPr>
                <w:lang w:val="fr-CH"/>
              </w:rPr>
              <w:t>par d</w:t>
            </w:r>
            <w:r w:rsidRPr="00730563">
              <w:rPr>
                <w:lang w:val="fr-CH"/>
              </w:rPr>
              <w:t>es applications du service fixe</w:t>
            </w:r>
            <w:r w:rsidR="003228B3">
              <w:rPr>
                <w:lang w:val="fr-CH"/>
              </w:rPr>
              <w:t xml:space="preserve"> </w:t>
            </w:r>
            <w:r w:rsidRPr="00730563">
              <w:rPr>
                <w:lang w:val="fr-CH"/>
              </w:rPr>
              <w:t>et du service mobile terrestre</w:t>
            </w:r>
            <w:r w:rsidR="00E340FC">
              <w:rPr>
                <w:lang w:val="fr-CH"/>
              </w:rPr>
              <w:t>.</w:t>
            </w:r>
          </w:p>
        </w:tc>
      </w:tr>
      <w:tr w:rsidR="00BC536B" w:rsidRPr="009E4745" w:rsidTr="000F13C2">
        <w:tc>
          <w:tcPr>
            <w:tcW w:w="9639" w:type="dxa"/>
            <w:gridSpan w:val="3"/>
            <w:tcBorders>
              <w:top w:val="single" w:sz="4" w:space="0" w:color="auto"/>
              <w:left w:val="nil"/>
              <w:bottom w:val="single" w:sz="4" w:space="0" w:color="auto"/>
              <w:right w:val="nil"/>
            </w:tcBorders>
          </w:tcPr>
          <w:p w:rsidR="00BC536B" w:rsidRPr="00A31EA2" w:rsidRDefault="00BC536B" w:rsidP="00425FA3">
            <w:r w:rsidRPr="003A2ED4">
              <w:rPr>
                <w:b/>
                <w:bCs/>
                <w:i/>
                <w:iCs/>
                <w:lang w:val="fr-CH"/>
              </w:rPr>
              <w:t>Etudes précédentes ou en cours sur la question</w:t>
            </w:r>
            <w:r w:rsidRPr="003A2ED4">
              <w:rPr>
                <w:b/>
                <w:bCs/>
                <w:i/>
                <w:iCs/>
              </w:rPr>
              <w:t>:</w:t>
            </w:r>
          </w:p>
          <w:p w:rsidR="00BC536B" w:rsidRPr="009E4745" w:rsidRDefault="000F13C2" w:rsidP="00425FA3">
            <w:pPr>
              <w:rPr>
                <w:b/>
                <w:i/>
                <w:lang w:val="fr-CH"/>
              </w:rPr>
            </w:pPr>
            <w:r>
              <w:t>N</w:t>
            </w:r>
            <w:r w:rsidR="00A500DC">
              <w:t xml:space="preserve">éant </w:t>
            </w:r>
          </w:p>
        </w:tc>
      </w:tr>
      <w:tr w:rsidR="00BC536B" w:rsidRPr="00714540" w:rsidTr="000F13C2">
        <w:tc>
          <w:tcPr>
            <w:tcW w:w="4550" w:type="dxa"/>
            <w:gridSpan w:val="2"/>
            <w:tcBorders>
              <w:top w:val="single" w:sz="4" w:space="0" w:color="auto"/>
              <w:left w:val="nil"/>
              <w:bottom w:val="single" w:sz="4" w:space="0" w:color="auto"/>
              <w:right w:val="single" w:sz="4" w:space="0" w:color="auto"/>
            </w:tcBorders>
          </w:tcPr>
          <w:p w:rsidR="00BC536B" w:rsidRPr="00A31EA2" w:rsidRDefault="00BC536B" w:rsidP="00425FA3">
            <w:r w:rsidRPr="0014454C">
              <w:rPr>
                <w:b/>
                <w:bCs/>
                <w:i/>
                <w:iCs/>
                <w:lang w:val="fr-CH"/>
              </w:rPr>
              <w:t>Etudes devant être réalisées par</w:t>
            </w:r>
            <w:r w:rsidRPr="0014454C">
              <w:rPr>
                <w:b/>
                <w:bCs/>
                <w:i/>
                <w:iCs/>
              </w:rPr>
              <w:t>:</w:t>
            </w:r>
          </w:p>
          <w:p w:rsidR="00BC536B" w:rsidRPr="00730563" w:rsidRDefault="00BC536B" w:rsidP="00425FA3">
            <w:pPr>
              <w:rPr>
                <w:b/>
                <w:i/>
                <w:color w:val="000000"/>
                <w:lang w:val="fr-CH"/>
              </w:rPr>
            </w:pPr>
            <w:r w:rsidRPr="00730563">
              <w:rPr>
                <w:lang w:val="fr-CH"/>
              </w:rPr>
              <w:t xml:space="preserve">Administrations </w:t>
            </w:r>
            <w:r w:rsidR="00EE436A" w:rsidRPr="00730563">
              <w:rPr>
                <w:lang w:val="fr-CH"/>
              </w:rPr>
              <w:t>et Membres du Secteur de l</w:t>
            </w:r>
            <w:r w:rsidR="00B979D7">
              <w:rPr>
                <w:lang w:val="fr-CH"/>
              </w:rPr>
              <w:t>'</w:t>
            </w:r>
            <w:r w:rsidR="00EE436A" w:rsidRPr="00730563">
              <w:rPr>
                <w:lang w:val="fr-CH"/>
              </w:rPr>
              <w:t>UIT-R</w:t>
            </w:r>
            <w:r w:rsidR="003228B3">
              <w:rPr>
                <w:lang w:val="fr-CH"/>
              </w:rPr>
              <w:t xml:space="preserve"> </w:t>
            </w:r>
          </w:p>
        </w:tc>
        <w:tc>
          <w:tcPr>
            <w:tcW w:w="5089" w:type="dxa"/>
            <w:tcBorders>
              <w:top w:val="single" w:sz="4" w:space="0" w:color="auto"/>
              <w:left w:val="single" w:sz="4" w:space="0" w:color="auto"/>
              <w:bottom w:val="single" w:sz="4" w:space="0" w:color="auto"/>
              <w:right w:val="nil"/>
            </w:tcBorders>
          </w:tcPr>
          <w:p w:rsidR="00BC536B" w:rsidRPr="00730563" w:rsidRDefault="00BC536B" w:rsidP="00425FA3">
            <w:pPr>
              <w:rPr>
                <w:b/>
                <w:bCs/>
                <w:i/>
                <w:iCs/>
                <w:lang w:val="fr-CH"/>
              </w:rPr>
            </w:pPr>
            <w:r w:rsidRPr="00504217">
              <w:rPr>
                <w:b/>
                <w:bCs/>
                <w:i/>
                <w:iCs/>
              </w:rPr>
              <w:t>avec la participation de</w:t>
            </w:r>
            <w:r w:rsidRPr="00730563">
              <w:rPr>
                <w:b/>
                <w:bCs/>
                <w:i/>
                <w:iCs/>
                <w:lang w:val="fr-CH"/>
              </w:rPr>
              <w:t>:</w:t>
            </w:r>
          </w:p>
          <w:p w:rsidR="00BC536B" w:rsidRPr="00714540" w:rsidRDefault="00EE436A" w:rsidP="00425FA3">
            <w:pPr>
              <w:rPr>
                <w:b/>
                <w:i/>
                <w:color w:val="000000"/>
              </w:rPr>
            </w:pPr>
            <w:r>
              <w:t>OMI</w:t>
            </w:r>
          </w:p>
        </w:tc>
      </w:tr>
      <w:tr w:rsidR="00BC536B" w:rsidRPr="00BC536B" w:rsidTr="000F13C2">
        <w:tc>
          <w:tcPr>
            <w:tcW w:w="9639" w:type="dxa"/>
            <w:gridSpan w:val="3"/>
            <w:tcBorders>
              <w:top w:val="single" w:sz="4" w:space="0" w:color="auto"/>
              <w:left w:val="nil"/>
              <w:bottom w:val="single" w:sz="4" w:space="0" w:color="auto"/>
              <w:right w:val="nil"/>
            </w:tcBorders>
          </w:tcPr>
          <w:p w:rsidR="00BC536B" w:rsidRPr="00A31EA2" w:rsidRDefault="00BC536B" w:rsidP="00425FA3">
            <w:r w:rsidRPr="0014454C">
              <w:rPr>
                <w:b/>
                <w:bCs/>
                <w:i/>
                <w:iCs/>
                <w:lang w:val="fr-CH"/>
              </w:rPr>
              <w:t>Commissions d'études de l'UIT-R concernées</w:t>
            </w:r>
            <w:r w:rsidRPr="00A31EA2">
              <w:rPr>
                <w:b/>
                <w:bCs/>
                <w:i/>
                <w:iCs/>
              </w:rPr>
              <w:t>:</w:t>
            </w:r>
          </w:p>
          <w:p w:rsidR="00BC536B" w:rsidRPr="00BC536B" w:rsidRDefault="00C937A8" w:rsidP="000F13C2">
            <w:pPr>
              <w:rPr>
                <w:b/>
                <w:i/>
                <w:lang w:val="en-US"/>
              </w:rPr>
            </w:pPr>
            <w:r>
              <w:rPr>
                <w:lang w:val="en-US"/>
              </w:rPr>
              <w:t>CE</w:t>
            </w:r>
            <w:r w:rsidR="00BC536B" w:rsidRPr="00BC536B">
              <w:rPr>
                <w:lang w:val="en-US"/>
              </w:rPr>
              <w:t xml:space="preserve"> 5 (</w:t>
            </w:r>
            <w:r w:rsidR="00872994">
              <w:rPr>
                <w:lang w:val="en-US"/>
              </w:rPr>
              <w:t>GT</w:t>
            </w:r>
            <w:r w:rsidR="003228B3">
              <w:rPr>
                <w:lang w:val="en-US"/>
              </w:rPr>
              <w:t xml:space="preserve"> </w:t>
            </w:r>
            <w:r w:rsidR="00BC536B" w:rsidRPr="00BC536B">
              <w:rPr>
                <w:lang w:val="en-US"/>
              </w:rPr>
              <w:t xml:space="preserve">5A, 5B </w:t>
            </w:r>
            <w:r w:rsidR="00EE436A">
              <w:rPr>
                <w:lang w:val="en-US"/>
              </w:rPr>
              <w:t>et</w:t>
            </w:r>
            <w:r w:rsidR="003228B3">
              <w:rPr>
                <w:lang w:val="en-US"/>
              </w:rPr>
              <w:t xml:space="preserve"> </w:t>
            </w:r>
            <w:r w:rsidR="00BC536B" w:rsidRPr="00BC536B">
              <w:rPr>
                <w:lang w:val="en-US"/>
              </w:rPr>
              <w:t>5C)</w:t>
            </w:r>
          </w:p>
        </w:tc>
      </w:tr>
      <w:tr w:rsidR="00BC536B" w:rsidRPr="00BC536B" w:rsidTr="000F13C2">
        <w:tc>
          <w:tcPr>
            <w:tcW w:w="9639" w:type="dxa"/>
            <w:gridSpan w:val="3"/>
            <w:tcBorders>
              <w:top w:val="single" w:sz="4" w:space="0" w:color="auto"/>
              <w:left w:val="nil"/>
              <w:bottom w:val="single" w:sz="4" w:space="0" w:color="auto"/>
              <w:right w:val="nil"/>
            </w:tcBorders>
          </w:tcPr>
          <w:p w:rsidR="00BC536B" w:rsidRPr="00A31EA2" w:rsidRDefault="00BC536B" w:rsidP="00425FA3">
            <w:r w:rsidRPr="0014454C">
              <w:rPr>
                <w:b/>
                <w:bCs/>
                <w:i/>
                <w:iCs/>
              </w:rPr>
              <w:t xml:space="preserve">Répercussions au niveau des ressources de l'UIT, y compris incidences </w:t>
            </w:r>
            <w:r w:rsidR="00F4626A" w:rsidRPr="0014454C">
              <w:rPr>
                <w:b/>
                <w:bCs/>
                <w:i/>
                <w:iCs/>
              </w:rPr>
              <w:t xml:space="preserve">financières </w:t>
            </w:r>
            <w:r w:rsidRPr="0014454C">
              <w:rPr>
                <w:b/>
                <w:bCs/>
                <w:i/>
                <w:iCs/>
              </w:rPr>
              <w:br/>
              <w:t>(voir le numéro 126 de la Convention):</w:t>
            </w:r>
          </w:p>
          <w:p w:rsidR="00BC536B" w:rsidRPr="00730563" w:rsidRDefault="00EE436A" w:rsidP="00425FA3">
            <w:pPr>
              <w:rPr>
                <w:b/>
                <w:i/>
                <w:lang w:val="fr-CH"/>
              </w:rPr>
            </w:pPr>
            <w:r>
              <w:rPr>
                <w:color w:val="000000"/>
              </w:rPr>
              <w:t>Ce point proposé de l'ordre du jour sera étudié conformément aux procédures normales</w:t>
            </w:r>
            <w:r w:rsidR="003228B3">
              <w:rPr>
                <w:color w:val="000000"/>
              </w:rPr>
              <w:t xml:space="preserve"> </w:t>
            </w:r>
            <w:r>
              <w:rPr>
                <w:color w:val="000000"/>
              </w:rPr>
              <w:t>ainsi qu'au budget prévu de l'UIT-R</w:t>
            </w:r>
            <w:r w:rsidR="003228B3">
              <w:rPr>
                <w:lang w:val="fr-CH"/>
              </w:rPr>
              <w:t xml:space="preserve"> </w:t>
            </w:r>
          </w:p>
        </w:tc>
      </w:tr>
      <w:tr w:rsidR="00BC536B" w:rsidRPr="009E4745" w:rsidTr="000F13C2">
        <w:tc>
          <w:tcPr>
            <w:tcW w:w="4550" w:type="dxa"/>
            <w:gridSpan w:val="2"/>
            <w:tcBorders>
              <w:top w:val="single" w:sz="4" w:space="0" w:color="auto"/>
              <w:left w:val="nil"/>
              <w:bottom w:val="single" w:sz="4" w:space="0" w:color="auto"/>
              <w:right w:val="nil"/>
            </w:tcBorders>
          </w:tcPr>
          <w:p w:rsidR="00BC536B" w:rsidRPr="009E4745" w:rsidRDefault="00BC536B" w:rsidP="00425FA3">
            <w:pPr>
              <w:rPr>
                <w:b/>
                <w:iCs/>
                <w:lang w:val="fr-CH"/>
              </w:rPr>
            </w:pPr>
            <w:r w:rsidRPr="00695ABE">
              <w:rPr>
                <w:b/>
                <w:bCs/>
                <w:i/>
                <w:iCs/>
              </w:rPr>
              <w:t>Proposition régionale commune:</w:t>
            </w:r>
            <w:r w:rsidRPr="008C0EDF">
              <w:rPr>
                <w:b/>
                <w:bCs/>
              </w:rPr>
              <w:t xml:space="preserve"> </w:t>
            </w:r>
            <w:r w:rsidRPr="009217A6">
              <w:t>Oui</w:t>
            </w:r>
            <w:r>
              <w:t xml:space="preserve"> </w:t>
            </w:r>
          </w:p>
        </w:tc>
        <w:tc>
          <w:tcPr>
            <w:tcW w:w="5089" w:type="dxa"/>
            <w:tcBorders>
              <w:top w:val="single" w:sz="4" w:space="0" w:color="auto"/>
              <w:left w:val="nil"/>
              <w:bottom w:val="single" w:sz="4" w:space="0" w:color="auto"/>
              <w:right w:val="nil"/>
            </w:tcBorders>
          </w:tcPr>
          <w:p w:rsidR="00BC536B" w:rsidRPr="00A31EA2" w:rsidRDefault="00BC536B" w:rsidP="00425FA3">
            <w:r w:rsidRPr="00695ABE">
              <w:rPr>
                <w:b/>
                <w:bCs/>
                <w:i/>
                <w:iCs/>
              </w:rPr>
              <w:t>Proposition soumise par plusieurs pays:</w:t>
            </w:r>
            <w:r w:rsidRPr="008C0EDF">
              <w:rPr>
                <w:b/>
                <w:bCs/>
              </w:rPr>
              <w:t xml:space="preserve"> </w:t>
            </w:r>
            <w:r w:rsidRPr="009217A6">
              <w:t>Non</w:t>
            </w:r>
          </w:p>
          <w:p w:rsidR="00BC536B" w:rsidRPr="00F4626A" w:rsidRDefault="00BC536B" w:rsidP="00F4626A">
            <w:r w:rsidRPr="003A2ED4">
              <w:rPr>
                <w:b/>
                <w:bCs/>
                <w:i/>
                <w:iCs/>
                <w:lang w:val="fr-CH"/>
              </w:rPr>
              <w:t>Nombre de pays:</w:t>
            </w:r>
          </w:p>
        </w:tc>
      </w:tr>
      <w:tr w:rsidR="00BC536B" w:rsidRPr="00714540" w:rsidTr="000F13C2">
        <w:tc>
          <w:tcPr>
            <w:tcW w:w="9639" w:type="dxa"/>
            <w:gridSpan w:val="3"/>
            <w:tcBorders>
              <w:top w:val="single" w:sz="4" w:space="0" w:color="auto"/>
              <w:left w:val="nil"/>
              <w:bottom w:val="nil"/>
              <w:right w:val="nil"/>
            </w:tcBorders>
          </w:tcPr>
          <w:p w:rsidR="00BC536B" w:rsidRPr="00A31EA2" w:rsidRDefault="00BC536B" w:rsidP="00425FA3">
            <w:r w:rsidRPr="003A2ED4">
              <w:rPr>
                <w:b/>
                <w:bCs/>
                <w:i/>
                <w:iCs/>
              </w:rPr>
              <w:t>Observations</w:t>
            </w:r>
          </w:p>
          <w:p w:rsidR="00BC536B" w:rsidRPr="00714540" w:rsidRDefault="000F13C2" w:rsidP="00425FA3">
            <w:pPr>
              <w:rPr>
                <w:b/>
                <w:i/>
              </w:rPr>
            </w:pPr>
            <w:r>
              <w:t>N</w:t>
            </w:r>
            <w:r w:rsidR="00A500DC">
              <w:t xml:space="preserve">éant </w:t>
            </w:r>
          </w:p>
        </w:tc>
      </w:tr>
    </w:tbl>
    <w:p w:rsidR="00DE4A5A" w:rsidRPr="00F4626A" w:rsidRDefault="00BC536B" w:rsidP="00F4626A">
      <w:pPr>
        <w:jc w:val="center"/>
      </w:pPr>
      <w:r>
        <w:t>______________</w:t>
      </w:r>
    </w:p>
    <w:sectPr w:rsidR="00DE4A5A" w:rsidRPr="00F4626A" w:rsidSect="0021373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E6" w:rsidRDefault="008653E6">
      <w:r>
        <w:separator/>
      </w:r>
    </w:p>
  </w:endnote>
  <w:endnote w:type="continuationSeparator" w:id="0">
    <w:p w:rsidR="008653E6" w:rsidRDefault="0086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6" w:rsidRDefault="008653E6">
    <w:pPr>
      <w:rPr>
        <w:lang w:val="en-US"/>
      </w:rPr>
    </w:pPr>
    <w:r>
      <w:fldChar w:fldCharType="begin"/>
    </w:r>
    <w:r>
      <w:rPr>
        <w:lang w:val="en-US"/>
      </w:rPr>
      <w:instrText xml:space="preserve"> FILENAME \p  \* MERGEFORMAT </w:instrText>
    </w:r>
    <w:r>
      <w:fldChar w:fldCharType="separate"/>
    </w:r>
    <w:r>
      <w:rPr>
        <w:noProof/>
        <w:lang w:val="en-US"/>
      </w:rPr>
      <w:t>P:\FRA\ITU-R\CONF-R\CMR15\000\009ADD25F.docx</w:t>
    </w:r>
    <w:r>
      <w:fldChar w:fldCharType="end"/>
    </w:r>
    <w:r>
      <w:rPr>
        <w:lang w:val="en-US"/>
      </w:rPr>
      <w:tab/>
    </w:r>
    <w:r>
      <w:fldChar w:fldCharType="begin"/>
    </w:r>
    <w:r>
      <w:instrText xml:space="preserve"> SAVEDATE \@ DD.MM.YY </w:instrText>
    </w:r>
    <w:r>
      <w:fldChar w:fldCharType="separate"/>
    </w:r>
    <w:r w:rsidR="00BE764C">
      <w:rPr>
        <w:noProof/>
      </w:rPr>
      <w:t>30.10.15</w:t>
    </w:r>
    <w:r>
      <w:fldChar w:fldCharType="end"/>
    </w:r>
    <w:r>
      <w:rPr>
        <w:lang w:val="en-US"/>
      </w:rPr>
      <w:tab/>
    </w:r>
    <w:r>
      <w:fldChar w:fldCharType="begin"/>
    </w:r>
    <w:r>
      <w:instrText xml:space="preserve"> PRINTDATE \@ DD.MM.YY </w:instrText>
    </w:r>
    <w:r>
      <w:fldChar w:fldCharType="separate"/>
    </w:r>
    <w:r>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6" w:rsidRPr="00730563" w:rsidRDefault="008653E6" w:rsidP="0058655D">
    <w:pPr>
      <w:pStyle w:val="Footer"/>
      <w:rPr>
        <w:lang w:val="en-US"/>
      </w:rPr>
    </w:pPr>
    <w:r>
      <w:fldChar w:fldCharType="begin"/>
    </w:r>
    <w:r w:rsidRPr="00730563">
      <w:rPr>
        <w:lang w:val="en-US"/>
      </w:rPr>
      <w:instrText xml:space="preserve"> FILENAME \p  \* MERGEFORMAT </w:instrText>
    </w:r>
    <w:r>
      <w:fldChar w:fldCharType="separate"/>
    </w:r>
    <w:r>
      <w:rPr>
        <w:lang w:val="en-US"/>
      </w:rPr>
      <w:t>P:\FRA\ITU-R\CONF-R\CMR15\000\009ADD25F.docx</w:t>
    </w:r>
    <w:r>
      <w:fldChar w:fldCharType="end"/>
    </w:r>
    <w:r w:rsidRPr="00730563">
      <w:rPr>
        <w:lang w:val="en-US"/>
      </w:rPr>
      <w:t xml:space="preserve"> (388272)</w:t>
    </w:r>
    <w:r w:rsidRPr="00730563">
      <w:rPr>
        <w:lang w:val="en-US"/>
      </w:rPr>
      <w:tab/>
    </w:r>
    <w:r>
      <w:fldChar w:fldCharType="begin"/>
    </w:r>
    <w:r>
      <w:instrText xml:space="preserve"> SAVEDATE \@ DD.MM.YY </w:instrText>
    </w:r>
    <w:r>
      <w:fldChar w:fldCharType="separate"/>
    </w:r>
    <w:r w:rsidR="00BE764C">
      <w:t>30.10.15</w:t>
    </w:r>
    <w:r>
      <w:fldChar w:fldCharType="end"/>
    </w:r>
    <w:r w:rsidRPr="00730563">
      <w:rPr>
        <w:lang w:val="en-US"/>
      </w:rPr>
      <w:tab/>
    </w:r>
    <w:r>
      <w:fldChar w:fldCharType="begin"/>
    </w:r>
    <w:r>
      <w:instrText xml:space="preserve"> PRINTDATE \@ DD.MM.YY </w:instrText>
    </w:r>
    <w:r>
      <w:fldChar w:fldCharType="separate"/>
    </w:r>
    <w:r>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6" w:rsidRPr="00730563" w:rsidRDefault="008653E6" w:rsidP="0058655D">
    <w:pPr>
      <w:pStyle w:val="Footer"/>
      <w:rPr>
        <w:lang w:val="en-US"/>
      </w:rPr>
    </w:pPr>
    <w:r>
      <w:fldChar w:fldCharType="begin"/>
    </w:r>
    <w:r w:rsidRPr="00730563">
      <w:rPr>
        <w:lang w:val="en-US"/>
      </w:rPr>
      <w:instrText xml:space="preserve"> FILENAME \p  \* MERGEFORMAT </w:instrText>
    </w:r>
    <w:r>
      <w:fldChar w:fldCharType="separate"/>
    </w:r>
    <w:r>
      <w:rPr>
        <w:lang w:val="en-US"/>
      </w:rPr>
      <w:t>P:\FRA\ITU-R\CONF-R\CMR15\000\009ADD25F.docx</w:t>
    </w:r>
    <w:r>
      <w:fldChar w:fldCharType="end"/>
    </w:r>
    <w:r w:rsidRPr="00730563">
      <w:rPr>
        <w:lang w:val="en-US"/>
      </w:rPr>
      <w:t xml:space="preserve"> (388272)</w:t>
    </w:r>
    <w:r w:rsidRPr="00730563">
      <w:rPr>
        <w:lang w:val="en-US"/>
      </w:rPr>
      <w:tab/>
    </w:r>
    <w:r>
      <w:fldChar w:fldCharType="begin"/>
    </w:r>
    <w:r>
      <w:instrText xml:space="preserve"> SAVEDATE \@ DD.MM.YY </w:instrText>
    </w:r>
    <w:r>
      <w:fldChar w:fldCharType="separate"/>
    </w:r>
    <w:r w:rsidR="00BE764C">
      <w:t>30.10.15</w:t>
    </w:r>
    <w:r>
      <w:fldChar w:fldCharType="end"/>
    </w:r>
    <w:r w:rsidRPr="00730563">
      <w:rPr>
        <w:lang w:val="en-US"/>
      </w:rPr>
      <w:tab/>
    </w:r>
    <w:r>
      <w:fldChar w:fldCharType="begin"/>
    </w:r>
    <w:r>
      <w:instrText xml:space="preserve"> PRINTDATE \@ DD.MM.YY </w:instrText>
    </w:r>
    <w:r>
      <w:fldChar w:fldCharType="separate"/>
    </w:r>
    <w:r>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E6" w:rsidRDefault="008653E6">
      <w:r>
        <w:rPr>
          <w:b/>
        </w:rPr>
        <w:t>_______________</w:t>
      </w:r>
    </w:p>
  </w:footnote>
  <w:footnote w:type="continuationSeparator" w:id="0">
    <w:p w:rsidR="008653E6" w:rsidRDefault="008653E6">
      <w:r>
        <w:continuationSeparator/>
      </w:r>
    </w:p>
  </w:footnote>
  <w:footnote w:id="1">
    <w:p w:rsidR="008653E6" w:rsidRPr="001A367F" w:rsidRDefault="008653E6" w:rsidP="00D43D29">
      <w:pPr>
        <w:pStyle w:val="FootnoteText"/>
        <w:rPr>
          <w:lang w:val="fr-CH"/>
        </w:rPr>
      </w:pPr>
      <w:r>
        <w:rPr>
          <w:rStyle w:val="FootnoteReference"/>
        </w:rPr>
        <w:footnoteRef/>
      </w:r>
      <w:r>
        <w:tab/>
      </w:r>
      <w:r>
        <w:rPr>
          <w:lang w:val="fr-CH"/>
        </w:rPr>
        <w:t>L'expression «IMT-2020» est une ébauche et l'appellation précise qui sera adoptée pour le développement futur des IMT devrait être arrêtée définitivement par l'Assemblée des radiocommunications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6" w:rsidRDefault="008653E6" w:rsidP="004F1F8E">
    <w:pPr>
      <w:pStyle w:val="Header"/>
    </w:pPr>
    <w:r>
      <w:fldChar w:fldCharType="begin"/>
    </w:r>
    <w:r>
      <w:instrText xml:space="preserve"> PAGE </w:instrText>
    </w:r>
    <w:r>
      <w:fldChar w:fldCharType="separate"/>
    </w:r>
    <w:r w:rsidR="00BE764C">
      <w:rPr>
        <w:noProof/>
      </w:rPr>
      <w:t>49</w:t>
    </w:r>
    <w:r>
      <w:fldChar w:fldCharType="end"/>
    </w:r>
  </w:p>
  <w:p w:rsidR="008653E6" w:rsidRDefault="008653E6" w:rsidP="002C28A4">
    <w:pPr>
      <w:pStyle w:val="Header"/>
    </w:pPr>
    <w:r>
      <w:t>CMR15/9(Add.25)-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7E1276"/>
    <w:multiLevelType w:val="hybridMultilevel"/>
    <w:tmpl w:val="73C4C3F4"/>
    <w:lvl w:ilvl="0" w:tplc="E5F8E48C">
      <w:start w:val="1"/>
      <w:numFmt w:val="lowerLetter"/>
      <w:lvlText w:val="%1)"/>
      <w:lvlJc w:val="left"/>
      <w:pPr>
        <w:ind w:left="1130" w:hanging="11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108F15-8022-441A-A9FC-EEC19468646A}"/>
    <w:docVar w:name="dgnword-eventsink" w:val="216792640"/>
  </w:docVars>
  <w:rsids>
    <w:rsidRoot w:val="00BB1D82"/>
    <w:rsid w:val="00003EF7"/>
    <w:rsid w:val="00007EC7"/>
    <w:rsid w:val="00010B43"/>
    <w:rsid w:val="00016648"/>
    <w:rsid w:val="0001709B"/>
    <w:rsid w:val="0003522F"/>
    <w:rsid w:val="00036633"/>
    <w:rsid w:val="00071B1B"/>
    <w:rsid w:val="00075DEB"/>
    <w:rsid w:val="00080E2C"/>
    <w:rsid w:val="00083CC5"/>
    <w:rsid w:val="000A3503"/>
    <w:rsid w:val="000A4755"/>
    <w:rsid w:val="000B098E"/>
    <w:rsid w:val="000B0BD1"/>
    <w:rsid w:val="000B2E0C"/>
    <w:rsid w:val="000B3D0C"/>
    <w:rsid w:val="000C1AE4"/>
    <w:rsid w:val="000C46C1"/>
    <w:rsid w:val="000D75A3"/>
    <w:rsid w:val="000E04A8"/>
    <w:rsid w:val="000E0653"/>
    <w:rsid w:val="000F039B"/>
    <w:rsid w:val="000F13C2"/>
    <w:rsid w:val="000F4198"/>
    <w:rsid w:val="000F4E79"/>
    <w:rsid w:val="000F5C08"/>
    <w:rsid w:val="000F6489"/>
    <w:rsid w:val="001000D9"/>
    <w:rsid w:val="001167B9"/>
    <w:rsid w:val="001261B0"/>
    <w:rsid w:val="001267A0"/>
    <w:rsid w:val="00143628"/>
    <w:rsid w:val="00144B80"/>
    <w:rsid w:val="001467B2"/>
    <w:rsid w:val="001505E7"/>
    <w:rsid w:val="0015203F"/>
    <w:rsid w:val="00156377"/>
    <w:rsid w:val="00160C64"/>
    <w:rsid w:val="001668AF"/>
    <w:rsid w:val="00166DAD"/>
    <w:rsid w:val="0018169B"/>
    <w:rsid w:val="00187A97"/>
    <w:rsid w:val="0019352B"/>
    <w:rsid w:val="00195224"/>
    <w:rsid w:val="001960D0"/>
    <w:rsid w:val="001A0DFE"/>
    <w:rsid w:val="001A367F"/>
    <w:rsid w:val="001B6838"/>
    <w:rsid w:val="001E35D3"/>
    <w:rsid w:val="001E52C8"/>
    <w:rsid w:val="001F17E8"/>
    <w:rsid w:val="001F4177"/>
    <w:rsid w:val="00204306"/>
    <w:rsid w:val="00212A02"/>
    <w:rsid w:val="00213736"/>
    <w:rsid w:val="00232FD2"/>
    <w:rsid w:val="00242ED1"/>
    <w:rsid w:val="00251C68"/>
    <w:rsid w:val="00252CB9"/>
    <w:rsid w:val="00254999"/>
    <w:rsid w:val="00257664"/>
    <w:rsid w:val="0026554E"/>
    <w:rsid w:val="00266CFB"/>
    <w:rsid w:val="00277E89"/>
    <w:rsid w:val="002A4622"/>
    <w:rsid w:val="002A6F8F"/>
    <w:rsid w:val="002B17E5"/>
    <w:rsid w:val="002B4492"/>
    <w:rsid w:val="002B6D60"/>
    <w:rsid w:val="002C0EBF"/>
    <w:rsid w:val="002C28A4"/>
    <w:rsid w:val="002E2C8C"/>
    <w:rsid w:val="002F0F9D"/>
    <w:rsid w:val="0030395A"/>
    <w:rsid w:val="00315AFE"/>
    <w:rsid w:val="003228B3"/>
    <w:rsid w:val="0032601C"/>
    <w:rsid w:val="0032652F"/>
    <w:rsid w:val="00332CF8"/>
    <w:rsid w:val="00335850"/>
    <w:rsid w:val="0034440C"/>
    <w:rsid w:val="00345296"/>
    <w:rsid w:val="00345300"/>
    <w:rsid w:val="00352380"/>
    <w:rsid w:val="003563E6"/>
    <w:rsid w:val="003606A6"/>
    <w:rsid w:val="003650E3"/>
    <w:rsid w:val="0036650C"/>
    <w:rsid w:val="003854C6"/>
    <w:rsid w:val="00393191"/>
    <w:rsid w:val="00393ACD"/>
    <w:rsid w:val="003A583E"/>
    <w:rsid w:val="003A745D"/>
    <w:rsid w:val="003B2809"/>
    <w:rsid w:val="003C7289"/>
    <w:rsid w:val="003E112B"/>
    <w:rsid w:val="003E1D1C"/>
    <w:rsid w:val="003E7B05"/>
    <w:rsid w:val="00400701"/>
    <w:rsid w:val="00404B68"/>
    <w:rsid w:val="00405079"/>
    <w:rsid w:val="00406FC2"/>
    <w:rsid w:val="00407E1F"/>
    <w:rsid w:val="004117A3"/>
    <w:rsid w:val="0041346B"/>
    <w:rsid w:val="004171A9"/>
    <w:rsid w:val="00425FA3"/>
    <w:rsid w:val="0043259B"/>
    <w:rsid w:val="0044646D"/>
    <w:rsid w:val="00466211"/>
    <w:rsid w:val="00467B52"/>
    <w:rsid w:val="00471157"/>
    <w:rsid w:val="00476E98"/>
    <w:rsid w:val="0048078D"/>
    <w:rsid w:val="004834A9"/>
    <w:rsid w:val="00497711"/>
    <w:rsid w:val="004B70E8"/>
    <w:rsid w:val="004C1D1E"/>
    <w:rsid w:val="004C65A2"/>
    <w:rsid w:val="004D01FC"/>
    <w:rsid w:val="004D08BE"/>
    <w:rsid w:val="004E10E0"/>
    <w:rsid w:val="004E28C3"/>
    <w:rsid w:val="004F1F8E"/>
    <w:rsid w:val="00512A32"/>
    <w:rsid w:val="0051401C"/>
    <w:rsid w:val="00524259"/>
    <w:rsid w:val="00535EE6"/>
    <w:rsid w:val="00543A08"/>
    <w:rsid w:val="00555F35"/>
    <w:rsid w:val="0057013B"/>
    <w:rsid w:val="0058140F"/>
    <w:rsid w:val="0058655D"/>
    <w:rsid w:val="00586CF2"/>
    <w:rsid w:val="00590707"/>
    <w:rsid w:val="00590CCF"/>
    <w:rsid w:val="00593B73"/>
    <w:rsid w:val="005C3768"/>
    <w:rsid w:val="005C5ECB"/>
    <w:rsid w:val="005C6C3F"/>
    <w:rsid w:val="005C6FBA"/>
    <w:rsid w:val="005D0630"/>
    <w:rsid w:val="005D2784"/>
    <w:rsid w:val="005D7B83"/>
    <w:rsid w:val="005E7E28"/>
    <w:rsid w:val="0060702D"/>
    <w:rsid w:val="00610F0E"/>
    <w:rsid w:val="00613635"/>
    <w:rsid w:val="0062093D"/>
    <w:rsid w:val="00636601"/>
    <w:rsid w:val="00637ECF"/>
    <w:rsid w:val="00642CFC"/>
    <w:rsid w:val="00647B59"/>
    <w:rsid w:val="006540B6"/>
    <w:rsid w:val="00663D00"/>
    <w:rsid w:val="00667324"/>
    <w:rsid w:val="00674DB5"/>
    <w:rsid w:val="0069027E"/>
    <w:rsid w:val="00690C7B"/>
    <w:rsid w:val="006A4B45"/>
    <w:rsid w:val="006B1FD4"/>
    <w:rsid w:val="006B37A6"/>
    <w:rsid w:val="006B5418"/>
    <w:rsid w:val="006C7C77"/>
    <w:rsid w:val="006D4724"/>
    <w:rsid w:val="006E3787"/>
    <w:rsid w:val="006F359C"/>
    <w:rsid w:val="006F6BD1"/>
    <w:rsid w:val="00701BAE"/>
    <w:rsid w:val="00706B8A"/>
    <w:rsid w:val="00712281"/>
    <w:rsid w:val="00721F04"/>
    <w:rsid w:val="00730563"/>
    <w:rsid w:val="00730E95"/>
    <w:rsid w:val="00736237"/>
    <w:rsid w:val="007426B9"/>
    <w:rsid w:val="0074681C"/>
    <w:rsid w:val="00757AE4"/>
    <w:rsid w:val="00764342"/>
    <w:rsid w:val="00774362"/>
    <w:rsid w:val="00780841"/>
    <w:rsid w:val="00780FA7"/>
    <w:rsid w:val="00786598"/>
    <w:rsid w:val="00792C2F"/>
    <w:rsid w:val="007A04E8"/>
    <w:rsid w:val="007A2139"/>
    <w:rsid w:val="007B0A74"/>
    <w:rsid w:val="007E1216"/>
    <w:rsid w:val="007E6248"/>
    <w:rsid w:val="00810047"/>
    <w:rsid w:val="0081024B"/>
    <w:rsid w:val="00810916"/>
    <w:rsid w:val="008118A3"/>
    <w:rsid w:val="008135BB"/>
    <w:rsid w:val="00842F62"/>
    <w:rsid w:val="00851625"/>
    <w:rsid w:val="00863C0A"/>
    <w:rsid w:val="008653E6"/>
    <w:rsid w:val="00872994"/>
    <w:rsid w:val="00886F48"/>
    <w:rsid w:val="00891583"/>
    <w:rsid w:val="008A3120"/>
    <w:rsid w:val="008D41BE"/>
    <w:rsid w:val="008D44F3"/>
    <w:rsid w:val="008D58D3"/>
    <w:rsid w:val="008E63D0"/>
    <w:rsid w:val="00903171"/>
    <w:rsid w:val="00923064"/>
    <w:rsid w:val="009244FD"/>
    <w:rsid w:val="00926ABD"/>
    <w:rsid w:val="00930FFD"/>
    <w:rsid w:val="00936D25"/>
    <w:rsid w:val="00941EA5"/>
    <w:rsid w:val="00944A26"/>
    <w:rsid w:val="00952A76"/>
    <w:rsid w:val="00957F5F"/>
    <w:rsid w:val="00964700"/>
    <w:rsid w:val="00966C16"/>
    <w:rsid w:val="00974E3F"/>
    <w:rsid w:val="00976849"/>
    <w:rsid w:val="00986463"/>
    <w:rsid w:val="0098732F"/>
    <w:rsid w:val="0099559B"/>
    <w:rsid w:val="009A045F"/>
    <w:rsid w:val="009A4543"/>
    <w:rsid w:val="009B4ED5"/>
    <w:rsid w:val="009C7E7C"/>
    <w:rsid w:val="009D1AA2"/>
    <w:rsid w:val="009E0CE8"/>
    <w:rsid w:val="009F19D2"/>
    <w:rsid w:val="009F76D6"/>
    <w:rsid w:val="00A00473"/>
    <w:rsid w:val="00A0382B"/>
    <w:rsid w:val="00A03C9B"/>
    <w:rsid w:val="00A16255"/>
    <w:rsid w:val="00A20C1A"/>
    <w:rsid w:val="00A37105"/>
    <w:rsid w:val="00A42F73"/>
    <w:rsid w:val="00A500DC"/>
    <w:rsid w:val="00A5100E"/>
    <w:rsid w:val="00A54B86"/>
    <w:rsid w:val="00A606C3"/>
    <w:rsid w:val="00A61F72"/>
    <w:rsid w:val="00A6620D"/>
    <w:rsid w:val="00A70AFE"/>
    <w:rsid w:val="00A83B09"/>
    <w:rsid w:val="00A84541"/>
    <w:rsid w:val="00A846F5"/>
    <w:rsid w:val="00A85042"/>
    <w:rsid w:val="00A851DB"/>
    <w:rsid w:val="00A91F2A"/>
    <w:rsid w:val="00A9255B"/>
    <w:rsid w:val="00A93EA6"/>
    <w:rsid w:val="00AA7DA5"/>
    <w:rsid w:val="00AB4373"/>
    <w:rsid w:val="00AC0306"/>
    <w:rsid w:val="00AD5385"/>
    <w:rsid w:val="00AE36A0"/>
    <w:rsid w:val="00AF12E0"/>
    <w:rsid w:val="00AF56D9"/>
    <w:rsid w:val="00AF67F7"/>
    <w:rsid w:val="00B00294"/>
    <w:rsid w:val="00B06704"/>
    <w:rsid w:val="00B11088"/>
    <w:rsid w:val="00B14621"/>
    <w:rsid w:val="00B1634C"/>
    <w:rsid w:val="00B241D2"/>
    <w:rsid w:val="00B31093"/>
    <w:rsid w:val="00B515FB"/>
    <w:rsid w:val="00B5621D"/>
    <w:rsid w:val="00B60D5E"/>
    <w:rsid w:val="00B64FD0"/>
    <w:rsid w:val="00B65685"/>
    <w:rsid w:val="00B65E79"/>
    <w:rsid w:val="00B67243"/>
    <w:rsid w:val="00B906F7"/>
    <w:rsid w:val="00B9323D"/>
    <w:rsid w:val="00B94036"/>
    <w:rsid w:val="00B953A7"/>
    <w:rsid w:val="00B979D7"/>
    <w:rsid w:val="00BA2CDF"/>
    <w:rsid w:val="00BA4F7B"/>
    <w:rsid w:val="00BA5556"/>
    <w:rsid w:val="00BA5BD0"/>
    <w:rsid w:val="00BB138D"/>
    <w:rsid w:val="00BB1D82"/>
    <w:rsid w:val="00BC536B"/>
    <w:rsid w:val="00BE39BB"/>
    <w:rsid w:val="00BE764C"/>
    <w:rsid w:val="00BF109A"/>
    <w:rsid w:val="00BF26E7"/>
    <w:rsid w:val="00BF2826"/>
    <w:rsid w:val="00C03840"/>
    <w:rsid w:val="00C06AC3"/>
    <w:rsid w:val="00C071B6"/>
    <w:rsid w:val="00C07A4D"/>
    <w:rsid w:val="00C1629A"/>
    <w:rsid w:val="00C203CC"/>
    <w:rsid w:val="00C53FCA"/>
    <w:rsid w:val="00C60986"/>
    <w:rsid w:val="00C64C37"/>
    <w:rsid w:val="00C65E14"/>
    <w:rsid w:val="00C73ED6"/>
    <w:rsid w:val="00C76BAF"/>
    <w:rsid w:val="00C814B9"/>
    <w:rsid w:val="00C81716"/>
    <w:rsid w:val="00C937A8"/>
    <w:rsid w:val="00CA059E"/>
    <w:rsid w:val="00CB559D"/>
    <w:rsid w:val="00CB55FC"/>
    <w:rsid w:val="00CC0A6A"/>
    <w:rsid w:val="00CC559D"/>
    <w:rsid w:val="00CD5150"/>
    <w:rsid w:val="00CD516F"/>
    <w:rsid w:val="00CE3214"/>
    <w:rsid w:val="00CF6BD7"/>
    <w:rsid w:val="00D119A7"/>
    <w:rsid w:val="00D119C7"/>
    <w:rsid w:val="00D15FCD"/>
    <w:rsid w:val="00D169E9"/>
    <w:rsid w:val="00D23F3C"/>
    <w:rsid w:val="00D25FBA"/>
    <w:rsid w:val="00D32B28"/>
    <w:rsid w:val="00D42954"/>
    <w:rsid w:val="00D43D29"/>
    <w:rsid w:val="00D44A27"/>
    <w:rsid w:val="00D54534"/>
    <w:rsid w:val="00D60B8E"/>
    <w:rsid w:val="00D66EAC"/>
    <w:rsid w:val="00D72D71"/>
    <w:rsid w:val="00D730DF"/>
    <w:rsid w:val="00D772F0"/>
    <w:rsid w:val="00D77BDC"/>
    <w:rsid w:val="00D83362"/>
    <w:rsid w:val="00D964EB"/>
    <w:rsid w:val="00DA268C"/>
    <w:rsid w:val="00DA344F"/>
    <w:rsid w:val="00DA577B"/>
    <w:rsid w:val="00DA7451"/>
    <w:rsid w:val="00DC402B"/>
    <w:rsid w:val="00DD26BD"/>
    <w:rsid w:val="00DE0932"/>
    <w:rsid w:val="00DE2C23"/>
    <w:rsid w:val="00DE4A5A"/>
    <w:rsid w:val="00DE627D"/>
    <w:rsid w:val="00DF0A83"/>
    <w:rsid w:val="00DF23A8"/>
    <w:rsid w:val="00DF29DF"/>
    <w:rsid w:val="00E013FE"/>
    <w:rsid w:val="00E03A27"/>
    <w:rsid w:val="00E049F1"/>
    <w:rsid w:val="00E13ECC"/>
    <w:rsid w:val="00E20867"/>
    <w:rsid w:val="00E2223E"/>
    <w:rsid w:val="00E22412"/>
    <w:rsid w:val="00E30E6A"/>
    <w:rsid w:val="00E340FC"/>
    <w:rsid w:val="00E368B2"/>
    <w:rsid w:val="00E37A25"/>
    <w:rsid w:val="00E537FF"/>
    <w:rsid w:val="00E60355"/>
    <w:rsid w:val="00E6539B"/>
    <w:rsid w:val="00E70A31"/>
    <w:rsid w:val="00E74F50"/>
    <w:rsid w:val="00E83D60"/>
    <w:rsid w:val="00E84123"/>
    <w:rsid w:val="00E870B5"/>
    <w:rsid w:val="00E92F8B"/>
    <w:rsid w:val="00E939AE"/>
    <w:rsid w:val="00EA0101"/>
    <w:rsid w:val="00EA3F38"/>
    <w:rsid w:val="00EA5AB6"/>
    <w:rsid w:val="00EC7615"/>
    <w:rsid w:val="00EC7B7C"/>
    <w:rsid w:val="00ED16AA"/>
    <w:rsid w:val="00EE2319"/>
    <w:rsid w:val="00EE2942"/>
    <w:rsid w:val="00EE436A"/>
    <w:rsid w:val="00EE5360"/>
    <w:rsid w:val="00EF662E"/>
    <w:rsid w:val="00EF722B"/>
    <w:rsid w:val="00F10722"/>
    <w:rsid w:val="00F148F1"/>
    <w:rsid w:val="00F150E4"/>
    <w:rsid w:val="00F27EE5"/>
    <w:rsid w:val="00F314D8"/>
    <w:rsid w:val="00F425AC"/>
    <w:rsid w:val="00F4626A"/>
    <w:rsid w:val="00F50032"/>
    <w:rsid w:val="00F5216D"/>
    <w:rsid w:val="00F60EF9"/>
    <w:rsid w:val="00F62BF5"/>
    <w:rsid w:val="00F67632"/>
    <w:rsid w:val="00F75038"/>
    <w:rsid w:val="00F81C4E"/>
    <w:rsid w:val="00F932E9"/>
    <w:rsid w:val="00F97D03"/>
    <w:rsid w:val="00FA3BBF"/>
    <w:rsid w:val="00FB22BC"/>
    <w:rsid w:val="00FC285B"/>
    <w:rsid w:val="00FC41F8"/>
    <w:rsid w:val="00FC70B5"/>
    <w:rsid w:val="00FD175A"/>
    <w:rsid w:val="00FD203B"/>
    <w:rsid w:val="00FE14A6"/>
    <w:rsid w:val="00FE2A11"/>
    <w:rsid w:val="00FE7E10"/>
    <w:rsid w:val="00FF1C40"/>
    <w:rsid w:val="00FF4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7B682A1-E451-417A-BACC-609DAA66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Zchn"/>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HeadingbChar">
    <w:name w:val="Heading_b Char"/>
    <w:basedOn w:val="DefaultParagraphFont"/>
    <w:link w:val="Headingb"/>
    <w:locked/>
    <w:rsid w:val="00636601"/>
    <w:rPr>
      <w:rFonts w:ascii="Times New Roman" w:hAnsi="Times New Roman"/>
      <w:b/>
      <w:sz w:val="24"/>
      <w:lang w:val="fr-FR" w:eastAsia="en-US"/>
    </w:rPr>
  </w:style>
  <w:style w:type="paragraph" w:customStyle="1" w:styleId="Normalaftertitle0">
    <w:name w:val="Normal_after_title"/>
    <w:basedOn w:val="Normal"/>
    <w:next w:val="Normal"/>
    <w:link w:val="NormalaftertitleChar0"/>
    <w:rsid w:val="00636601"/>
    <w:pPr>
      <w:spacing w:before="360"/>
    </w:pPr>
  </w:style>
  <w:style w:type="character" w:customStyle="1" w:styleId="CallChar">
    <w:name w:val="Call Char"/>
    <w:basedOn w:val="DefaultParagraphFont"/>
    <w:link w:val="Call"/>
    <w:locked/>
    <w:rsid w:val="00636601"/>
    <w:rPr>
      <w:rFonts w:ascii="Times New Roman" w:hAnsi="Times New Roman"/>
      <w:i/>
      <w:sz w:val="24"/>
      <w:lang w:val="fr-FR" w:eastAsia="en-US"/>
    </w:rPr>
  </w:style>
  <w:style w:type="character" w:customStyle="1" w:styleId="NormalaftertitleChar0">
    <w:name w:val="Normal_after_title Char"/>
    <w:basedOn w:val="DefaultParagraphFont"/>
    <w:link w:val="Normalaftertitle0"/>
    <w:locked/>
    <w:rsid w:val="00636601"/>
    <w:rPr>
      <w:rFonts w:ascii="Times New Roman" w:hAnsi="Times New Roman"/>
      <w:sz w:val="24"/>
      <w:lang w:val="fr-FR" w:eastAsia="en-US"/>
    </w:rPr>
  </w:style>
  <w:style w:type="character" w:customStyle="1" w:styleId="BRNormal">
    <w:name w:val="BR_Normal"/>
    <w:basedOn w:val="DefaultParagraphFont"/>
    <w:uiPriority w:val="1"/>
    <w:qFormat/>
    <w:rsid w:val="00277E89"/>
  </w:style>
  <w:style w:type="character" w:customStyle="1" w:styleId="RestitleZchn">
    <w:name w:val="Res_title Zchn"/>
    <w:basedOn w:val="DefaultParagraphFont"/>
    <w:link w:val="Restitle"/>
    <w:rsid w:val="004C1D1E"/>
    <w:rPr>
      <w:rFonts w:ascii="Times New Roman Bold" w:hAnsi="Times New Roman Bold"/>
      <w:b/>
      <w:sz w:val="28"/>
      <w:lang w:val="fr-FR" w:eastAsia="en-US"/>
    </w:rPr>
  </w:style>
  <w:style w:type="character" w:customStyle="1" w:styleId="ECCHLyellow">
    <w:name w:val="ECC HL yellow"/>
    <w:basedOn w:val="DefaultParagraphFont"/>
    <w:uiPriority w:val="1"/>
    <w:qFormat/>
    <w:rsid w:val="004C1D1E"/>
    <w:rPr>
      <w:rFonts w:eastAsia="Calibri"/>
      <w:i w:val="0"/>
      <w:szCs w:val="22"/>
      <w:bdr w:val="none" w:sz="0" w:space="0" w:color="auto"/>
      <w:shd w:val="solid" w:color="FFFF00" w:fill="auto"/>
      <w:lang w:val="en-GB"/>
    </w:rPr>
  </w:style>
  <w:style w:type="paragraph" w:customStyle="1" w:styleId="Tableitalic">
    <w:name w:val="Table_italic"/>
    <w:basedOn w:val="Normal"/>
    <w:link w:val="TableitalicZchn"/>
    <w:rsid w:val="00393191"/>
    <w:pPr>
      <w:keepNext/>
      <w:framePr w:hSpace="180" w:wrap="around" w:vAnchor="text" w:hAnchor="text" w:y="1"/>
      <w:suppressOverlap/>
    </w:pPr>
    <w:rPr>
      <w:b/>
      <w:i/>
      <w:lang w:val="en-GB"/>
    </w:rPr>
  </w:style>
  <w:style w:type="character" w:customStyle="1" w:styleId="TableitalicZchn">
    <w:name w:val="Table_italic Zchn"/>
    <w:basedOn w:val="DefaultParagraphFont"/>
    <w:link w:val="Tableitalic"/>
    <w:rsid w:val="00393191"/>
    <w:rPr>
      <w:rFonts w:ascii="Times New Roman" w:hAnsi="Times New Roman"/>
      <w:b/>
      <w:i/>
      <w:sz w:val="24"/>
      <w:lang w:val="en-GB" w:eastAsia="en-US"/>
    </w:rPr>
  </w:style>
  <w:style w:type="character" w:customStyle="1" w:styleId="NormalaftertitleChar">
    <w:name w:val="Normal after title Char"/>
    <w:basedOn w:val="DefaultParagraphFont"/>
    <w:link w:val="Normalaftertitle"/>
    <w:uiPriority w:val="99"/>
    <w:rsid w:val="00D44A27"/>
    <w:rPr>
      <w:rFonts w:ascii="Times New Roman" w:hAnsi="Times New Roman"/>
      <w:sz w:val="24"/>
      <w:lang w:val="fr-FR" w:eastAsia="en-US"/>
    </w:rPr>
  </w:style>
  <w:style w:type="paragraph" w:styleId="ListParagraph">
    <w:name w:val="List Paragraph"/>
    <w:basedOn w:val="Normal"/>
    <w:uiPriority w:val="34"/>
    <w:qFormat/>
    <w:rsid w:val="005D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6094">
      <w:bodyDiv w:val="1"/>
      <w:marLeft w:val="0"/>
      <w:marRight w:val="0"/>
      <w:marTop w:val="0"/>
      <w:marBottom w:val="0"/>
      <w:divBdr>
        <w:top w:val="none" w:sz="0" w:space="0" w:color="auto"/>
        <w:left w:val="none" w:sz="0" w:space="0" w:color="auto"/>
        <w:bottom w:val="none" w:sz="0" w:space="0" w:color="auto"/>
        <w:right w:val="none" w:sz="0" w:space="0" w:color="auto"/>
      </w:divBdr>
      <w:divsChild>
        <w:div w:id="233928296">
          <w:marLeft w:val="75"/>
          <w:marRight w:val="75"/>
          <w:marTop w:val="0"/>
          <w:marBottom w:val="75"/>
          <w:divBdr>
            <w:top w:val="none" w:sz="0" w:space="0" w:color="auto"/>
            <w:left w:val="none" w:sz="0" w:space="0" w:color="auto"/>
            <w:bottom w:val="none" w:sz="0" w:space="0" w:color="auto"/>
            <w:right w:val="none" w:sz="0" w:space="0" w:color="auto"/>
          </w:divBdr>
          <w:divsChild>
            <w:div w:id="1417167890">
              <w:marLeft w:val="0"/>
              <w:marRight w:val="0"/>
              <w:marTop w:val="0"/>
              <w:marBottom w:val="0"/>
              <w:divBdr>
                <w:top w:val="none" w:sz="0" w:space="0" w:color="auto"/>
                <w:left w:val="none" w:sz="0" w:space="0" w:color="auto"/>
                <w:bottom w:val="none" w:sz="0" w:space="0" w:color="auto"/>
                <w:right w:val="none" w:sz="0" w:space="0" w:color="auto"/>
              </w:divBdr>
              <w:divsChild>
                <w:div w:id="462357099">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 w:id="18364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BF64E69-9D42-4BC5-A645-458CF940758F}">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996b2e75-67fd-4955-a3b0-5ab9934cb50b"/>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C9585AA8-2D9B-4FE5-A677-04F0ECCA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50</Pages>
  <Words>15810</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R15-WRC15-C-0009!A25!MSW-F</vt:lpstr>
    </vt:vector>
  </TitlesOfParts>
  <Manager>Secrétariat général - Pool</Manager>
  <Company>Union internationale des télécommunications (UIT)</Company>
  <LinksUpToDate>false</LinksUpToDate>
  <CharactersWithSpaces>105256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R15-WRC15-C-0009!A25!MSW-F</dc:title>
  <dc:subject>Conférence mondiale des radiocommunications - 2015</dc:subject>
  <dc:creator>Documents Proposals Manager (DPM)</dc:creator>
  <cp:keywords>DPM_v5.2015.10.22_prod</cp:keywords>
  <dc:description/>
  <cp:lastModifiedBy>Jones, Jacqueline</cp:lastModifiedBy>
  <cp:revision>58</cp:revision>
  <cp:lastPrinted>2015-10-30T09:35:00Z</cp:lastPrinted>
  <dcterms:created xsi:type="dcterms:W3CDTF">2015-10-28T16:42:00Z</dcterms:created>
  <dcterms:modified xsi:type="dcterms:W3CDTF">2015-10-30T13:08:00Z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