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75"/>
        <w:tblW w:w="10031" w:type="dxa"/>
        <w:tblLayout w:type="fixed"/>
        <w:tblLook w:val="0000" w:firstRow="0" w:lastRow="0" w:firstColumn="0" w:lastColumn="0" w:noHBand="0" w:noVBand="0"/>
      </w:tblPr>
      <w:tblGrid>
        <w:gridCol w:w="6911"/>
        <w:gridCol w:w="3120"/>
      </w:tblGrid>
      <w:tr w:rsidR="00DC707B" w:rsidTr="000F2971">
        <w:trPr>
          <w:cantSplit/>
        </w:trPr>
        <w:tc>
          <w:tcPr>
            <w:tcW w:w="6911" w:type="dxa"/>
          </w:tcPr>
          <w:p w:rsidR="00DC707B" w:rsidRPr="00DF23FC" w:rsidRDefault="00DC707B" w:rsidP="00CE2C8D">
            <w:pPr>
              <w:spacing w:before="400" w:after="48" w:line="240" w:lineRule="atLeast"/>
              <w:rPr>
                <w:rFonts w:ascii="Verdana" w:hAnsi="Verdana"/>
                <w:position w:val="6"/>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 2-27 novembre 2015</w:t>
            </w:r>
          </w:p>
        </w:tc>
        <w:tc>
          <w:tcPr>
            <w:tcW w:w="3120" w:type="dxa"/>
          </w:tcPr>
          <w:p w:rsidR="00DC707B" w:rsidRDefault="00DC707B" w:rsidP="00DC707B">
            <w:pPr>
              <w:spacing w:before="0" w:line="240" w:lineRule="atLeast"/>
              <w:jc w:val="right"/>
            </w:pPr>
            <w:bookmarkStart w:id="0" w:name="ditulogo"/>
            <w:bookmarkEnd w:id="0"/>
            <w:r>
              <w:rPr>
                <w:noProof/>
                <w:lang w:val="en-US" w:eastAsia="zh-CN"/>
              </w:rPr>
              <w:drawing>
                <wp:inline distT="0" distB="0" distL="0" distR="0" wp14:anchorId="1F42BB6D" wp14:editId="5E1D160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C707B" w:rsidRPr="00617BE4" w:rsidTr="000F2971">
        <w:trPr>
          <w:cantSplit/>
        </w:trPr>
        <w:tc>
          <w:tcPr>
            <w:tcW w:w="6911" w:type="dxa"/>
            <w:tcBorders>
              <w:bottom w:val="single" w:sz="12" w:space="0" w:color="auto"/>
            </w:tcBorders>
          </w:tcPr>
          <w:p w:rsidR="00DC707B" w:rsidRPr="00617BE4" w:rsidRDefault="00DC707B" w:rsidP="00DC707B">
            <w:pPr>
              <w:spacing w:before="0" w:after="48" w:line="240" w:lineRule="atLeast"/>
              <w:rPr>
                <w:b/>
                <w:smallCaps/>
                <w:szCs w:val="24"/>
              </w:rPr>
            </w:pPr>
            <w:bookmarkStart w:id="1" w:name="dhead"/>
            <w:r w:rsidRPr="00BB51CC">
              <w:rPr>
                <w:rFonts w:ascii="Verdana" w:hAnsi="Verdana"/>
                <w:b/>
                <w:bCs/>
                <w:sz w:val="20"/>
              </w:rPr>
              <w:t>UNION INTERNATION</w:t>
            </w:r>
            <w:bookmarkStart w:id="2" w:name="_GoBack"/>
            <w:bookmarkEnd w:id="2"/>
            <w:r w:rsidRPr="00BB51CC">
              <w:rPr>
                <w:rFonts w:ascii="Verdana" w:hAnsi="Verdana"/>
                <w:b/>
                <w:bCs/>
                <w:sz w:val="20"/>
              </w:rPr>
              <w:t>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DC707B" w:rsidRPr="00617BE4" w:rsidRDefault="00DC707B" w:rsidP="00DC707B">
            <w:pPr>
              <w:spacing w:before="0" w:line="240" w:lineRule="atLeast"/>
              <w:rPr>
                <w:rFonts w:ascii="Verdana" w:hAnsi="Verdana"/>
                <w:szCs w:val="24"/>
              </w:rPr>
            </w:pPr>
          </w:p>
        </w:tc>
      </w:tr>
      <w:tr w:rsidR="00DC707B" w:rsidRPr="00C324A8" w:rsidTr="000F2971">
        <w:trPr>
          <w:cantSplit/>
        </w:trPr>
        <w:tc>
          <w:tcPr>
            <w:tcW w:w="6911" w:type="dxa"/>
            <w:tcBorders>
              <w:top w:val="single" w:sz="12" w:space="0" w:color="auto"/>
            </w:tcBorders>
          </w:tcPr>
          <w:p w:rsidR="00DC707B" w:rsidRPr="00C324A8" w:rsidRDefault="00DC707B" w:rsidP="00DC707B">
            <w:pPr>
              <w:spacing w:before="0" w:after="48" w:line="240" w:lineRule="atLeast"/>
              <w:rPr>
                <w:rFonts w:ascii="Verdana" w:hAnsi="Verdana"/>
                <w:b/>
                <w:smallCaps/>
                <w:sz w:val="20"/>
              </w:rPr>
            </w:pPr>
          </w:p>
        </w:tc>
        <w:tc>
          <w:tcPr>
            <w:tcW w:w="3120" w:type="dxa"/>
            <w:tcBorders>
              <w:top w:val="single" w:sz="12" w:space="0" w:color="auto"/>
            </w:tcBorders>
          </w:tcPr>
          <w:p w:rsidR="00DC707B" w:rsidRPr="00C324A8" w:rsidRDefault="00DC707B" w:rsidP="00DC707B">
            <w:pPr>
              <w:spacing w:before="0" w:line="240" w:lineRule="atLeast"/>
              <w:rPr>
                <w:rFonts w:ascii="Verdana" w:hAnsi="Verdana"/>
                <w:sz w:val="20"/>
              </w:rPr>
            </w:pPr>
          </w:p>
        </w:tc>
      </w:tr>
      <w:tr w:rsidR="00DC707B" w:rsidRPr="00C324A8" w:rsidTr="000F2971">
        <w:trPr>
          <w:cantSplit/>
          <w:trHeight w:val="23"/>
        </w:trPr>
        <w:tc>
          <w:tcPr>
            <w:tcW w:w="6911" w:type="dxa"/>
            <w:vMerge w:val="restart"/>
          </w:tcPr>
          <w:p w:rsidR="00DC707B" w:rsidRPr="00DC707B" w:rsidRDefault="00DC707B" w:rsidP="00DC707B">
            <w:pPr>
              <w:tabs>
                <w:tab w:val="left" w:pos="851"/>
              </w:tabs>
              <w:spacing w:before="0" w:line="240" w:lineRule="atLeast"/>
              <w:rPr>
                <w:rFonts w:ascii="Verdana" w:hAnsi="Verdana"/>
                <w:sz w:val="20"/>
              </w:rPr>
            </w:pPr>
            <w:bookmarkStart w:id="3" w:name="dnum" w:colFirst="1" w:colLast="1"/>
            <w:bookmarkStart w:id="4" w:name="dmeeting" w:colFirst="0" w:colLast="0"/>
            <w:bookmarkEnd w:id="1"/>
            <w:r>
              <w:rPr>
                <w:rFonts w:ascii="Verdana" w:hAnsi="Verdana"/>
                <w:b/>
                <w:sz w:val="20"/>
              </w:rPr>
              <w:t>SÉANCE PLÉNIÈRE</w:t>
            </w:r>
          </w:p>
        </w:tc>
        <w:tc>
          <w:tcPr>
            <w:tcW w:w="3120" w:type="dxa"/>
          </w:tcPr>
          <w:p w:rsidR="00DC707B" w:rsidRPr="00DC707B" w:rsidRDefault="00DC707B" w:rsidP="00DC707B">
            <w:pPr>
              <w:tabs>
                <w:tab w:val="left" w:pos="851"/>
              </w:tabs>
              <w:spacing w:before="0" w:line="240" w:lineRule="atLeast"/>
              <w:rPr>
                <w:rFonts w:ascii="Verdana" w:hAnsi="Verdana"/>
                <w:sz w:val="20"/>
              </w:rPr>
            </w:pPr>
            <w:r>
              <w:rPr>
                <w:rFonts w:ascii="Verdana" w:hAnsi="Verdana"/>
                <w:b/>
                <w:sz w:val="20"/>
              </w:rPr>
              <w:t>Document 13-F</w:t>
            </w:r>
          </w:p>
        </w:tc>
      </w:tr>
      <w:tr w:rsidR="00DC707B" w:rsidRPr="00C324A8" w:rsidTr="000F2971">
        <w:trPr>
          <w:cantSplit/>
          <w:trHeight w:val="23"/>
        </w:trPr>
        <w:tc>
          <w:tcPr>
            <w:tcW w:w="6911" w:type="dxa"/>
            <w:vMerge/>
          </w:tcPr>
          <w:p w:rsidR="00DC707B" w:rsidRPr="00C324A8" w:rsidRDefault="00DC707B" w:rsidP="00EB627B">
            <w:pPr>
              <w:tabs>
                <w:tab w:val="left" w:pos="851"/>
              </w:tabs>
              <w:spacing w:line="240" w:lineRule="atLeast"/>
              <w:rPr>
                <w:rFonts w:ascii="Verdana" w:hAnsi="Verdana"/>
                <w:b/>
                <w:sz w:val="20"/>
              </w:rPr>
            </w:pPr>
            <w:bookmarkStart w:id="5" w:name="ddate" w:colFirst="1" w:colLast="1"/>
            <w:bookmarkEnd w:id="3"/>
            <w:bookmarkEnd w:id="4"/>
          </w:p>
        </w:tc>
        <w:tc>
          <w:tcPr>
            <w:tcW w:w="3120" w:type="dxa"/>
          </w:tcPr>
          <w:p w:rsidR="00DC707B" w:rsidRPr="00DC707B" w:rsidRDefault="00DC707B" w:rsidP="00DC707B">
            <w:pPr>
              <w:tabs>
                <w:tab w:val="left" w:pos="993"/>
              </w:tabs>
              <w:spacing w:before="0"/>
              <w:rPr>
                <w:rFonts w:ascii="Verdana" w:hAnsi="Verdana"/>
                <w:sz w:val="20"/>
              </w:rPr>
            </w:pPr>
            <w:r>
              <w:rPr>
                <w:rFonts w:ascii="Verdana" w:hAnsi="Verdana"/>
                <w:b/>
                <w:sz w:val="20"/>
              </w:rPr>
              <w:t>24 juin 2015</w:t>
            </w:r>
          </w:p>
        </w:tc>
      </w:tr>
      <w:tr w:rsidR="00DC707B" w:rsidRPr="00C324A8" w:rsidTr="000F2971">
        <w:trPr>
          <w:cantSplit/>
          <w:trHeight w:val="23"/>
        </w:trPr>
        <w:tc>
          <w:tcPr>
            <w:tcW w:w="6911" w:type="dxa"/>
            <w:vMerge/>
          </w:tcPr>
          <w:p w:rsidR="00DC707B" w:rsidRPr="00C324A8" w:rsidRDefault="00DC707B" w:rsidP="00EB627B">
            <w:pPr>
              <w:tabs>
                <w:tab w:val="left" w:pos="851"/>
              </w:tabs>
              <w:spacing w:line="240" w:lineRule="atLeast"/>
              <w:rPr>
                <w:rFonts w:ascii="Verdana" w:hAnsi="Verdana"/>
                <w:b/>
                <w:sz w:val="20"/>
              </w:rPr>
            </w:pPr>
            <w:bookmarkStart w:id="6" w:name="dorlang" w:colFirst="1" w:colLast="1"/>
            <w:bookmarkEnd w:id="5"/>
          </w:p>
        </w:tc>
        <w:tc>
          <w:tcPr>
            <w:tcW w:w="3120" w:type="dxa"/>
          </w:tcPr>
          <w:p w:rsidR="00DC707B" w:rsidRPr="00DC707B" w:rsidRDefault="00DC707B" w:rsidP="00DC707B">
            <w:pPr>
              <w:tabs>
                <w:tab w:val="left" w:pos="993"/>
              </w:tabs>
              <w:spacing w:before="0" w:after="120"/>
              <w:rPr>
                <w:rFonts w:ascii="Verdana" w:hAnsi="Verdana"/>
                <w:sz w:val="20"/>
              </w:rPr>
            </w:pPr>
            <w:r>
              <w:rPr>
                <w:rFonts w:ascii="Verdana" w:hAnsi="Verdana"/>
                <w:b/>
                <w:sz w:val="20"/>
              </w:rPr>
              <w:t>Original: anglais</w:t>
            </w:r>
          </w:p>
        </w:tc>
      </w:tr>
      <w:tr w:rsidR="00DC707B" w:rsidTr="000F2971">
        <w:trPr>
          <w:cantSplit/>
        </w:trPr>
        <w:tc>
          <w:tcPr>
            <w:tcW w:w="10031" w:type="dxa"/>
            <w:gridSpan w:val="2"/>
          </w:tcPr>
          <w:p w:rsidR="00DC707B" w:rsidRDefault="00DC707B" w:rsidP="00EB627B">
            <w:pPr>
              <w:pStyle w:val="Source"/>
            </w:pPr>
            <w:bookmarkStart w:id="7" w:name="dsource" w:colFirst="0" w:colLast="0"/>
            <w:bookmarkEnd w:id="6"/>
            <w:r>
              <w:t>Note du Secrétaire général</w:t>
            </w:r>
          </w:p>
        </w:tc>
      </w:tr>
      <w:tr w:rsidR="00DC707B" w:rsidTr="000F2971">
        <w:trPr>
          <w:cantSplit/>
        </w:trPr>
        <w:tc>
          <w:tcPr>
            <w:tcW w:w="10031" w:type="dxa"/>
            <w:gridSpan w:val="2"/>
          </w:tcPr>
          <w:p w:rsidR="00DC707B" w:rsidRDefault="00DC707B" w:rsidP="00EB627B">
            <w:pPr>
              <w:pStyle w:val="Title1"/>
            </w:pPr>
            <w:bookmarkStart w:id="8" w:name="dtitle1" w:colFirst="0" w:colLast="0"/>
            <w:bookmarkEnd w:id="7"/>
            <w:r>
              <w:t>Position de l</w:t>
            </w:r>
            <w:r w:rsidR="00EB627B">
              <w:t>'</w:t>
            </w:r>
            <w:r>
              <w:t>OMI</w:t>
            </w:r>
            <w:r w:rsidR="008070B7" w:rsidRPr="00C200EA">
              <w:t xml:space="preserve"> sur les points DE l</w:t>
            </w:r>
            <w:r w:rsidR="00EB627B">
              <w:t>'</w:t>
            </w:r>
            <w:r w:rsidR="008070B7" w:rsidRPr="00C200EA">
              <w:t>ordre du jour de la cmr-1</w:t>
            </w:r>
            <w:r w:rsidR="008070B7">
              <w:t>5</w:t>
            </w:r>
            <w:r w:rsidR="008070B7" w:rsidRPr="00C200EA">
              <w:t xml:space="preserve"> qui concernent les questions ayant trait </w:t>
            </w:r>
            <w:r w:rsidR="008070B7">
              <w:br/>
            </w:r>
            <w:r w:rsidR="008070B7" w:rsidRPr="00C200EA">
              <w:t>aux services maritimes</w:t>
            </w:r>
          </w:p>
        </w:tc>
      </w:tr>
      <w:tr w:rsidR="00DC707B" w:rsidTr="000F2971">
        <w:trPr>
          <w:cantSplit/>
        </w:trPr>
        <w:tc>
          <w:tcPr>
            <w:tcW w:w="10031" w:type="dxa"/>
            <w:gridSpan w:val="2"/>
          </w:tcPr>
          <w:p w:rsidR="00DC707B" w:rsidRDefault="00DC707B" w:rsidP="00EB627B">
            <w:pPr>
              <w:pStyle w:val="Title2"/>
            </w:pPr>
            <w:bookmarkStart w:id="9" w:name="dtitle2" w:colFirst="0" w:colLast="0"/>
            <w:bookmarkEnd w:id="8"/>
          </w:p>
        </w:tc>
      </w:tr>
      <w:tr w:rsidR="00DC707B" w:rsidTr="000F2971">
        <w:trPr>
          <w:cantSplit/>
        </w:trPr>
        <w:tc>
          <w:tcPr>
            <w:tcW w:w="10031" w:type="dxa"/>
            <w:gridSpan w:val="2"/>
          </w:tcPr>
          <w:p w:rsidR="00DC707B" w:rsidRDefault="00DC707B" w:rsidP="00EB627B">
            <w:pPr>
              <w:pStyle w:val="Title3"/>
            </w:pPr>
            <w:bookmarkStart w:id="10" w:name="dtitle3" w:colFirst="0" w:colLast="0"/>
            <w:bookmarkEnd w:id="9"/>
          </w:p>
        </w:tc>
      </w:tr>
    </w:tbl>
    <w:bookmarkEnd w:id="10"/>
    <w:p w:rsidR="008070B7" w:rsidRPr="00AA3751" w:rsidRDefault="008070B7" w:rsidP="008070B7">
      <w:pPr>
        <w:spacing w:before="480"/>
      </w:pPr>
      <w:r w:rsidRPr="00AA3751">
        <w:t>A la demande de l</w:t>
      </w:r>
      <w:r w:rsidR="00EB627B">
        <w:t>'</w:t>
      </w:r>
      <w:r w:rsidRPr="00AA3751">
        <w:t>Organisation maritime internationale (OMI), j</w:t>
      </w:r>
      <w:r w:rsidR="00EB627B">
        <w:t>'</w:t>
      </w:r>
      <w:r w:rsidRPr="00AA3751">
        <w:t>ai l</w:t>
      </w:r>
      <w:r w:rsidR="00EB627B">
        <w:t>'</w:t>
      </w:r>
      <w:r w:rsidRPr="00AA3751">
        <w:t>honneur de porter à l</w:t>
      </w:r>
      <w:r w:rsidR="00EB627B">
        <w:t>'</w:t>
      </w:r>
      <w:r w:rsidRPr="00AA3751">
        <w:t>attention de la Conférence le document d</w:t>
      </w:r>
      <w:r w:rsidR="00EB627B">
        <w:t>'</w:t>
      </w:r>
      <w:r w:rsidRPr="00AA3751">
        <w:t>information joint en Annexe.</w:t>
      </w:r>
    </w:p>
    <w:p w:rsidR="008070B7" w:rsidRPr="00C200EA" w:rsidRDefault="008070B7" w:rsidP="008070B7">
      <w:pPr>
        <w:tabs>
          <w:tab w:val="center" w:pos="7088"/>
        </w:tabs>
        <w:spacing w:before="840"/>
        <w:rPr>
          <w:b/>
        </w:rPr>
      </w:pPr>
      <w:r>
        <w:rPr>
          <w:bCs/>
        </w:rPr>
        <w:tab/>
      </w:r>
      <w:r>
        <w:rPr>
          <w:bCs/>
        </w:rPr>
        <w:tab/>
      </w:r>
      <w:r>
        <w:rPr>
          <w:bCs/>
        </w:rPr>
        <w:tab/>
      </w:r>
      <w:r>
        <w:rPr>
          <w:bCs/>
        </w:rPr>
        <w:tab/>
      </w:r>
      <w:r w:rsidRPr="00F96CD3">
        <w:rPr>
          <w:bCs/>
        </w:rPr>
        <w:t>Houlin ZHAO</w:t>
      </w:r>
      <w:r>
        <w:rPr>
          <w:bCs/>
        </w:rPr>
        <w:br/>
      </w:r>
      <w:r>
        <w:rPr>
          <w:szCs w:val="24"/>
        </w:rPr>
        <w:tab/>
      </w:r>
      <w:r>
        <w:rPr>
          <w:szCs w:val="24"/>
        </w:rPr>
        <w:tab/>
      </w:r>
      <w:r>
        <w:rPr>
          <w:szCs w:val="24"/>
        </w:rPr>
        <w:tab/>
      </w:r>
      <w:r>
        <w:rPr>
          <w:szCs w:val="24"/>
        </w:rPr>
        <w:tab/>
      </w:r>
      <w:r w:rsidRPr="00936D25">
        <w:rPr>
          <w:szCs w:val="24"/>
        </w:rPr>
        <w:t>Secrétaire général</w:t>
      </w:r>
    </w:p>
    <w:p w:rsidR="008070B7" w:rsidRDefault="008070B7" w:rsidP="008070B7">
      <w:pPr>
        <w:pStyle w:val="Headingb"/>
      </w:pPr>
      <w:r>
        <w:br w:type="page"/>
      </w:r>
    </w:p>
    <w:p w:rsidR="008070B7" w:rsidRPr="00B363B4" w:rsidRDefault="008070B7" w:rsidP="008070B7">
      <w:pPr>
        <w:pStyle w:val="Headingb"/>
      </w:pPr>
      <w:r>
        <w:lastRenderedPageBreak/>
        <w:t>Considérations générales</w:t>
      </w:r>
    </w:p>
    <w:p w:rsidR="008070B7" w:rsidRPr="00B363B4" w:rsidRDefault="008070B7" w:rsidP="008070B7">
      <w:pPr>
        <w:rPr>
          <w:bCs/>
        </w:rPr>
      </w:pPr>
      <w:r w:rsidRPr="00B363B4">
        <w:rPr>
          <w:bCs/>
        </w:rPr>
        <w:t>Plus de 90</w:t>
      </w:r>
      <w:r>
        <w:rPr>
          <w:bCs/>
        </w:rPr>
        <w:t>%</w:t>
      </w:r>
      <w:r w:rsidRPr="00B363B4">
        <w:rPr>
          <w:bCs/>
        </w:rPr>
        <w:t xml:space="preserve"> des échanges commerciaux internationaux se font par voie maritime. Au total, ce sont quelque 7,5 milliards de tonnes (32 000 milliards de tonnes-milles) qu</w:t>
      </w:r>
      <w:r>
        <w:rPr>
          <w:bCs/>
        </w:rPr>
        <w:t>i sont transportées ainsi, dont </w:t>
      </w:r>
      <w:r w:rsidRPr="00B363B4">
        <w:rPr>
          <w:bCs/>
        </w:rPr>
        <w:t>33</w:t>
      </w:r>
      <w:r>
        <w:rPr>
          <w:bCs/>
        </w:rPr>
        <w:t>%</w:t>
      </w:r>
      <w:r w:rsidRPr="00B363B4">
        <w:rPr>
          <w:bCs/>
        </w:rPr>
        <w:t xml:space="preserve"> sont des hydrocarbures, 27</w:t>
      </w:r>
      <w:r>
        <w:rPr>
          <w:bCs/>
        </w:rPr>
        <w:t>%</w:t>
      </w:r>
      <w:r w:rsidRPr="00B363B4">
        <w:rPr>
          <w:bCs/>
        </w:rPr>
        <w:t xml:space="preserve"> des matériaux en vrac (minerai, charbon, grain et phosphates) et les 40</w:t>
      </w:r>
      <w:r>
        <w:rPr>
          <w:bCs/>
        </w:rPr>
        <w:t>%</w:t>
      </w:r>
      <w:r w:rsidRPr="00B363B4">
        <w:rPr>
          <w:bCs/>
        </w:rPr>
        <w:t xml:space="preserve"> restants des marchandises diverses. L</w:t>
      </w:r>
      <w:r w:rsidR="00EB627B">
        <w:rPr>
          <w:bCs/>
        </w:rPr>
        <w:t>'</w:t>
      </w:r>
      <w:r w:rsidRPr="00B363B4">
        <w:rPr>
          <w:bCs/>
        </w:rPr>
        <w:t>exploitation des navires marchands génère au sein de l</w:t>
      </w:r>
      <w:r w:rsidR="00EB627B">
        <w:rPr>
          <w:bCs/>
        </w:rPr>
        <w:t>'</w:t>
      </w:r>
      <w:r w:rsidRPr="00B363B4">
        <w:rPr>
          <w:bCs/>
        </w:rPr>
        <w:t>économie mondiale, sous forme de taux de fret, de</w:t>
      </w:r>
      <w:r>
        <w:rPr>
          <w:bCs/>
        </w:rPr>
        <w:t>s recettes annuelles estimées à </w:t>
      </w:r>
      <w:r w:rsidRPr="00B363B4">
        <w:rPr>
          <w:bCs/>
        </w:rPr>
        <w:t>380</w:t>
      </w:r>
      <w:r>
        <w:rPr>
          <w:bCs/>
        </w:rPr>
        <w:t> </w:t>
      </w:r>
      <w:r w:rsidRPr="00B363B4">
        <w:rPr>
          <w:bCs/>
        </w:rPr>
        <w:t>milliards</w:t>
      </w:r>
      <w:r>
        <w:rPr>
          <w:bCs/>
        </w:rPr>
        <w:t> USD</w:t>
      </w:r>
      <w:r w:rsidRPr="00B363B4">
        <w:rPr>
          <w:bCs/>
        </w:rPr>
        <w:t>, soit 5</w:t>
      </w:r>
      <w:r>
        <w:rPr>
          <w:bCs/>
        </w:rPr>
        <w:t>%</w:t>
      </w:r>
      <w:r w:rsidRPr="00B363B4">
        <w:rPr>
          <w:bCs/>
        </w:rPr>
        <w:t xml:space="preserve"> du montant total des échanges commerciaux internationaux.</w:t>
      </w:r>
    </w:p>
    <w:p w:rsidR="008070B7" w:rsidRPr="00B363B4" w:rsidRDefault="008070B7" w:rsidP="008070B7">
      <w:pPr>
        <w:rPr>
          <w:bCs/>
        </w:rPr>
      </w:pPr>
      <w:r w:rsidRPr="00B363B4">
        <w:rPr>
          <w:bCs/>
        </w:rPr>
        <w:t>Le secteur emploie plus de 1,2 million de marins.</w:t>
      </w:r>
    </w:p>
    <w:p w:rsidR="008070B7" w:rsidRPr="008070B7" w:rsidRDefault="008070B7" w:rsidP="008070B7">
      <w:pPr>
        <w:pStyle w:val="Headingb"/>
      </w:pPr>
      <w:r w:rsidRPr="008070B7">
        <w:t>Point 1.1 de l</w:t>
      </w:r>
      <w:r w:rsidR="00EB627B">
        <w:t>'</w:t>
      </w:r>
      <w:r w:rsidRPr="008070B7">
        <w:t>ordre du jour</w:t>
      </w:r>
    </w:p>
    <w:p w:rsidR="008070B7" w:rsidRPr="008070B7" w:rsidRDefault="008070B7" w:rsidP="008070B7">
      <w:pPr>
        <w:rPr>
          <w:bCs/>
        </w:rPr>
      </w:pPr>
      <w:r w:rsidRPr="008070B7">
        <w:rPr>
          <w:bCs/>
        </w:rPr>
        <w:t>1.1</w:t>
      </w:r>
      <w:r w:rsidRPr="008070B7">
        <w:rPr>
          <w:bCs/>
        </w:rPr>
        <w:tab/>
        <w:t xml:space="preserve">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8070B7">
        <w:rPr>
          <w:b/>
          <w:bCs/>
        </w:rPr>
        <w:t>233 (CMR-12)</w:t>
      </w:r>
      <w:r w:rsidRPr="008070B7">
        <w:t>;</w:t>
      </w:r>
    </w:p>
    <w:p w:rsidR="008070B7" w:rsidRPr="00B363B4" w:rsidRDefault="008070B7" w:rsidP="008070B7">
      <w:pPr>
        <w:pStyle w:val="Headingb"/>
      </w:pPr>
      <w:r>
        <w:tab/>
        <w:t>Rappel</w:t>
      </w:r>
    </w:p>
    <w:p w:rsidR="008070B7" w:rsidRPr="00B363B4" w:rsidRDefault="008070B7" w:rsidP="008070B7">
      <w:pPr>
        <w:ind w:left="1134" w:hanging="1134"/>
        <w:rPr>
          <w:bCs/>
        </w:rPr>
      </w:pPr>
      <w:r>
        <w:rPr>
          <w:bCs/>
        </w:rPr>
        <w:tab/>
        <w:t>L</w:t>
      </w:r>
      <w:r w:rsidRPr="00B363B4">
        <w:rPr>
          <w:bCs/>
        </w:rPr>
        <w:t>a communauté maritime s</w:t>
      </w:r>
      <w:r w:rsidR="00EB627B">
        <w:rPr>
          <w:bCs/>
        </w:rPr>
        <w:t>'</w:t>
      </w:r>
      <w:r w:rsidRPr="00B363B4">
        <w:rPr>
          <w:bCs/>
        </w:rPr>
        <w:t xml:space="preserve">intéresse </w:t>
      </w:r>
      <w:r>
        <w:rPr>
          <w:bCs/>
        </w:rPr>
        <w:t xml:space="preserve">tout </w:t>
      </w:r>
      <w:r w:rsidRPr="00B363B4">
        <w:rPr>
          <w:bCs/>
        </w:rPr>
        <w:t>particulièrement à l</w:t>
      </w:r>
      <w:r w:rsidR="00EB627B">
        <w:rPr>
          <w:bCs/>
        </w:rPr>
        <w:t>'</w:t>
      </w:r>
      <w:r w:rsidRPr="00B363B4">
        <w:rPr>
          <w:bCs/>
        </w:rPr>
        <w:t>examen des bandes de fréquences suivantes</w:t>
      </w:r>
      <w:r>
        <w:rPr>
          <w:bCs/>
        </w:rPr>
        <w:t>:</w:t>
      </w:r>
      <w:r w:rsidRPr="00B363B4">
        <w:rPr>
          <w:bCs/>
        </w:rPr>
        <w:t xml:space="preserve"> </w:t>
      </w:r>
    </w:p>
    <w:p w:rsidR="008070B7" w:rsidRDefault="008070B7" w:rsidP="008070B7">
      <w:pPr>
        <w:pStyle w:val="enumlev1"/>
      </w:pPr>
      <w:r>
        <w:tab/>
      </w:r>
      <w:r w:rsidRPr="00B363B4">
        <w:t>1</w:t>
      </w:r>
      <w:r>
        <w:t>)</w:t>
      </w:r>
      <w:r w:rsidRPr="00B363B4">
        <w:tab/>
      </w:r>
      <w:r>
        <w:t>bande 406-406,1 MHz, actuellement utilisée pour le système Cospas-Sarsat;</w:t>
      </w:r>
    </w:p>
    <w:p w:rsidR="008070B7" w:rsidRPr="00B363B4" w:rsidRDefault="008070B7" w:rsidP="008070B7">
      <w:pPr>
        <w:pStyle w:val="enumlev1"/>
        <w:ind w:left="1871" w:hanging="1871"/>
      </w:pPr>
      <w:r>
        <w:tab/>
        <w:t>2)</w:t>
      </w:r>
      <w:r>
        <w:tab/>
        <w:t xml:space="preserve">bande </w:t>
      </w:r>
      <w:r w:rsidRPr="00B363B4">
        <w:t>1 518-1 559 MHz, actuellement utilisée pour les terminaux de satellite embarqués à bord des navires soumis à la Convention SOLAS;</w:t>
      </w:r>
    </w:p>
    <w:p w:rsidR="008070B7" w:rsidRPr="00B363B4" w:rsidRDefault="008070B7" w:rsidP="008070B7">
      <w:pPr>
        <w:pStyle w:val="enumlev1"/>
        <w:ind w:left="1871" w:hanging="1871"/>
      </w:pPr>
      <w:r>
        <w:tab/>
        <w:t>3)</w:t>
      </w:r>
      <w:r w:rsidRPr="00B363B4">
        <w:tab/>
      </w:r>
      <w:r>
        <w:t xml:space="preserve">bande </w:t>
      </w:r>
      <w:r w:rsidRPr="00B363B4">
        <w:t>1 559-1 610 MHz, actuellement utilisée pour le service de radionavigation par satellite (SRNS);</w:t>
      </w:r>
    </w:p>
    <w:p w:rsidR="008070B7" w:rsidRPr="00B363B4" w:rsidRDefault="008070B7" w:rsidP="008070B7">
      <w:pPr>
        <w:pStyle w:val="enumlev1"/>
        <w:ind w:left="1871" w:hanging="1871"/>
      </w:pPr>
      <w:r>
        <w:tab/>
        <w:t>4)</w:t>
      </w:r>
      <w:r w:rsidRPr="00B363B4">
        <w:tab/>
      </w:r>
      <w:r>
        <w:t xml:space="preserve">bande </w:t>
      </w:r>
      <w:r w:rsidRPr="00B363B4">
        <w:t>1 626,5-1 660,5 MHz, actuellement utilisée pour les terminaux de satellite embarqués à bord des navires soumis à la Convention SOLAS;</w:t>
      </w:r>
    </w:p>
    <w:p w:rsidR="008070B7" w:rsidRPr="00B363B4" w:rsidRDefault="008070B7" w:rsidP="008070B7">
      <w:pPr>
        <w:pStyle w:val="enumlev1"/>
        <w:ind w:left="1871" w:hanging="1871"/>
      </w:pPr>
      <w:r>
        <w:tab/>
        <w:t>5)</w:t>
      </w:r>
      <w:r>
        <w:tab/>
        <w:t>bande 1 </w:t>
      </w:r>
      <w:r w:rsidRPr="00B363B4">
        <w:t>668-1 675 MHz, actuellement ut</w:t>
      </w:r>
      <w:r>
        <w:t xml:space="preserve">ilisée en tant que bande </w:t>
      </w:r>
      <w:r w:rsidRPr="00B363B4">
        <w:t>e</w:t>
      </w:r>
      <w:r>
        <w:t>n</w:t>
      </w:r>
      <w:r w:rsidRPr="00B363B4">
        <w:t xml:space="preserve"> liaison montante </w:t>
      </w:r>
      <w:r>
        <w:t>appariée</w:t>
      </w:r>
      <w:r w:rsidRPr="00B363B4">
        <w:t xml:space="preserve"> à la bande 1 518-1 525 MHz</w:t>
      </w:r>
      <w:r>
        <w:t xml:space="preserve"> en </w:t>
      </w:r>
      <w:r w:rsidRPr="00B363B4">
        <w:t xml:space="preserve">liaison descendante </w:t>
      </w:r>
      <w:r>
        <w:t>pour les communications par satellite</w:t>
      </w:r>
      <w:r w:rsidRPr="00B363B4">
        <w:t>;</w:t>
      </w:r>
    </w:p>
    <w:p w:rsidR="008070B7" w:rsidRPr="00B363B4" w:rsidRDefault="008070B7" w:rsidP="008070B7">
      <w:pPr>
        <w:pStyle w:val="enumlev1"/>
        <w:ind w:left="1871" w:hanging="1871"/>
      </w:pPr>
      <w:r>
        <w:tab/>
        <w:t>6)</w:t>
      </w:r>
      <w:r w:rsidRPr="00B363B4">
        <w:tab/>
      </w:r>
      <w:r>
        <w:t xml:space="preserve">bande </w:t>
      </w:r>
      <w:r w:rsidRPr="00B363B4">
        <w:t>2 900-3 100 MHz, actuellement utilisée pour la radionavigation maritime (radars fonctionnant en bande S); et</w:t>
      </w:r>
    </w:p>
    <w:p w:rsidR="008070B7" w:rsidRPr="00B363B4" w:rsidRDefault="008070B7" w:rsidP="008070B7">
      <w:pPr>
        <w:pStyle w:val="enumlev1"/>
        <w:ind w:left="1871" w:hanging="1871"/>
      </w:pPr>
      <w:r>
        <w:tab/>
        <w:t>7)</w:t>
      </w:r>
      <w:r w:rsidRPr="00B363B4">
        <w:tab/>
      </w:r>
      <w:r>
        <w:t xml:space="preserve">bande </w:t>
      </w:r>
      <w:r w:rsidRPr="00B363B4">
        <w:t xml:space="preserve">3 400-4 200 MHz, </w:t>
      </w:r>
      <w:r>
        <w:t xml:space="preserve">en </w:t>
      </w:r>
      <w:r w:rsidRPr="00B363B4">
        <w:t>partie utilisée p</w:t>
      </w:r>
      <w:r>
        <w:t xml:space="preserve">our les liaisons de connexion du système </w:t>
      </w:r>
      <w:r w:rsidRPr="00B363B4">
        <w:t>Inmarsat.</w:t>
      </w:r>
    </w:p>
    <w:p w:rsidR="008070B7" w:rsidRPr="00B363B4" w:rsidRDefault="008070B7" w:rsidP="008070B7">
      <w:pPr>
        <w:ind w:left="1134" w:hanging="1134"/>
        <w:rPr>
          <w:bCs/>
        </w:rPr>
      </w:pPr>
      <w:r>
        <w:rPr>
          <w:bCs/>
        </w:rPr>
        <w:tab/>
      </w:r>
      <w:r w:rsidRPr="00B363B4">
        <w:rPr>
          <w:bCs/>
        </w:rPr>
        <w:t>Le</w:t>
      </w:r>
      <w:r>
        <w:rPr>
          <w:bCs/>
        </w:rPr>
        <w:t>s</w:t>
      </w:r>
      <w:r w:rsidRPr="00B363B4">
        <w:rPr>
          <w:bCs/>
        </w:rPr>
        <w:t xml:space="preserve"> radar</w:t>
      </w:r>
      <w:r>
        <w:rPr>
          <w:bCs/>
        </w:rPr>
        <w:t>s</w:t>
      </w:r>
      <w:r w:rsidRPr="00B363B4">
        <w:rPr>
          <w:bCs/>
        </w:rPr>
        <w:t xml:space="preserve"> fonctionnant en bande S revêt</w:t>
      </w:r>
      <w:r>
        <w:rPr>
          <w:bCs/>
        </w:rPr>
        <w:t>ent</w:t>
      </w:r>
      <w:r w:rsidRPr="00B363B4">
        <w:rPr>
          <w:bCs/>
        </w:rPr>
        <w:t xml:space="preserve"> une importance particulière pour l</w:t>
      </w:r>
      <w:r>
        <w:rPr>
          <w:bCs/>
        </w:rPr>
        <w:t>a sécurité de la navigation (</w:t>
      </w:r>
      <w:r w:rsidRPr="00B363B4">
        <w:rPr>
          <w:bCs/>
        </w:rPr>
        <w:t>service de sauvegarde de la vie humaine), et lorsqu</w:t>
      </w:r>
      <w:r w:rsidR="00EB627B">
        <w:rPr>
          <w:bCs/>
        </w:rPr>
        <w:t>'</w:t>
      </w:r>
      <w:r w:rsidRPr="00B363B4">
        <w:rPr>
          <w:bCs/>
        </w:rPr>
        <w:t>il</w:t>
      </w:r>
      <w:r>
        <w:rPr>
          <w:bCs/>
        </w:rPr>
        <w:t xml:space="preserve">s </w:t>
      </w:r>
      <w:r w:rsidRPr="00B363B4">
        <w:rPr>
          <w:bCs/>
        </w:rPr>
        <w:t>s</w:t>
      </w:r>
      <w:r>
        <w:rPr>
          <w:bCs/>
        </w:rPr>
        <w:t>on</w:t>
      </w:r>
      <w:r w:rsidRPr="00B363B4">
        <w:rPr>
          <w:bCs/>
        </w:rPr>
        <w:t>t utilisé</w:t>
      </w:r>
      <w:r>
        <w:rPr>
          <w:bCs/>
        </w:rPr>
        <w:t>s</w:t>
      </w:r>
      <w:r w:rsidRPr="00B363B4">
        <w:rPr>
          <w:bCs/>
        </w:rPr>
        <w:t xml:space="preserve"> dans des conditions météorologiques défavorables, par exemple </w:t>
      </w:r>
      <w:r>
        <w:rPr>
          <w:bCs/>
        </w:rPr>
        <w:t xml:space="preserve">en cas de </w:t>
      </w:r>
      <w:r w:rsidRPr="00B363B4">
        <w:rPr>
          <w:bCs/>
        </w:rPr>
        <w:t>forte</w:t>
      </w:r>
      <w:r>
        <w:rPr>
          <w:bCs/>
        </w:rPr>
        <w:t>s</w:t>
      </w:r>
      <w:r w:rsidRPr="00B363B4">
        <w:rPr>
          <w:bCs/>
        </w:rPr>
        <w:t xml:space="preserve"> </w:t>
      </w:r>
      <w:r>
        <w:rPr>
          <w:bCs/>
        </w:rPr>
        <w:t>précipitations</w:t>
      </w:r>
      <w:r w:rsidRPr="00B363B4">
        <w:rPr>
          <w:bCs/>
        </w:rPr>
        <w:t>. Les études</w:t>
      </w:r>
      <w:r>
        <w:rPr>
          <w:bCs/>
        </w:rPr>
        <w:t xml:space="preserve"> menées précédemment par l</w:t>
      </w:r>
      <w:r w:rsidR="00EB627B">
        <w:rPr>
          <w:bCs/>
        </w:rPr>
        <w:t>'</w:t>
      </w:r>
      <w:r>
        <w:rPr>
          <w:bCs/>
        </w:rPr>
        <w:t>UIT</w:t>
      </w:r>
      <w:r>
        <w:rPr>
          <w:bCs/>
        </w:rPr>
        <w:noBreakHyphen/>
        <w:t>R concernant le partage dans</w:t>
      </w:r>
      <w:r w:rsidRPr="00B363B4">
        <w:rPr>
          <w:bCs/>
        </w:rPr>
        <w:t xml:space="preserve"> la bande 2 900-3 100 MHz ne sont plus valables, car il n</w:t>
      </w:r>
      <w:r w:rsidR="00EB627B">
        <w:rPr>
          <w:bCs/>
        </w:rPr>
        <w:t>'</w:t>
      </w:r>
      <w:r w:rsidRPr="00B363B4">
        <w:rPr>
          <w:bCs/>
        </w:rPr>
        <w:t xml:space="preserve">avait pas été tenu compte de la nouvelle génération </w:t>
      </w:r>
      <w:r>
        <w:rPr>
          <w:bCs/>
        </w:rPr>
        <w:t>d</w:t>
      </w:r>
      <w:r w:rsidR="00EB627B">
        <w:rPr>
          <w:bCs/>
        </w:rPr>
        <w:t>'</w:t>
      </w:r>
      <w:r>
        <w:rPr>
          <w:bCs/>
        </w:rPr>
        <w:t>équipements</w:t>
      </w:r>
      <w:r w:rsidRPr="00B363B4">
        <w:rPr>
          <w:bCs/>
        </w:rPr>
        <w:t xml:space="preserve">. </w:t>
      </w:r>
    </w:p>
    <w:p w:rsidR="008070B7" w:rsidRPr="00B363B4" w:rsidRDefault="008070B7" w:rsidP="008070B7">
      <w:pPr>
        <w:pStyle w:val="Headingb"/>
      </w:pPr>
      <w:r>
        <w:tab/>
        <w:t>P</w:t>
      </w:r>
      <w:r w:rsidRPr="00B363B4">
        <w:t>osition de l</w:t>
      </w:r>
      <w:r w:rsidR="00EB627B">
        <w:t>'</w:t>
      </w:r>
      <w:r w:rsidRPr="00B363B4">
        <w:t>OMI</w:t>
      </w:r>
    </w:p>
    <w:p w:rsidR="008070B7" w:rsidRPr="00B363B4" w:rsidRDefault="008070B7" w:rsidP="008070B7">
      <w:pPr>
        <w:ind w:left="1134" w:hanging="1134"/>
        <w:rPr>
          <w:bCs/>
        </w:rPr>
      </w:pPr>
      <w:r>
        <w:rPr>
          <w:rFonts w:eastAsia="Calibri"/>
          <w:spacing w:val="-4"/>
          <w:szCs w:val="22"/>
        </w:rPr>
        <w:tab/>
      </w:r>
      <w:r w:rsidRPr="00B363B4">
        <w:rPr>
          <w:rFonts w:eastAsia="Calibri"/>
          <w:spacing w:val="-4"/>
          <w:szCs w:val="22"/>
        </w:rPr>
        <w:t>Renoncer à envisager</w:t>
      </w:r>
      <w:r>
        <w:rPr>
          <w:rFonts w:eastAsia="Calibri"/>
          <w:spacing w:val="-4"/>
          <w:szCs w:val="22"/>
        </w:rPr>
        <w:t>, au titre du point 1.1 de l</w:t>
      </w:r>
      <w:r w:rsidR="00EB627B">
        <w:rPr>
          <w:rFonts w:eastAsia="Calibri"/>
          <w:spacing w:val="-4"/>
          <w:szCs w:val="22"/>
        </w:rPr>
        <w:t>'</w:t>
      </w:r>
      <w:r>
        <w:rPr>
          <w:rFonts w:eastAsia="Calibri"/>
          <w:spacing w:val="-4"/>
          <w:szCs w:val="22"/>
        </w:rPr>
        <w:t>ordre du jour de la CMR</w:t>
      </w:r>
      <w:r>
        <w:rPr>
          <w:rFonts w:eastAsia="Calibri"/>
          <w:spacing w:val="-4"/>
          <w:szCs w:val="22"/>
        </w:rPr>
        <w:noBreakHyphen/>
        <w:t>15,</w:t>
      </w:r>
      <w:r w:rsidR="000F2971">
        <w:rPr>
          <w:rFonts w:eastAsia="Calibri"/>
          <w:spacing w:val="-4"/>
          <w:szCs w:val="22"/>
        </w:rPr>
        <w:t xml:space="preserve"> les bandes </w:t>
      </w:r>
      <w:r>
        <w:rPr>
          <w:rFonts w:eastAsia="Calibri"/>
          <w:spacing w:val="-4"/>
          <w:szCs w:val="22"/>
        </w:rPr>
        <w:t>406</w:t>
      </w:r>
      <w:r>
        <w:rPr>
          <w:rFonts w:eastAsia="Calibri"/>
          <w:spacing w:val="-4"/>
          <w:szCs w:val="22"/>
        </w:rPr>
        <w:noBreakHyphen/>
        <w:t>406,1 MHz,</w:t>
      </w:r>
      <w:r w:rsidRPr="00B363B4">
        <w:rPr>
          <w:rFonts w:eastAsia="Calibri"/>
          <w:spacing w:val="-4"/>
          <w:szCs w:val="22"/>
        </w:rPr>
        <w:t xml:space="preserve"> </w:t>
      </w:r>
      <w:r>
        <w:rPr>
          <w:rFonts w:cs="Arial"/>
          <w:spacing w:val="-4"/>
          <w:szCs w:val="22"/>
        </w:rPr>
        <w:t>1 518-1 559 MHz, 1 559</w:t>
      </w:r>
      <w:r>
        <w:rPr>
          <w:rFonts w:cs="Arial"/>
          <w:spacing w:val="-4"/>
          <w:szCs w:val="22"/>
        </w:rPr>
        <w:noBreakHyphen/>
        <w:t>1 610 </w:t>
      </w:r>
      <w:r w:rsidRPr="00B363B4">
        <w:rPr>
          <w:rFonts w:cs="Arial"/>
          <w:spacing w:val="-4"/>
          <w:szCs w:val="22"/>
        </w:rPr>
        <w:t>MHz</w:t>
      </w:r>
      <w:r w:rsidRPr="00B363B4">
        <w:rPr>
          <w:rFonts w:cs="Arial"/>
          <w:szCs w:val="22"/>
        </w:rPr>
        <w:t>, 1</w:t>
      </w:r>
      <w:r>
        <w:rPr>
          <w:rFonts w:cs="Arial"/>
          <w:szCs w:val="22"/>
        </w:rPr>
        <w:t> 626,5</w:t>
      </w:r>
      <w:r>
        <w:rPr>
          <w:rFonts w:cs="Arial"/>
          <w:szCs w:val="22"/>
        </w:rPr>
        <w:noBreakHyphen/>
        <w:t>1 660,5 MHz, 1 668-1 675 </w:t>
      </w:r>
      <w:r w:rsidRPr="00B363B4">
        <w:rPr>
          <w:rFonts w:cs="Arial"/>
          <w:szCs w:val="22"/>
        </w:rPr>
        <w:t>MHz,</w:t>
      </w:r>
      <w:r>
        <w:rPr>
          <w:rFonts w:cs="Arial"/>
          <w:szCs w:val="22"/>
        </w:rPr>
        <w:t xml:space="preserve"> 2 900-3 100 MHz et 3 400</w:t>
      </w:r>
      <w:r>
        <w:rPr>
          <w:rFonts w:cs="Arial"/>
          <w:szCs w:val="22"/>
        </w:rPr>
        <w:noBreakHyphen/>
        <w:t>4 200 </w:t>
      </w:r>
      <w:r w:rsidRPr="00B363B4">
        <w:rPr>
          <w:rFonts w:cs="Arial"/>
          <w:szCs w:val="22"/>
        </w:rPr>
        <w:t>MHz, ou toute autre bande de fréquences utilisée par les systèmes de sécurité maritime,</w:t>
      </w:r>
      <w:r w:rsidRPr="00B363B4">
        <w:rPr>
          <w:rFonts w:eastAsia="Calibri"/>
          <w:szCs w:val="22"/>
        </w:rPr>
        <w:t xml:space="preserve"> en raison de</w:t>
      </w:r>
      <w:r>
        <w:rPr>
          <w:rFonts w:eastAsia="Calibri"/>
          <w:szCs w:val="22"/>
        </w:rPr>
        <w:t>s</w:t>
      </w:r>
      <w:r w:rsidRPr="00B363B4">
        <w:rPr>
          <w:rFonts w:eastAsia="Calibri"/>
          <w:szCs w:val="22"/>
        </w:rPr>
        <w:t xml:space="preserve"> effet</w:t>
      </w:r>
      <w:r>
        <w:rPr>
          <w:rFonts w:eastAsia="Calibri"/>
          <w:szCs w:val="22"/>
        </w:rPr>
        <w:t>s</w:t>
      </w:r>
      <w:r w:rsidRPr="00B363B4">
        <w:rPr>
          <w:rFonts w:eastAsia="Calibri"/>
          <w:szCs w:val="22"/>
        </w:rPr>
        <w:t xml:space="preserve"> </w:t>
      </w:r>
      <w:r>
        <w:rPr>
          <w:rFonts w:eastAsia="Calibri"/>
          <w:szCs w:val="22"/>
        </w:rPr>
        <w:t xml:space="preserve">négatifs que cela pourrait avoir sur </w:t>
      </w:r>
      <w:r w:rsidRPr="00B363B4">
        <w:rPr>
          <w:rFonts w:eastAsia="Calibri"/>
          <w:szCs w:val="22"/>
        </w:rPr>
        <w:t xml:space="preserve">la sécurité </w:t>
      </w:r>
      <w:r>
        <w:rPr>
          <w:rFonts w:eastAsia="Calibri"/>
          <w:szCs w:val="22"/>
        </w:rPr>
        <w:t>maritime et sur l</w:t>
      </w:r>
      <w:r w:rsidR="00EB627B">
        <w:rPr>
          <w:rFonts w:eastAsia="Calibri"/>
          <w:szCs w:val="22"/>
        </w:rPr>
        <w:t>'</w:t>
      </w:r>
      <w:r>
        <w:rPr>
          <w:rFonts w:eastAsia="Calibri"/>
          <w:szCs w:val="22"/>
        </w:rPr>
        <w:t xml:space="preserve">efficacité du commerce </w:t>
      </w:r>
      <w:r w:rsidRPr="00B363B4">
        <w:rPr>
          <w:rFonts w:eastAsia="Calibri"/>
          <w:szCs w:val="22"/>
        </w:rPr>
        <w:t>international</w:t>
      </w:r>
      <w:r>
        <w:rPr>
          <w:rFonts w:eastAsia="Calibri"/>
          <w:szCs w:val="22"/>
        </w:rPr>
        <w:t>.</w:t>
      </w:r>
    </w:p>
    <w:p w:rsidR="008070B7" w:rsidRDefault="008070B7" w:rsidP="008070B7">
      <w:pPr>
        <w:ind w:left="1134" w:hanging="1134"/>
        <w:rPr>
          <w:bCs/>
        </w:rPr>
      </w:pPr>
      <w:r>
        <w:rPr>
          <w:rFonts w:eastAsia="Calibri"/>
          <w:spacing w:val="-2"/>
          <w:szCs w:val="22"/>
        </w:rPr>
        <w:lastRenderedPageBreak/>
        <w:tab/>
      </w:r>
      <w:r w:rsidRPr="00B363B4">
        <w:rPr>
          <w:rFonts w:eastAsia="Calibri"/>
          <w:spacing w:val="-2"/>
          <w:szCs w:val="22"/>
        </w:rPr>
        <w:t>S</w:t>
      </w:r>
      <w:r w:rsidR="00EB627B">
        <w:rPr>
          <w:rFonts w:eastAsia="Calibri"/>
          <w:spacing w:val="-2"/>
          <w:szCs w:val="22"/>
        </w:rPr>
        <w:t>'</w:t>
      </w:r>
      <w:r w:rsidRPr="00B363B4">
        <w:rPr>
          <w:rFonts w:eastAsia="Calibri"/>
          <w:spacing w:val="-2"/>
          <w:szCs w:val="22"/>
        </w:rPr>
        <w:t>il était décidé d</w:t>
      </w:r>
      <w:r w:rsidR="00EB627B">
        <w:rPr>
          <w:rFonts w:eastAsia="Calibri"/>
          <w:spacing w:val="-2"/>
          <w:szCs w:val="22"/>
        </w:rPr>
        <w:t>'</w:t>
      </w:r>
      <w:r w:rsidRPr="00B363B4">
        <w:rPr>
          <w:rFonts w:eastAsia="Calibri"/>
          <w:spacing w:val="-2"/>
          <w:szCs w:val="22"/>
        </w:rPr>
        <w:t>envisager la bande 2 700-2 900 MHz au titre du poi</w:t>
      </w:r>
      <w:r>
        <w:rPr>
          <w:rFonts w:eastAsia="Calibri"/>
          <w:spacing w:val="-2"/>
          <w:szCs w:val="22"/>
        </w:rPr>
        <w:t>nt 1.1 de l</w:t>
      </w:r>
      <w:r w:rsidR="00EB627B">
        <w:rPr>
          <w:rFonts w:eastAsia="Calibri"/>
          <w:spacing w:val="-2"/>
          <w:szCs w:val="22"/>
        </w:rPr>
        <w:t>'</w:t>
      </w:r>
      <w:r>
        <w:rPr>
          <w:rFonts w:eastAsia="Calibri"/>
          <w:spacing w:val="-2"/>
          <w:szCs w:val="22"/>
        </w:rPr>
        <w:t>ordre du jour de la </w:t>
      </w:r>
      <w:r w:rsidRPr="00B363B4">
        <w:rPr>
          <w:rFonts w:eastAsia="Calibri"/>
          <w:spacing w:val="-2"/>
          <w:szCs w:val="22"/>
        </w:rPr>
        <w:t>CMR-15, l</w:t>
      </w:r>
      <w:r w:rsidR="00EB627B">
        <w:rPr>
          <w:rFonts w:eastAsia="Calibri"/>
          <w:spacing w:val="-2"/>
          <w:szCs w:val="22"/>
        </w:rPr>
        <w:t>'</w:t>
      </w:r>
      <w:r w:rsidRPr="00B363B4">
        <w:rPr>
          <w:rFonts w:eastAsia="Calibri"/>
          <w:spacing w:val="-2"/>
          <w:szCs w:val="22"/>
        </w:rPr>
        <w:t>OMI demanderait à l</w:t>
      </w:r>
      <w:r w:rsidR="00EB627B">
        <w:rPr>
          <w:rFonts w:eastAsia="Calibri"/>
          <w:spacing w:val="-2"/>
          <w:szCs w:val="22"/>
        </w:rPr>
        <w:t>'</w:t>
      </w:r>
      <w:r w:rsidRPr="00B363B4">
        <w:rPr>
          <w:rFonts w:eastAsia="Calibri"/>
          <w:spacing w:val="-2"/>
          <w:szCs w:val="22"/>
        </w:rPr>
        <w:t>UIT d</w:t>
      </w:r>
      <w:r w:rsidR="00EB627B">
        <w:rPr>
          <w:rFonts w:eastAsia="Calibri"/>
          <w:spacing w:val="-2"/>
          <w:szCs w:val="22"/>
        </w:rPr>
        <w:t>'</w:t>
      </w:r>
      <w:r w:rsidRPr="00B363B4">
        <w:rPr>
          <w:rFonts w:eastAsia="Calibri"/>
          <w:spacing w:val="-2"/>
          <w:szCs w:val="22"/>
        </w:rPr>
        <w:t>é</w:t>
      </w:r>
      <w:r>
        <w:rPr>
          <w:rFonts w:eastAsia="Calibri"/>
          <w:spacing w:val="-2"/>
          <w:szCs w:val="22"/>
        </w:rPr>
        <w:t>tudi</w:t>
      </w:r>
      <w:r w:rsidRPr="00B363B4">
        <w:rPr>
          <w:rFonts w:eastAsia="Calibri"/>
          <w:spacing w:val="-2"/>
          <w:szCs w:val="22"/>
        </w:rPr>
        <w:t>er les incidences sur la bande 2 900-3 100 MHz, y compris la coexistence ent</w:t>
      </w:r>
      <w:r>
        <w:rPr>
          <w:rFonts w:eastAsia="Calibri"/>
          <w:spacing w:val="-2"/>
          <w:szCs w:val="22"/>
        </w:rPr>
        <w:t>re différents types de radars qui pourrait résulter d</w:t>
      </w:r>
      <w:r w:rsidR="00EB627B">
        <w:rPr>
          <w:rFonts w:eastAsia="Calibri"/>
          <w:spacing w:val="-2"/>
          <w:szCs w:val="22"/>
        </w:rPr>
        <w:t>'</w:t>
      </w:r>
      <w:r>
        <w:rPr>
          <w:rFonts w:eastAsia="Calibri"/>
          <w:spacing w:val="-2"/>
          <w:szCs w:val="22"/>
        </w:rPr>
        <w:t xml:space="preserve">une utilisation éventuelle de la bande </w:t>
      </w:r>
      <w:r>
        <w:rPr>
          <w:bCs/>
        </w:rPr>
        <w:t>2 700</w:t>
      </w:r>
      <w:r>
        <w:rPr>
          <w:bCs/>
        </w:rPr>
        <w:noBreakHyphen/>
        <w:t xml:space="preserve">2 900 MHz pour les IMT. </w:t>
      </w:r>
    </w:p>
    <w:p w:rsidR="008070B7" w:rsidRPr="00B363B4" w:rsidRDefault="008070B7" w:rsidP="008070B7">
      <w:pPr>
        <w:ind w:left="1134" w:hanging="1134"/>
        <w:rPr>
          <w:rFonts w:eastAsia="Calibri"/>
          <w:szCs w:val="22"/>
        </w:rPr>
      </w:pPr>
      <w:r>
        <w:rPr>
          <w:rFonts w:eastAsia="Calibri"/>
          <w:szCs w:val="22"/>
        </w:rPr>
        <w:tab/>
      </w:r>
      <w:r w:rsidRPr="00B363B4">
        <w:rPr>
          <w:rFonts w:eastAsia="Calibri"/>
          <w:szCs w:val="22"/>
        </w:rPr>
        <w:t>Veiller à ce que les émissions</w:t>
      </w:r>
      <w:r>
        <w:rPr>
          <w:rFonts w:eastAsia="Calibri"/>
          <w:szCs w:val="22"/>
        </w:rPr>
        <w:t xml:space="preserve"> provenant</w:t>
      </w:r>
      <w:r w:rsidRPr="00B363B4">
        <w:rPr>
          <w:rFonts w:eastAsia="Calibri"/>
          <w:szCs w:val="22"/>
        </w:rPr>
        <w:t xml:space="preserve"> des </w:t>
      </w:r>
      <w:r w:rsidRPr="00B363B4">
        <w:rPr>
          <w:bCs/>
        </w:rPr>
        <w:t>IMT</w:t>
      </w:r>
      <w:r>
        <w:rPr>
          <w:bCs/>
        </w:rPr>
        <w:t xml:space="preserve"> exploitées</w:t>
      </w:r>
      <w:r w:rsidRPr="00B363B4">
        <w:rPr>
          <w:bCs/>
        </w:rPr>
        <w:t xml:space="preserve"> dans les bandes adjacentes aux bandes susmentionnées ne </w:t>
      </w:r>
      <w:r>
        <w:rPr>
          <w:bCs/>
        </w:rPr>
        <w:t>nuis</w:t>
      </w:r>
      <w:r w:rsidRPr="00B363B4">
        <w:rPr>
          <w:bCs/>
        </w:rPr>
        <w:t>ent pas au</w:t>
      </w:r>
      <w:r>
        <w:rPr>
          <w:bCs/>
        </w:rPr>
        <w:t xml:space="preserve"> bon</w:t>
      </w:r>
      <w:r w:rsidRPr="00B363B4">
        <w:rPr>
          <w:bCs/>
        </w:rPr>
        <w:t xml:space="preserve"> fonctionnement des s</w:t>
      </w:r>
      <w:r>
        <w:rPr>
          <w:bCs/>
        </w:rPr>
        <w:t>ystèm</w:t>
      </w:r>
      <w:r w:rsidRPr="00B363B4">
        <w:rPr>
          <w:bCs/>
        </w:rPr>
        <w:t>es maritimes existants.</w:t>
      </w:r>
    </w:p>
    <w:p w:rsidR="008070B7" w:rsidRPr="00B363B4" w:rsidRDefault="008070B7" w:rsidP="008070B7">
      <w:pPr>
        <w:pStyle w:val="Headingb"/>
      </w:pPr>
      <w:r w:rsidRPr="00B363B4">
        <w:t>Point 1.8 de l</w:t>
      </w:r>
      <w:r w:rsidR="00EB627B">
        <w:t>'</w:t>
      </w:r>
      <w:r w:rsidRPr="00B363B4">
        <w:t>ordre du jour</w:t>
      </w:r>
    </w:p>
    <w:p w:rsidR="008070B7" w:rsidRPr="008070B7" w:rsidRDefault="008070B7" w:rsidP="008070B7">
      <w:pPr>
        <w:rPr>
          <w:bCs/>
        </w:rPr>
      </w:pPr>
      <w:r w:rsidRPr="008070B7">
        <w:rPr>
          <w:bCs/>
        </w:rPr>
        <w:t>1.8</w:t>
      </w:r>
      <w:r w:rsidRPr="008070B7">
        <w:rPr>
          <w:bCs/>
        </w:rPr>
        <w:tab/>
        <w:t>examiner les dispositions relatives aux stations terriennes placées à bord de navires (ESV), sur la base des études menées conformément à la Résolution</w:t>
      </w:r>
      <w:r w:rsidRPr="008070B7">
        <w:rPr>
          <w:b/>
          <w:bCs/>
        </w:rPr>
        <w:t xml:space="preserve"> 909</w:t>
      </w:r>
      <w:r w:rsidRPr="008070B7">
        <w:rPr>
          <w:bCs/>
        </w:rPr>
        <w:t xml:space="preserve"> </w:t>
      </w:r>
      <w:r w:rsidRPr="008070B7">
        <w:rPr>
          <w:b/>
          <w:bCs/>
        </w:rPr>
        <w:t>(CMR-12)</w:t>
      </w:r>
      <w:r w:rsidRPr="008070B7">
        <w:rPr>
          <w:bCs/>
        </w:rPr>
        <w:t>;</w:t>
      </w:r>
    </w:p>
    <w:p w:rsidR="008070B7" w:rsidRPr="00B363B4" w:rsidRDefault="008070B7" w:rsidP="008070B7">
      <w:pPr>
        <w:pStyle w:val="Headingb"/>
      </w:pPr>
      <w:r>
        <w:tab/>
        <w:t>Rappel</w:t>
      </w:r>
    </w:p>
    <w:p w:rsidR="008070B7" w:rsidRPr="00B363B4" w:rsidRDefault="008070B7" w:rsidP="008070B7">
      <w:pPr>
        <w:keepNext/>
        <w:keepLines/>
        <w:ind w:left="1134" w:hanging="1134"/>
        <w:rPr>
          <w:bCs/>
        </w:rPr>
      </w:pPr>
      <w:r>
        <w:rPr>
          <w:bCs/>
        </w:rPr>
        <w:tab/>
        <w:t>A</w:t>
      </w:r>
      <w:r w:rsidRPr="00B363B4">
        <w:rPr>
          <w:bCs/>
        </w:rPr>
        <w:t xml:space="preserve"> l</w:t>
      </w:r>
      <w:r w:rsidR="00EB627B">
        <w:rPr>
          <w:bCs/>
        </w:rPr>
        <w:t>'</w:t>
      </w:r>
      <w:r w:rsidRPr="00B363B4">
        <w:rPr>
          <w:bCs/>
        </w:rPr>
        <w:t>heure actuelle, quelque 12 000 navires utilisent des microsta</w:t>
      </w:r>
      <w:r>
        <w:rPr>
          <w:bCs/>
        </w:rPr>
        <w:t>tions pour les communications large </w:t>
      </w:r>
      <w:r w:rsidRPr="00B363B4">
        <w:rPr>
          <w:bCs/>
        </w:rPr>
        <w:t>bande. Ce service n</w:t>
      </w:r>
      <w:r w:rsidR="00EB627B">
        <w:rPr>
          <w:bCs/>
        </w:rPr>
        <w:t>'</w:t>
      </w:r>
      <w:r w:rsidRPr="00B363B4">
        <w:rPr>
          <w:bCs/>
        </w:rPr>
        <w:t>est assuré qu</w:t>
      </w:r>
      <w:r w:rsidR="00EB627B">
        <w:rPr>
          <w:bCs/>
        </w:rPr>
        <w:t>'</w:t>
      </w:r>
      <w:r w:rsidRPr="00B363B4">
        <w:rPr>
          <w:bCs/>
        </w:rPr>
        <w:t>à une distance minimale</w:t>
      </w:r>
      <w:r w:rsidR="000F2971">
        <w:rPr>
          <w:bCs/>
        </w:rPr>
        <w:t xml:space="preserve"> à partir </w:t>
      </w:r>
      <w:r w:rsidRPr="00B363B4">
        <w:rPr>
          <w:bCs/>
        </w:rPr>
        <w:t>des côtes de 125 k</w:t>
      </w:r>
      <w:r>
        <w:rPr>
          <w:bCs/>
        </w:rPr>
        <w:t>m</w:t>
      </w:r>
      <w:r w:rsidRPr="00B363B4">
        <w:rPr>
          <w:bCs/>
        </w:rPr>
        <w:t xml:space="preserve"> pour la bande </w:t>
      </w:r>
      <w:r>
        <w:rPr>
          <w:bCs/>
        </w:rPr>
        <w:t>14</w:t>
      </w:r>
      <w:r>
        <w:rPr>
          <w:bCs/>
        </w:rPr>
        <w:noBreakHyphen/>
      </w:r>
      <w:r w:rsidRPr="00B363B4">
        <w:rPr>
          <w:bCs/>
        </w:rPr>
        <w:t>14,5 GHz et de</w:t>
      </w:r>
      <w:r>
        <w:rPr>
          <w:bCs/>
        </w:rPr>
        <w:t xml:space="preserve"> </w:t>
      </w:r>
      <w:r w:rsidR="000F2971">
        <w:rPr>
          <w:bCs/>
        </w:rPr>
        <w:t>300 km pour la bande </w:t>
      </w:r>
      <w:r w:rsidRPr="00B363B4">
        <w:rPr>
          <w:bCs/>
        </w:rPr>
        <w:t xml:space="preserve">5 925-6 425 MHz, conformément à la </w:t>
      </w:r>
      <w:r w:rsidRPr="00A135DB">
        <w:rPr>
          <w:bCs/>
          <w:iCs/>
        </w:rPr>
        <w:t>Résolution</w:t>
      </w:r>
      <w:r>
        <w:rPr>
          <w:bCs/>
        </w:rPr>
        <w:t> </w:t>
      </w:r>
      <w:r w:rsidRPr="00E17C02">
        <w:rPr>
          <w:b/>
        </w:rPr>
        <w:t>902 (CMR</w:t>
      </w:r>
      <w:r w:rsidRPr="00E17C02">
        <w:rPr>
          <w:b/>
        </w:rPr>
        <w:noBreakHyphen/>
        <w:t>03)</w:t>
      </w:r>
      <w:r>
        <w:rPr>
          <w:bCs/>
        </w:rPr>
        <w:t>. C</w:t>
      </w:r>
      <w:r w:rsidRPr="00B363B4">
        <w:rPr>
          <w:bCs/>
        </w:rPr>
        <w:t>e point de l</w:t>
      </w:r>
      <w:r w:rsidR="00EB627B">
        <w:rPr>
          <w:bCs/>
        </w:rPr>
        <w:t>'</w:t>
      </w:r>
      <w:r w:rsidRPr="00B363B4">
        <w:rPr>
          <w:bCs/>
        </w:rPr>
        <w:t>ordre du jour a pour objet d</w:t>
      </w:r>
      <w:r w:rsidR="00EB627B">
        <w:rPr>
          <w:bCs/>
        </w:rPr>
        <w:t>'</w:t>
      </w:r>
      <w:r w:rsidRPr="00B363B4">
        <w:rPr>
          <w:bCs/>
        </w:rPr>
        <w:t>examiner les dispositions relatives aux</w:t>
      </w:r>
      <w:r>
        <w:rPr>
          <w:bCs/>
        </w:rPr>
        <w:t xml:space="preserve"> stations</w:t>
      </w:r>
      <w:r w:rsidRPr="00B363B4">
        <w:rPr>
          <w:bCs/>
        </w:rPr>
        <w:t xml:space="preserve"> ESV. </w:t>
      </w:r>
      <w:r>
        <w:rPr>
          <w:bCs/>
        </w:rPr>
        <w:t xml:space="preserve">Les </w:t>
      </w:r>
      <w:r w:rsidRPr="00B363B4">
        <w:rPr>
          <w:bCs/>
        </w:rPr>
        <w:t xml:space="preserve">navires </w:t>
      </w:r>
      <w:r>
        <w:rPr>
          <w:bCs/>
        </w:rPr>
        <w:t>ont besoin</w:t>
      </w:r>
      <w:r w:rsidRPr="00B363B4">
        <w:rPr>
          <w:bCs/>
        </w:rPr>
        <w:t xml:space="preserve"> </w:t>
      </w:r>
      <w:r>
        <w:rPr>
          <w:bCs/>
        </w:rPr>
        <w:t xml:space="preserve">des </w:t>
      </w:r>
      <w:r w:rsidRPr="00B363B4">
        <w:rPr>
          <w:bCs/>
        </w:rPr>
        <w:t>communications large bande</w:t>
      </w:r>
      <w:r>
        <w:rPr>
          <w:bCs/>
        </w:rPr>
        <w:t xml:space="preserve"> </w:t>
      </w:r>
      <w:r w:rsidRPr="00B363B4">
        <w:rPr>
          <w:bCs/>
        </w:rPr>
        <w:t>à l</w:t>
      </w:r>
      <w:r w:rsidR="00EB627B">
        <w:rPr>
          <w:bCs/>
        </w:rPr>
        <w:t>'</w:t>
      </w:r>
      <w:r w:rsidRPr="00B363B4">
        <w:rPr>
          <w:bCs/>
        </w:rPr>
        <w:t>entrée et à la sortie des ports</w:t>
      </w:r>
      <w:r>
        <w:rPr>
          <w:bCs/>
        </w:rPr>
        <w:t>, p</w:t>
      </w:r>
      <w:r w:rsidRPr="00B363B4">
        <w:rPr>
          <w:bCs/>
        </w:rPr>
        <w:t>ar exemple</w:t>
      </w:r>
      <w:r>
        <w:rPr>
          <w:bCs/>
        </w:rPr>
        <w:t>:</w:t>
      </w:r>
    </w:p>
    <w:p w:rsidR="008070B7" w:rsidRPr="00B363B4" w:rsidRDefault="008070B7" w:rsidP="008070B7">
      <w:pPr>
        <w:pStyle w:val="enumlev1"/>
      </w:pPr>
      <w:r>
        <w:tab/>
      </w:r>
      <w:r w:rsidRPr="00B363B4">
        <w:t>1</w:t>
      </w:r>
      <w:r>
        <w:t>)</w:t>
      </w:r>
      <w:r w:rsidRPr="00B363B4">
        <w:tab/>
        <w:t>pour la synchronisation des bases de données;</w:t>
      </w:r>
    </w:p>
    <w:p w:rsidR="008070B7" w:rsidRPr="00B363B4" w:rsidRDefault="008070B7" w:rsidP="008070B7">
      <w:pPr>
        <w:pStyle w:val="enumlev1"/>
        <w:ind w:left="1871" w:hanging="1871"/>
      </w:pPr>
      <w:r>
        <w:tab/>
      </w:r>
      <w:r w:rsidRPr="00B363B4">
        <w:t>2</w:t>
      </w:r>
      <w:r>
        <w:t>)</w:t>
      </w:r>
      <w:r w:rsidRPr="00B363B4">
        <w:tab/>
        <w:t xml:space="preserve">pour la transmission </w:t>
      </w:r>
      <w:r>
        <w:t xml:space="preserve">par voie </w:t>
      </w:r>
      <w:r w:rsidRPr="00B363B4">
        <w:t>électronique des documents à fournir à l</w:t>
      </w:r>
      <w:r w:rsidR="00EB627B">
        <w:t>'</w:t>
      </w:r>
      <w:r w:rsidRPr="00B363B4">
        <w:t>entrée et à la sortie des ports, tels qu</w:t>
      </w:r>
      <w:r w:rsidR="00EB627B">
        <w:t>'</w:t>
      </w:r>
      <w:r w:rsidRPr="00B363B4">
        <w:t xml:space="preserve">ils ont été harmonisés, notamment, dans la Convention </w:t>
      </w:r>
      <w:r>
        <w:t>de l</w:t>
      </w:r>
      <w:r w:rsidR="00EB627B">
        <w:t>'</w:t>
      </w:r>
      <w:r>
        <w:t xml:space="preserve">OMI </w:t>
      </w:r>
      <w:r w:rsidRPr="00B363B4">
        <w:t>visant à faciliter le trafic maritime international (Convention FAL) et conformément au principe du guichet unique maritime pour renforcer l</w:t>
      </w:r>
      <w:r w:rsidR="00EB627B">
        <w:t>'</w:t>
      </w:r>
      <w:r w:rsidRPr="00B363B4">
        <w:t xml:space="preserve">efficacité des opérations portuaires; et </w:t>
      </w:r>
    </w:p>
    <w:p w:rsidR="008070B7" w:rsidRPr="00B363B4" w:rsidRDefault="008070B7" w:rsidP="008070B7">
      <w:pPr>
        <w:pStyle w:val="enumlev1"/>
      </w:pPr>
      <w:r>
        <w:tab/>
      </w:r>
      <w:r w:rsidRPr="00B363B4">
        <w:t>3</w:t>
      </w:r>
      <w:r>
        <w:t>)</w:t>
      </w:r>
      <w:r w:rsidRPr="00B363B4">
        <w:tab/>
        <w:t>pour les communications entre les membres de l</w:t>
      </w:r>
      <w:r w:rsidR="00EB627B">
        <w:t>'</w:t>
      </w:r>
      <w:r w:rsidRPr="00B363B4">
        <w:t>équipage et leur famille.</w:t>
      </w:r>
    </w:p>
    <w:p w:rsidR="008070B7" w:rsidRPr="00B363B4" w:rsidRDefault="008070B7" w:rsidP="008070B7">
      <w:pPr>
        <w:pStyle w:val="Headingb"/>
      </w:pPr>
      <w:r>
        <w:tab/>
        <w:t>Position</w:t>
      </w:r>
      <w:r w:rsidRPr="00B363B4">
        <w:t xml:space="preserve"> de l</w:t>
      </w:r>
      <w:r w:rsidR="00EB627B">
        <w:t>'</w:t>
      </w:r>
      <w:r w:rsidRPr="00B363B4">
        <w:t>OMI</w:t>
      </w:r>
    </w:p>
    <w:p w:rsidR="008070B7" w:rsidRPr="00B363B4" w:rsidRDefault="008070B7" w:rsidP="008070B7">
      <w:pPr>
        <w:ind w:left="1134" w:hanging="1134"/>
        <w:rPr>
          <w:bCs/>
        </w:rPr>
      </w:pPr>
      <w:r>
        <w:rPr>
          <w:rFonts w:cs="Arial"/>
        </w:rPr>
        <w:tab/>
      </w:r>
      <w:r w:rsidRPr="00B363B4">
        <w:rPr>
          <w:rFonts w:cs="Arial"/>
        </w:rPr>
        <w:t>L</w:t>
      </w:r>
      <w:r w:rsidR="00EB627B">
        <w:rPr>
          <w:rFonts w:cs="Arial"/>
        </w:rPr>
        <w:t>'</w:t>
      </w:r>
      <w:r w:rsidRPr="00B363B4">
        <w:rPr>
          <w:rFonts w:cs="Arial"/>
        </w:rPr>
        <w:t xml:space="preserve">OMI demande que les modifications qui seront apportées à la </w:t>
      </w:r>
      <w:r w:rsidRPr="00A135DB">
        <w:rPr>
          <w:bCs/>
          <w:iCs/>
        </w:rPr>
        <w:t>Résolution</w:t>
      </w:r>
      <w:r w:rsidRPr="00A135DB">
        <w:rPr>
          <w:rFonts w:cs="Arial"/>
          <w:iCs/>
        </w:rPr>
        <w:t xml:space="preserve"> </w:t>
      </w:r>
      <w:r w:rsidRPr="00E17C02">
        <w:rPr>
          <w:rFonts w:cs="Arial"/>
          <w:b/>
          <w:bCs/>
        </w:rPr>
        <w:t>902 (CMR</w:t>
      </w:r>
      <w:r w:rsidRPr="00E17C02">
        <w:rPr>
          <w:rFonts w:cs="Arial"/>
          <w:b/>
          <w:bCs/>
        </w:rPr>
        <w:noBreakHyphen/>
        <w:t>03)</w:t>
      </w:r>
      <w:r w:rsidRPr="00B363B4">
        <w:rPr>
          <w:rFonts w:cs="Arial"/>
        </w:rPr>
        <w:t xml:space="preserve"> permettent aux navigateurs d</w:t>
      </w:r>
      <w:r w:rsidR="00EB627B">
        <w:rPr>
          <w:rFonts w:cs="Arial"/>
        </w:rPr>
        <w:t>'</w:t>
      </w:r>
      <w:r>
        <w:rPr>
          <w:rFonts w:cs="Arial"/>
        </w:rPr>
        <w:t xml:space="preserve">utiliser les stations </w:t>
      </w:r>
      <w:r w:rsidRPr="00B363B4">
        <w:rPr>
          <w:rFonts w:cs="Arial"/>
        </w:rPr>
        <w:t xml:space="preserve">ESV de manière simple </w:t>
      </w:r>
      <w:r>
        <w:rPr>
          <w:rFonts w:cs="Arial"/>
        </w:rPr>
        <w:t xml:space="preserve">et plus près </w:t>
      </w:r>
      <w:r w:rsidRPr="00B363B4">
        <w:rPr>
          <w:rFonts w:cs="Arial"/>
        </w:rPr>
        <w:t>des côtes,</w:t>
      </w:r>
      <w:r>
        <w:rPr>
          <w:rFonts w:cs="Arial"/>
        </w:rPr>
        <w:t xml:space="preserve"> conformément aux </w:t>
      </w:r>
      <w:r>
        <w:rPr>
          <w:bCs/>
        </w:rPr>
        <w:t xml:space="preserve">conclusions des </w:t>
      </w:r>
      <w:r w:rsidRPr="00B363B4">
        <w:rPr>
          <w:bCs/>
        </w:rPr>
        <w:t>études visant à préserver l</w:t>
      </w:r>
      <w:r>
        <w:rPr>
          <w:bCs/>
        </w:rPr>
        <w:t>a</w:t>
      </w:r>
      <w:r w:rsidRPr="00B363B4">
        <w:rPr>
          <w:bCs/>
        </w:rPr>
        <w:t xml:space="preserve"> compatibilité avec d</w:t>
      </w:r>
      <w:r w:rsidR="00EB627B">
        <w:rPr>
          <w:bCs/>
        </w:rPr>
        <w:t>'</w:t>
      </w:r>
      <w:r w:rsidRPr="00B363B4">
        <w:rPr>
          <w:bCs/>
        </w:rPr>
        <w:t>autres services susceptibles d</w:t>
      </w:r>
      <w:r w:rsidR="00EB627B">
        <w:rPr>
          <w:bCs/>
        </w:rPr>
        <w:t>'</w:t>
      </w:r>
      <w:r w:rsidRPr="00B363B4">
        <w:rPr>
          <w:bCs/>
        </w:rPr>
        <w:t xml:space="preserve">être affectés. </w:t>
      </w:r>
    </w:p>
    <w:p w:rsidR="008070B7" w:rsidRPr="008070B7" w:rsidRDefault="008070B7" w:rsidP="008070B7">
      <w:pPr>
        <w:pStyle w:val="Headingb"/>
      </w:pPr>
      <w:r w:rsidRPr="008070B7">
        <w:t>Point 1.12 de l</w:t>
      </w:r>
      <w:r w:rsidR="00EB627B">
        <w:t>'</w:t>
      </w:r>
      <w:r w:rsidRPr="008070B7">
        <w:t>ordre du jour</w:t>
      </w:r>
    </w:p>
    <w:p w:rsidR="008070B7" w:rsidRPr="00B113A2" w:rsidRDefault="008070B7" w:rsidP="008070B7">
      <w:pPr>
        <w:rPr>
          <w:bCs/>
        </w:rPr>
      </w:pPr>
      <w:r w:rsidRPr="00B113A2">
        <w:rPr>
          <w:bCs/>
        </w:rPr>
        <w:t>1.12</w:t>
      </w:r>
      <w:r w:rsidRPr="00B113A2">
        <w:rPr>
          <w:bCs/>
        </w:rPr>
        <w:tab/>
        <w:t>envisager une extension de l</w:t>
      </w:r>
      <w:r w:rsidR="00EB627B">
        <w:rPr>
          <w:bCs/>
        </w:rPr>
        <w:t>'</w:t>
      </w:r>
      <w:r w:rsidRPr="00B113A2">
        <w:rPr>
          <w:bCs/>
        </w:rPr>
        <w:t>attribution à l</w:t>
      </w:r>
      <w:r w:rsidR="00EB627B">
        <w:rPr>
          <w:bCs/>
        </w:rPr>
        <w:t>'</w:t>
      </w:r>
      <w:r w:rsidRPr="00B113A2">
        <w:rPr>
          <w:bCs/>
        </w:rPr>
        <w:t>échelle mondiale dont bénéficie actuellement le service d</w:t>
      </w:r>
      <w:r w:rsidR="00EB627B">
        <w:rPr>
          <w:bCs/>
        </w:rPr>
        <w:t>'</w:t>
      </w:r>
      <w:r w:rsidRPr="00B113A2">
        <w:rPr>
          <w:bCs/>
        </w:rPr>
        <w:t>exploration de la Terre par satellite (active) dans la bande de fréquences 9 300-9 900 MHz, de 600 MHz au plus, dans les bandes de fréquences 8 700</w:t>
      </w:r>
      <w:r w:rsidRPr="00B113A2">
        <w:rPr>
          <w:bCs/>
        </w:rPr>
        <w:noBreakHyphen/>
        <w:t xml:space="preserve">9 300 MHz et/ou 9 900-10 500 MHz, conformément à la Résolution </w:t>
      </w:r>
      <w:r w:rsidRPr="00B113A2">
        <w:rPr>
          <w:b/>
          <w:bCs/>
        </w:rPr>
        <w:t>651 (CMR</w:t>
      </w:r>
      <w:r w:rsidRPr="00B113A2">
        <w:rPr>
          <w:b/>
          <w:bCs/>
        </w:rPr>
        <w:noBreakHyphen/>
        <w:t>12)</w:t>
      </w:r>
      <w:r w:rsidRPr="00B113A2">
        <w:rPr>
          <w:bCs/>
        </w:rPr>
        <w:t>;</w:t>
      </w:r>
    </w:p>
    <w:p w:rsidR="008070B7" w:rsidRPr="00B363B4" w:rsidRDefault="00B113A2" w:rsidP="008070B7">
      <w:pPr>
        <w:pStyle w:val="Headingb"/>
      </w:pPr>
      <w:r>
        <w:tab/>
      </w:r>
      <w:r w:rsidR="008070B7">
        <w:t>Rappel</w:t>
      </w:r>
    </w:p>
    <w:p w:rsidR="008070B7" w:rsidRPr="00B363B4" w:rsidRDefault="00B113A2" w:rsidP="00B113A2">
      <w:pPr>
        <w:ind w:left="1134" w:hanging="1134"/>
        <w:rPr>
          <w:bCs/>
        </w:rPr>
      </w:pPr>
      <w:r>
        <w:rPr>
          <w:bCs/>
        </w:rPr>
        <w:tab/>
      </w:r>
      <w:r w:rsidR="008070B7" w:rsidRPr="00B363B4">
        <w:rPr>
          <w:bCs/>
        </w:rPr>
        <w:t>Plus d</w:t>
      </w:r>
      <w:r w:rsidR="00EB627B">
        <w:rPr>
          <w:bCs/>
        </w:rPr>
        <w:t>'</w:t>
      </w:r>
      <w:r w:rsidR="008070B7" w:rsidRPr="00B363B4">
        <w:rPr>
          <w:bCs/>
        </w:rPr>
        <w:t>un million de radars maritimes fonctionn</w:t>
      </w:r>
      <w:r w:rsidR="008070B7">
        <w:rPr>
          <w:bCs/>
        </w:rPr>
        <w:t>ent dans la bande </w:t>
      </w:r>
      <w:r w:rsidR="008070B7" w:rsidRPr="00B363B4">
        <w:rPr>
          <w:bCs/>
        </w:rPr>
        <w:t>9 200</w:t>
      </w:r>
      <w:r w:rsidR="008070B7" w:rsidRPr="00B363B4">
        <w:rPr>
          <w:bCs/>
        </w:rPr>
        <w:noBreakHyphen/>
        <w:t>9 500 MHz. Les rép</w:t>
      </w:r>
      <w:r w:rsidR="008070B7">
        <w:rPr>
          <w:bCs/>
        </w:rPr>
        <w:t>ét</w:t>
      </w:r>
      <w:r w:rsidR="008070B7" w:rsidRPr="00B363B4">
        <w:rPr>
          <w:bCs/>
        </w:rPr>
        <w:t xml:space="preserve">eurs radar de recherche et de sauvetage (SART de type radar) du SMDSM fonctionnent, eux aussi, dans cette bande de fréquences, qui est visée </w:t>
      </w:r>
      <w:r w:rsidR="008070B7">
        <w:rPr>
          <w:bCs/>
        </w:rPr>
        <w:t xml:space="preserve">au numéro </w:t>
      </w:r>
      <w:r w:rsidR="008070B7" w:rsidRPr="00E17C02">
        <w:rPr>
          <w:b/>
        </w:rPr>
        <w:t>31.2</w:t>
      </w:r>
      <w:r w:rsidR="008070B7" w:rsidRPr="00B363B4">
        <w:rPr>
          <w:bCs/>
        </w:rPr>
        <w:t xml:space="preserve"> </w:t>
      </w:r>
      <w:r w:rsidR="008070B7">
        <w:rPr>
          <w:bCs/>
        </w:rPr>
        <w:t>(A</w:t>
      </w:r>
      <w:r w:rsidR="008070B7" w:rsidRPr="00B363B4">
        <w:rPr>
          <w:bCs/>
        </w:rPr>
        <w:t xml:space="preserve">rticle </w:t>
      </w:r>
      <w:r w:rsidR="008070B7" w:rsidRPr="00E17C02">
        <w:rPr>
          <w:b/>
        </w:rPr>
        <w:t>31</w:t>
      </w:r>
      <w:r w:rsidR="008070B7">
        <w:rPr>
          <w:bCs/>
        </w:rPr>
        <w:t>)</w:t>
      </w:r>
      <w:r w:rsidR="008070B7" w:rsidRPr="00B363B4">
        <w:rPr>
          <w:bCs/>
        </w:rPr>
        <w:t xml:space="preserve"> et</w:t>
      </w:r>
      <w:r w:rsidR="008070B7">
        <w:rPr>
          <w:bCs/>
        </w:rPr>
        <w:t xml:space="preserve"> dans</w:t>
      </w:r>
      <w:r w:rsidR="008070B7" w:rsidRPr="00B363B4">
        <w:rPr>
          <w:bCs/>
        </w:rPr>
        <w:t xml:space="preserve"> l</w:t>
      </w:r>
      <w:r w:rsidR="00EB627B">
        <w:rPr>
          <w:bCs/>
        </w:rPr>
        <w:t>'</w:t>
      </w:r>
      <w:r w:rsidR="008070B7" w:rsidRPr="00B363B4">
        <w:rPr>
          <w:bCs/>
        </w:rPr>
        <w:t>Appendice </w:t>
      </w:r>
      <w:r w:rsidR="008070B7" w:rsidRPr="00E17C02">
        <w:rPr>
          <w:b/>
        </w:rPr>
        <w:t>15</w:t>
      </w:r>
      <w:r w:rsidR="008070B7" w:rsidRPr="003F3971">
        <w:rPr>
          <w:bCs/>
        </w:rPr>
        <w:t xml:space="preserve"> </w:t>
      </w:r>
      <w:r w:rsidR="008070B7" w:rsidRPr="00B363B4">
        <w:rPr>
          <w:bCs/>
        </w:rPr>
        <w:t>du Règlement des radiocommunications</w:t>
      </w:r>
      <w:r w:rsidR="008070B7">
        <w:rPr>
          <w:bCs/>
        </w:rPr>
        <w:t xml:space="preserve">, qui énumère les </w:t>
      </w:r>
      <w:r w:rsidR="008070B7" w:rsidRPr="00B363B4">
        <w:rPr>
          <w:bCs/>
        </w:rPr>
        <w:t>fréquences sur lesquelles doivent être acheminées les communications de détresse et de sécurité du SMDSM</w:t>
      </w:r>
      <w:r w:rsidR="008070B7">
        <w:rPr>
          <w:bCs/>
        </w:rPr>
        <w:t xml:space="preserve"> et qui bénéficient d</w:t>
      </w:r>
      <w:r w:rsidR="00EB627B">
        <w:rPr>
          <w:bCs/>
        </w:rPr>
        <w:t>'</w:t>
      </w:r>
      <w:r w:rsidR="008070B7">
        <w:rPr>
          <w:bCs/>
        </w:rPr>
        <w:t>une protection contre les brouillages préjudiciables</w:t>
      </w:r>
      <w:r w:rsidR="008070B7" w:rsidRPr="00B363B4">
        <w:rPr>
          <w:bCs/>
        </w:rPr>
        <w:t>. Le service de radionavigation maritime dans la bande 9 300</w:t>
      </w:r>
      <w:r w:rsidR="008070B7" w:rsidRPr="00B363B4">
        <w:rPr>
          <w:bCs/>
        </w:rPr>
        <w:noBreakHyphen/>
        <w:t>9 800 MHz est protégé en vertu d</w:t>
      </w:r>
      <w:r w:rsidR="008070B7">
        <w:rPr>
          <w:bCs/>
        </w:rPr>
        <w:t>u renvoi </w:t>
      </w:r>
      <w:r w:rsidR="008070B7" w:rsidRPr="00E17C02">
        <w:rPr>
          <w:b/>
        </w:rPr>
        <w:t>5.476A</w:t>
      </w:r>
      <w:r w:rsidR="008070B7" w:rsidRPr="00B363B4">
        <w:rPr>
          <w:bCs/>
        </w:rPr>
        <w:t xml:space="preserve"> du R</w:t>
      </w:r>
      <w:r w:rsidR="008070B7">
        <w:rPr>
          <w:bCs/>
        </w:rPr>
        <w:t>R</w:t>
      </w:r>
      <w:r w:rsidR="008070B7" w:rsidRPr="00B363B4">
        <w:rPr>
          <w:bCs/>
        </w:rPr>
        <w:t>.</w:t>
      </w:r>
    </w:p>
    <w:p w:rsidR="008070B7" w:rsidRPr="00B363B4" w:rsidRDefault="00B113A2" w:rsidP="00B113A2">
      <w:pPr>
        <w:ind w:left="1134" w:hanging="1134"/>
        <w:rPr>
          <w:bCs/>
        </w:rPr>
      </w:pPr>
      <w:r>
        <w:rPr>
          <w:bCs/>
        </w:rPr>
        <w:lastRenderedPageBreak/>
        <w:tab/>
      </w:r>
      <w:r w:rsidR="008070B7" w:rsidRPr="00B363B4">
        <w:rPr>
          <w:bCs/>
        </w:rPr>
        <w:t xml:space="preserve">Les études </w:t>
      </w:r>
      <w:r w:rsidR="008070B7">
        <w:rPr>
          <w:bCs/>
        </w:rPr>
        <w:t>menées précédemment par l</w:t>
      </w:r>
      <w:r w:rsidR="00EB627B">
        <w:rPr>
          <w:bCs/>
        </w:rPr>
        <w:t>'</w:t>
      </w:r>
      <w:r w:rsidR="008070B7">
        <w:rPr>
          <w:bCs/>
        </w:rPr>
        <w:t>UIT</w:t>
      </w:r>
      <w:r w:rsidR="008070B7">
        <w:rPr>
          <w:bCs/>
        </w:rPr>
        <w:noBreakHyphen/>
        <w:t>R concernant le partage dans la ban</w:t>
      </w:r>
      <w:r w:rsidR="000F2971">
        <w:rPr>
          <w:bCs/>
        </w:rPr>
        <w:t>de </w:t>
      </w:r>
      <w:r w:rsidR="008070B7">
        <w:rPr>
          <w:bCs/>
        </w:rPr>
        <w:t>9 200</w:t>
      </w:r>
      <w:r w:rsidR="008070B7">
        <w:rPr>
          <w:bCs/>
        </w:rPr>
        <w:noBreakHyphen/>
      </w:r>
      <w:r w:rsidR="008070B7" w:rsidRPr="00B363B4">
        <w:rPr>
          <w:bCs/>
        </w:rPr>
        <w:t>9 500 MHz ne sont plus valables</w:t>
      </w:r>
      <w:r w:rsidR="008070B7">
        <w:rPr>
          <w:bCs/>
        </w:rPr>
        <w:t>, étant donné qu</w:t>
      </w:r>
      <w:r w:rsidR="00EB627B">
        <w:rPr>
          <w:bCs/>
        </w:rPr>
        <w:t>'</w:t>
      </w:r>
      <w:r w:rsidR="008070B7">
        <w:rPr>
          <w:bCs/>
        </w:rPr>
        <w:t xml:space="preserve">elles ne tiennent pas compte des équipements </w:t>
      </w:r>
      <w:r w:rsidR="008070B7" w:rsidRPr="00B363B4">
        <w:rPr>
          <w:bCs/>
        </w:rPr>
        <w:t>de nouvelle génération.</w:t>
      </w:r>
    </w:p>
    <w:p w:rsidR="008070B7" w:rsidRPr="00B363B4" w:rsidRDefault="00B113A2" w:rsidP="008070B7">
      <w:pPr>
        <w:pStyle w:val="Headingb"/>
      </w:pPr>
      <w:r>
        <w:tab/>
      </w:r>
      <w:r w:rsidR="008070B7">
        <w:t>P</w:t>
      </w:r>
      <w:r w:rsidR="008070B7" w:rsidRPr="00B363B4">
        <w:t>osition de l</w:t>
      </w:r>
      <w:r w:rsidR="00EB627B">
        <w:t>'</w:t>
      </w:r>
      <w:r w:rsidR="008070B7" w:rsidRPr="00B363B4">
        <w:t>OMI</w:t>
      </w:r>
    </w:p>
    <w:p w:rsidR="008070B7" w:rsidRPr="00B363B4" w:rsidRDefault="00B113A2" w:rsidP="00B113A2">
      <w:pPr>
        <w:ind w:left="1134" w:hanging="1134"/>
        <w:rPr>
          <w:b/>
          <w:bCs/>
          <w:i/>
        </w:rPr>
      </w:pPr>
      <w:r>
        <w:rPr>
          <w:bCs/>
        </w:rPr>
        <w:tab/>
      </w:r>
      <w:r w:rsidR="008070B7" w:rsidRPr="00B363B4">
        <w:rPr>
          <w:bCs/>
        </w:rPr>
        <w:t>La protection du service de radionavigation maritim</w:t>
      </w:r>
      <w:r>
        <w:rPr>
          <w:bCs/>
        </w:rPr>
        <w:t>e, qui fonctionne dans la bande </w:t>
      </w:r>
      <w:r w:rsidR="008070B7" w:rsidRPr="00B363B4">
        <w:rPr>
          <w:bCs/>
        </w:rPr>
        <w:t xml:space="preserve">9 200-9 500 MHz, est essentielle à la </w:t>
      </w:r>
      <w:r w:rsidR="008070B7">
        <w:rPr>
          <w:bCs/>
        </w:rPr>
        <w:t>«</w:t>
      </w:r>
      <w:r w:rsidR="008070B7" w:rsidRPr="00B363B4">
        <w:rPr>
          <w:bCs/>
        </w:rPr>
        <w:t>sécurité de la navigation</w:t>
      </w:r>
      <w:r w:rsidR="008070B7">
        <w:rPr>
          <w:bCs/>
        </w:rPr>
        <w:t>»</w:t>
      </w:r>
      <w:r w:rsidR="008070B7" w:rsidRPr="00B363B4">
        <w:rPr>
          <w:bCs/>
        </w:rPr>
        <w:t xml:space="preserve"> et à la </w:t>
      </w:r>
      <w:r w:rsidR="008070B7">
        <w:rPr>
          <w:bCs/>
        </w:rPr>
        <w:t>«</w:t>
      </w:r>
      <w:r w:rsidR="008070B7" w:rsidRPr="00B363B4">
        <w:rPr>
          <w:bCs/>
        </w:rPr>
        <w:t>sauvegarde de la vie humaine</w:t>
      </w:r>
      <w:r w:rsidR="008070B7">
        <w:rPr>
          <w:bCs/>
        </w:rPr>
        <w:t>»</w:t>
      </w:r>
      <w:r w:rsidR="008070B7" w:rsidRPr="00B363B4">
        <w:rPr>
          <w:bCs/>
        </w:rPr>
        <w:t xml:space="preserve"> et </w:t>
      </w:r>
      <w:r w:rsidR="008070B7">
        <w:rPr>
          <w:bCs/>
        </w:rPr>
        <w:t xml:space="preserve">est </w:t>
      </w:r>
      <w:r w:rsidR="008070B7" w:rsidRPr="00B363B4">
        <w:rPr>
          <w:bCs/>
        </w:rPr>
        <w:t xml:space="preserve">conforme aux numéros </w:t>
      </w:r>
      <w:r w:rsidR="008070B7" w:rsidRPr="00E17C02">
        <w:rPr>
          <w:b/>
        </w:rPr>
        <w:t>1.59</w:t>
      </w:r>
      <w:r w:rsidR="008070B7" w:rsidRPr="000B4108">
        <w:rPr>
          <w:bCs/>
        </w:rPr>
        <w:t xml:space="preserve"> et </w:t>
      </w:r>
      <w:r w:rsidR="008070B7" w:rsidRPr="00E17C02">
        <w:rPr>
          <w:b/>
        </w:rPr>
        <w:t>4.10</w:t>
      </w:r>
      <w:r w:rsidR="008070B7" w:rsidRPr="00B363B4">
        <w:rPr>
          <w:b/>
          <w:bCs/>
        </w:rPr>
        <w:t xml:space="preserve"> </w:t>
      </w:r>
      <w:r w:rsidR="008070B7" w:rsidRPr="00B363B4">
        <w:rPr>
          <w:bCs/>
        </w:rPr>
        <w:t>du Règlement des radiocommunications. L</w:t>
      </w:r>
      <w:r w:rsidR="00EB627B">
        <w:rPr>
          <w:bCs/>
        </w:rPr>
        <w:t>'</w:t>
      </w:r>
      <w:r w:rsidR="008070B7" w:rsidRPr="00B363B4">
        <w:rPr>
          <w:bCs/>
        </w:rPr>
        <w:t xml:space="preserve">OMI demande </w:t>
      </w:r>
      <w:r w:rsidR="008070B7">
        <w:rPr>
          <w:bCs/>
        </w:rPr>
        <w:t xml:space="preserve">que si </w:t>
      </w:r>
      <w:r w:rsidR="008070B7" w:rsidRPr="00B363B4">
        <w:rPr>
          <w:bCs/>
        </w:rPr>
        <w:t>la bande 9 200-9 500 MHz</w:t>
      </w:r>
      <w:r>
        <w:rPr>
          <w:bCs/>
        </w:rPr>
        <w:t xml:space="preserve"> </w:t>
      </w:r>
      <w:r w:rsidR="008070B7">
        <w:rPr>
          <w:bCs/>
        </w:rPr>
        <w:t>est envisagée,</w:t>
      </w:r>
      <w:r>
        <w:rPr>
          <w:bCs/>
        </w:rPr>
        <w:t xml:space="preserve"> </w:t>
      </w:r>
      <w:r w:rsidR="008070B7" w:rsidRPr="00B363B4">
        <w:rPr>
          <w:bCs/>
        </w:rPr>
        <w:t>au titre du point 1.12 de l</w:t>
      </w:r>
      <w:r w:rsidR="00EB627B">
        <w:rPr>
          <w:bCs/>
        </w:rPr>
        <w:t>'</w:t>
      </w:r>
      <w:r w:rsidR="008070B7" w:rsidRPr="00B363B4">
        <w:rPr>
          <w:bCs/>
        </w:rPr>
        <w:t>ordre du jour,</w:t>
      </w:r>
      <w:r>
        <w:rPr>
          <w:bCs/>
        </w:rPr>
        <w:t xml:space="preserve"> </w:t>
      </w:r>
      <w:r w:rsidR="008070B7">
        <w:rPr>
          <w:bCs/>
        </w:rPr>
        <w:t>pour le service d</w:t>
      </w:r>
      <w:r w:rsidR="00EB627B">
        <w:rPr>
          <w:bCs/>
        </w:rPr>
        <w:t>'</w:t>
      </w:r>
      <w:r w:rsidR="008070B7">
        <w:rPr>
          <w:bCs/>
        </w:rPr>
        <w:t>exploration de la Terre par satellite (active)</w:t>
      </w:r>
      <w:r w:rsidR="008070B7" w:rsidRPr="00B363B4">
        <w:rPr>
          <w:bCs/>
        </w:rPr>
        <w:t xml:space="preserve">, </w:t>
      </w:r>
      <w:r w:rsidR="008070B7">
        <w:rPr>
          <w:bCs/>
        </w:rPr>
        <w:t>il soit dûment tenu compte de la nécessité de veiller à ce qu</w:t>
      </w:r>
      <w:r w:rsidR="00EB627B">
        <w:rPr>
          <w:bCs/>
        </w:rPr>
        <w:t>'</w:t>
      </w:r>
      <w:r w:rsidR="008070B7">
        <w:rPr>
          <w:bCs/>
        </w:rPr>
        <w:t>il n</w:t>
      </w:r>
      <w:r w:rsidR="00EB627B">
        <w:rPr>
          <w:bCs/>
        </w:rPr>
        <w:t>'</w:t>
      </w:r>
      <w:r w:rsidR="008070B7">
        <w:rPr>
          <w:bCs/>
        </w:rPr>
        <w:t>y ait aucune</w:t>
      </w:r>
      <w:r>
        <w:rPr>
          <w:bCs/>
        </w:rPr>
        <w:t xml:space="preserve"> </w:t>
      </w:r>
      <w:r w:rsidR="008070B7">
        <w:rPr>
          <w:bCs/>
        </w:rPr>
        <w:t>conséquence</w:t>
      </w:r>
      <w:r>
        <w:rPr>
          <w:bCs/>
        </w:rPr>
        <w:t xml:space="preserve"> </w:t>
      </w:r>
      <w:r w:rsidR="008070B7">
        <w:rPr>
          <w:bCs/>
        </w:rPr>
        <w:t>négative</w:t>
      </w:r>
      <w:r>
        <w:rPr>
          <w:bCs/>
        </w:rPr>
        <w:t xml:space="preserve"> </w:t>
      </w:r>
      <w:r w:rsidR="008070B7" w:rsidRPr="00B363B4">
        <w:rPr>
          <w:bCs/>
        </w:rPr>
        <w:t xml:space="preserve">sur les transports maritimes internationaux. </w:t>
      </w:r>
    </w:p>
    <w:p w:rsidR="008070B7" w:rsidRPr="00B363B4" w:rsidRDefault="008070B7" w:rsidP="008070B7">
      <w:pPr>
        <w:pStyle w:val="Headingb"/>
      </w:pPr>
      <w:r w:rsidRPr="00B363B4">
        <w:t>Point 1.14 de l</w:t>
      </w:r>
      <w:r w:rsidR="00EB627B">
        <w:t>'</w:t>
      </w:r>
      <w:r w:rsidRPr="00B363B4">
        <w:t>ordre du jour</w:t>
      </w:r>
    </w:p>
    <w:p w:rsidR="008070B7" w:rsidRPr="00B113A2" w:rsidRDefault="008070B7" w:rsidP="008070B7">
      <w:pPr>
        <w:rPr>
          <w:bCs/>
        </w:rPr>
      </w:pPr>
      <w:r w:rsidRPr="00B113A2">
        <w:rPr>
          <w:bCs/>
        </w:rPr>
        <w:t>1.14</w:t>
      </w:r>
      <w:r w:rsidRPr="00B113A2">
        <w:rPr>
          <w:bCs/>
        </w:rPr>
        <w:tab/>
        <w:t>envisager la possibilité</w:t>
      </w:r>
      <w:r w:rsidRPr="00B113A2">
        <w:rPr>
          <w:b/>
          <w:bCs/>
        </w:rPr>
        <w:t xml:space="preserve"> </w:t>
      </w:r>
      <w:r w:rsidRPr="00B113A2">
        <w:rPr>
          <w:bCs/>
        </w:rPr>
        <w:t>d</w:t>
      </w:r>
      <w:r w:rsidR="00EB627B">
        <w:rPr>
          <w:bCs/>
        </w:rPr>
        <w:t>'</w:t>
      </w:r>
      <w:r w:rsidRPr="00B113A2">
        <w:rPr>
          <w:bCs/>
        </w:rPr>
        <w:t>obtenir une échelle de temps de référence continue, en modifiant le temps universel coordonné (UTC) ou en utilisant une autre méthode, et prendre les mesures voulues à cet égard, conformément à la Résolution </w:t>
      </w:r>
      <w:r w:rsidRPr="00B113A2">
        <w:rPr>
          <w:b/>
          <w:bCs/>
        </w:rPr>
        <w:t>653</w:t>
      </w:r>
      <w:r w:rsidRPr="00B113A2">
        <w:rPr>
          <w:bCs/>
        </w:rPr>
        <w:t xml:space="preserve"> </w:t>
      </w:r>
      <w:r w:rsidRPr="00B113A2">
        <w:rPr>
          <w:b/>
          <w:bCs/>
        </w:rPr>
        <w:t>(CMR-12)</w:t>
      </w:r>
      <w:r w:rsidRPr="00B113A2">
        <w:rPr>
          <w:bCs/>
        </w:rPr>
        <w:t>;</w:t>
      </w:r>
    </w:p>
    <w:p w:rsidR="008070B7" w:rsidRPr="00B113A2" w:rsidRDefault="00B113A2" w:rsidP="008070B7">
      <w:pPr>
        <w:keepNext/>
        <w:keepLines/>
        <w:rPr>
          <w:b/>
          <w:bCs/>
        </w:rPr>
      </w:pPr>
      <w:r>
        <w:rPr>
          <w:b/>
          <w:bCs/>
        </w:rPr>
        <w:tab/>
      </w:r>
      <w:r w:rsidR="008070B7" w:rsidRPr="00B113A2">
        <w:rPr>
          <w:b/>
          <w:bCs/>
        </w:rPr>
        <w:t>Rappel</w:t>
      </w:r>
    </w:p>
    <w:p w:rsidR="008070B7" w:rsidRPr="00B363B4" w:rsidRDefault="00B113A2" w:rsidP="00B113A2">
      <w:pPr>
        <w:ind w:left="1134" w:hanging="1134"/>
        <w:rPr>
          <w:bCs/>
        </w:rPr>
      </w:pPr>
      <w:r>
        <w:rPr>
          <w:bCs/>
        </w:rPr>
        <w:tab/>
      </w:r>
      <w:r w:rsidR="008070B7">
        <w:rPr>
          <w:bCs/>
        </w:rPr>
        <w:t xml:space="preserve">Il existe un léger décalage entre le </w:t>
      </w:r>
      <w:r w:rsidR="008070B7" w:rsidRPr="00B363B4">
        <w:rPr>
          <w:bCs/>
        </w:rPr>
        <w:t>temps mesuré en fonction de la rotation de la Terre et</w:t>
      </w:r>
      <w:r w:rsidR="008070B7">
        <w:rPr>
          <w:bCs/>
        </w:rPr>
        <w:t xml:space="preserve"> le temps</w:t>
      </w:r>
      <w:r w:rsidR="008070B7" w:rsidRPr="00B363B4">
        <w:rPr>
          <w:bCs/>
        </w:rPr>
        <w:t xml:space="preserve"> mesuré à l</w:t>
      </w:r>
      <w:r w:rsidR="00EB627B">
        <w:rPr>
          <w:bCs/>
        </w:rPr>
        <w:t>'</w:t>
      </w:r>
      <w:r w:rsidR="008070B7" w:rsidRPr="00B363B4">
        <w:rPr>
          <w:bCs/>
        </w:rPr>
        <w:t>aide d</w:t>
      </w:r>
      <w:r w:rsidR="00EB627B">
        <w:rPr>
          <w:bCs/>
        </w:rPr>
        <w:t>'</w:t>
      </w:r>
      <w:r w:rsidR="008070B7" w:rsidRPr="00B363B4">
        <w:rPr>
          <w:bCs/>
        </w:rPr>
        <w:t>horloges ato</w:t>
      </w:r>
      <w:r w:rsidR="008070B7">
        <w:rPr>
          <w:bCs/>
        </w:rPr>
        <w:t>miques (utilisées dans le GNSS); pour corriger ce décalage, on ajoute</w:t>
      </w:r>
      <w:r w:rsidR="008070B7" w:rsidRPr="00B363B4">
        <w:rPr>
          <w:bCs/>
        </w:rPr>
        <w:t xml:space="preserve"> des </w:t>
      </w:r>
      <w:r w:rsidR="008070B7">
        <w:rPr>
          <w:bCs/>
        </w:rPr>
        <w:t>«</w:t>
      </w:r>
      <w:r w:rsidR="008070B7" w:rsidRPr="00B363B4">
        <w:rPr>
          <w:bCs/>
        </w:rPr>
        <w:t>secondes intercalaires</w:t>
      </w:r>
      <w:r w:rsidR="008070B7">
        <w:rPr>
          <w:bCs/>
        </w:rPr>
        <w:t>»</w:t>
      </w:r>
      <w:r w:rsidR="008070B7" w:rsidRPr="00B363B4">
        <w:rPr>
          <w:bCs/>
        </w:rPr>
        <w:t xml:space="preserve"> lorsque la différence est proche d</w:t>
      </w:r>
      <w:r w:rsidR="00EB627B">
        <w:rPr>
          <w:bCs/>
        </w:rPr>
        <w:t>'</w:t>
      </w:r>
      <w:r w:rsidR="008070B7" w:rsidRPr="00B363B4">
        <w:rPr>
          <w:bCs/>
        </w:rPr>
        <w:t>une seconde. Cette correction a été effectuée 2</w:t>
      </w:r>
      <w:r w:rsidR="008070B7">
        <w:rPr>
          <w:bCs/>
        </w:rPr>
        <w:t>6</w:t>
      </w:r>
      <w:r w:rsidR="008070B7" w:rsidRPr="00B363B4">
        <w:rPr>
          <w:bCs/>
        </w:rPr>
        <w:t xml:space="preserve"> fois au cours des 40 dernières années, la plus récente datant de juin 201</w:t>
      </w:r>
      <w:r w:rsidR="008070B7">
        <w:rPr>
          <w:bCs/>
        </w:rPr>
        <w:t>5</w:t>
      </w:r>
      <w:r w:rsidR="008070B7" w:rsidRPr="00B363B4">
        <w:rPr>
          <w:bCs/>
        </w:rPr>
        <w:t xml:space="preserve">. Le temps ainsi corrigé est connu sous le nom de </w:t>
      </w:r>
      <w:r w:rsidR="008070B7">
        <w:rPr>
          <w:bCs/>
        </w:rPr>
        <w:t>«t</w:t>
      </w:r>
      <w:r w:rsidR="008070B7" w:rsidRPr="00B363B4">
        <w:rPr>
          <w:bCs/>
        </w:rPr>
        <w:t>emps universel coordonné (UTC)</w:t>
      </w:r>
      <w:r w:rsidR="008070B7">
        <w:rPr>
          <w:bCs/>
        </w:rPr>
        <w:t>» et les dispositions à </w:t>
      </w:r>
      <w:r w:rsidR="008070B7" w:rsidRPr="00B363B4">
        <w:rPr>
          <w:bCs/>
        </w:rPr>
        <w:t>prendre pour insérer la seconde intercalaire sont indiquées dans</w:t>
      </w:r>
      <w:r w:rsidR="008070B7">
        <w:rPr>
          <w:bCs/>
        </w:rPr>
        <w:t xml:space="preserve"> la Recommandation UIT-R TF.460</w:t>
      </w:r>
      <w:r w:rsidR="008070B7">
        <w:rPr>
          <w:bCs/>
        </w:rPr>
        <w:noBreakHyphen/>
      </w:r>
      <w:r w:rsidR="008070B7" w:rsidRPr="00B363B4">
        <w:rPr>
          <w:bCs/>
        </w:rPr>
        <w:t>6.</w:t>
      </w:r>
    </w:p>
    <w:p w:rsidR="008070B7" w:rsidRPr="00B363B4" w:rsidRDefault="00B113A2" w:rsidP="00B113A2">
      <w:pPr>
        <w:ind w:left="1134" w:hanging="1134"/>
        <w:rPr>
          <w:bCs/>
        </w:rPr>
      </w:pPr>
      <w:r>
        <w:rPr>
          <w:bCs/>
        </w:rPr>
        <w:tab/>
      </w:r>
      <w:r w:rsidR="008070B7">
        <w:rPr>
          <w:bCs/>
        </w:rPr>
        <w:t>Dans le cadre de ses travaux, l</w:t>
      </w:r>
      <w:r w:rsidR="00EB627B">
        <w:rPr>
          <w:bCs/>
        </w:rPr>
        <w:t>'</w:t>
      </w:r>
      <w:r w:rsidR="008070B7" w:rsidRPr="00B363B4">
        <w:rPr>
          <w:bCs/>
        </w:rPr>
        <w:t xml:space="preserve">UIT-R a </w:t>
      </w:r>
      <w:r w:rsidR="008070B7">
        <w:rPr>
          <w:bCs/>
        </w:rPr>
        <w:t xml:space="preserve">étudié la question de la suppression, à terme, des </w:t>
      </w:r>
      <w:r w:rsidR="008070B7" w:rsidRPr="00B363B4">
        <w:rPr>
          <w:bCs/>
        </w:rPr>
        <w:t xml:space="preserve">secondes intercalaires, ce qui aurait pour conséquence </w:t>
      </w:r>
      <w:r w:rsidR="008070B7">
        <w:rPr>
          <w:bCs/>
        </w:rPr>
        <w:t xml:space="preserve">que </w:t>
      </w:r>
      <w:r w:rsidR="008070B7" w:rsidRPr="00B363B4">
        <w:rPr>
          <w:bCs/>
        </w:rPr>
        <w:t xml:space="preserve">le temps universel coordonné </w:t>
      </w:r>
      <w:r w:rsidR="008070B7">
        <w:rPr>
          <w:bCs/>
        </w:rPr>
        <w:t>s</w:t>
      </w:r>
      <w:r w:rsidR="00EB627B">
        <w:rPr>
          <w:bCs/>
        </w:rPr>
        <w:t>'</w:t>
      </w:r>
      <w:r w:rsidR="008070B7">
        <w:rPr>
          <w:bCs/>
        </w:rPr>
        <w:t xml:space="preserve">écarterait </w:t>
      </w:r>
      <w:r w:rsidR="008070B7" w:rsidRPr="00B363B4">
        <w:rPr>
          <w:bCs/>
        </w:rPr>
        <w:t>progressivement, et sans limite, du temps défini par la rotation de la Terre, mais aucun accord</w:t>
      </w:r>
      <w:r w:rsidR="008070B7">
        <w:rPr>
          <w:bCs/>
        </w:rPr>
        <w:t xml:space="preserve"> n</w:t>
      </w:r>
      <w:r w:rsidR="00EB627B">
        <w:rPr>
          <w:bCs/>
        </w:rPr>
        <w:t>'</w:t>
      </w:r>
      <w:r w:rsidR="008070B7">
        <w:rPr>
          <w:bCs/>
        </w:rPr>
        <w:t>a encore été trouvé</w:t>
      </w:r>
      <w:r w:rsidR="008070B7" w:rsidRPr="00B363B4">
        <w:rPr>
          <w:bCs/>
        </w:rPr>
        <w:t xml:space="preserve"> sur ce point. L</w:t>
      </w:r>
      <w:r w:rsidR="008070B7">
        <w:rPr>
          <w:bCs/>
        </w:rPr>
        <w:t>a suppress</w:t>
      </w:r>
      <w:r w:rsidR="008070B7" w:rsidRPr="00B363B4">
        <w:rPr>
          <w:bCs/>
        </w:rPr>
        <w:t>ion de la seconde inter</w:t>
      </w:r>
      <w:r w:rsidR="008070B7">
        <w:rPr>
          <w:bCs/>
        </w:rPr>
        <w:t>calaire aurait pour avantage d</w:t>
      </w:r>
      <w:r w:rsidR="00EB627B">
        <w:rPr>
          <w:bCs/>
        </w:rPr>
        <w:t>'</w:t>
      </w:r>
      <w:r w:rsidR="008070B7">
        <w:rPr>
          <w:bCs/>
        </w:rPr>
        <w:t>élimine</w:t>
      </w:r>
      <w:r w:rsidR="008070B7" w:rsidRPr="00B363B4">
        <w:rPr>
          <w:bCs/>
        </w:rPr>
        <w:t>r les dépenses et</w:t>
      </w:r>
      <w:r w:rsidR="008070B7">
        <w:rPr>
          <w:bCs/>
        </w:rPr>
        <w:t xml:space="preserve"> les</w:t>
      </w:r>
      <w:r w:rsidR="008070B7" w:rsidRPr="00B363B4">
        <w:rPr>
          <w:bCs/>
        </w:rPr>
        <w:t xml:space="preserve"> perturbations </w:t>
      </w:r>
      <w:r w:rsidR="008070B7">
        <w:rPr>
          <w:bCs/>
        </w:rPr>
        <w:t>qu</w:t>
      </w:r>
      <w:r w:rsidR="00EB627B">
        <w:rPr>
          <w:bCs/>
        </w:rPr>
        <w:t>'</w:t>
      </w:r>
      <w:r w:rsidR="008070B7">
        <w:rPr>
          <w:bCs/>
        </w:rPr>
        <w:t xml:space="preserve">entraînerait </w:t>
      </w:r>
      <w:r w:rsidR="008070B7" w:rsidRPr="00B363B4">
        <w:rPr>
          <w:bCs/>
        </w:rPr>
        <w:t>le réglage de</w:t>
      </w:r>
      <w:r w:rsidR="008070B7">
        <w:rPr>
          <w:bCs/>
        </w:rPr>
        <w:t>s</w:t>
      </w:r>
      <w:r w:rsidR="008070B7" w:rsidRPr="00B363B4">
        <w:rPr>
          <w:bCs/>
        </w:rPr>
        <w:t xml:space="preserve"> équipement</w:t>
      </w:r>
      <w:r w:rsidR="008070B7">
        <w:rPr>
          <w:bCs/>
        </w:rPr>
        <w:t>s</w:t>
      </w:r>
      <w:r w:rsidR="008070B7" w:rsidRPr="00B363B4">
        <w:rPr>
          <w:bCs/>
        </w:rPr>
        <w:t>. Elle aurait pour inconvénien</w:t>
      </w:r>
      <w:r w:rsidR="008070B7">
        <w:rPr>
          <w:bCs/>
        </w:rPr>
        <w:t>t de modifier la définition du t</w:t>
      </w:r>
      <w:r w:rsidR="008070B7" w:rsidRPr="00B363B4">
        <w:rPr>
          <w:bCs/>
        </w:rPr>
        <w:t xml:space="preserve">emps </w:t>
      </w:r>
      <w:r w:rsidR="008070B7">
        <w:rPr>
          <w:bCs/>
        </w:rPr>
        <w:t>UTC</w:t>
      </w:r>
      <w:r w:rsidR="008070B7" w:rsidRPr="00B363B4">
        <w:rPr>
          <w:bCs/>
        </w:rPr>
        <w:t xml:space="preserve">, ce qui pourrait avoir des conséquences </w:t>
      </w:r>
      <w:r w:rsidR="008070B7">
        <w:rPr>
          <w:bCs/>
        </w:rPr>
        <w:t>sur le plan réglementa</w:t>
      </w:r>
      <w:r w:rsidR="008070B7" w:rsidRPr="00B363B4">
        <w:rPr>
          <w:bCs/>
        </w:rPr>
        <w:t>i</w:t>
      </w:r>
      <w:r w:rsidR="008070B7">
        <w:rPr>
          <w:bCs/>
        </w:rPr>
        <w:t>re</w:t>
      </w:r>
      <w:r w:rsidR="008070B7" w:rsidRPr="00B363B4">
        <w:rPr>
          <w:bCs/>
        </w:rPr>
        <w:t>.</w:t>
      </w:r>
    </w:p>
    <w:p w:rsidR="008070B7" w:rsidRPr="00B363B4" w:rsidRDefault="00B113A2" w:rsidP="00B113A2">
      <w:pPr>
        <w:ind w:left="1134" w:hanging="1134"/>
        <w:rPr>
          <w:bCs/>
        </w:rPr>
      </w:pPr>
      <w:r>
        <w:rPr>
          <w:bCs/>
        </w:rPr>
        <w:tab/>
      </w:r>
      <w:r w:rsidR="008070B7" w:rsidRPr="00B363B4">
        <w:rPr>
          <w:bCs/>
        </w:rPr>
        <w:t>L</w:t>
      </w:r>
      <w:r w:rsidR="00EB627B">
        <w:rPr>
          <w:bCs/>
        </w:rPr>
        <w:t>'</w:t>
      </w:r>
      <w:r w:rsidR="008070B7">
        <w:rPr>
          <w:bCs/>
        </w:rPr>
        <w:t>OMI s</w:t>
      </w:r>
      <w:r w:rsidR="00EB627B">
        <w:rPr>
          <w:bCs/>
        </w:rPr>
        <w:t>'</w:t>
      </w:r>
      <w:r w:rsidR="008070B7">
        <w:rPr>
          <w:bCs/>
        </w:rPr>
        <w:t>appuie largement sur le te</w:t>
      </w:r>
      <w:r w:rsidR="008070B7" w:rsidRPr="00B363B4">
        <w:rPr>
          <w:bCs/>
        </w:rPr>
        <w:t xml:space="preserve">mps </w:t>
      </w:r>
      <w:r w:rsidR="008070B7">
        <w:rPr>
          <w:bCs/>
        </w:rPr>
        <w:t xml:space="preserve">UTC </w:t>
      </w:r>
      <w:r w:rsidR="008070B7" w:rsidRPr="00B363B4">
        <w:rPr>
          <w:bCs/>
        </w:rPr>
        <w:t>dans ses prescriptions et continuera de le faire à l</w:t>
      </w:r>
      <w:r w:rsidR="00EB627B">
        <w:rPr>
          <w:bCs/>
        </w:rPr>
        <w:t>'</w:t>
      </w:r>
      <w:r w:rsidR="008070B7" w:rsidRPr="00B363B4">
        <w:rPr>
          <w:bCs/>
        </w:rPr>
        <w:t xml:space="preserve">avenir. </w:t>
      </w:r>
    </w:p>
    <w:p w:rsidR="008070B7" w:rsidRPr="00B363B4" w:rsidRDefault="00B113A2" w:rsidP="00B113A2">
      <w:pPr>
        <w:ind w:left="1134" w:hanging="1134"/>
        <w:rPr>
          <w:bCs/>
        </w:rPr>
      </w:pPr>
      <w:r>
        <w:rPr>
          <w:bCs/>
        </w:rPr>
        <w:tab/>
      </w:r>
      <w:r w:rsidR="008070B7" w:rsidRPr="00B363B4">
        <w:rPr>
          <w:bCs/>
        </w:rPr>
        <w:t>Certains fabricants ont</w:t>
      </w:r>
      <w:r w:rsidR="008070B7">
        <w:rPr>
          <w:bCs/>
        </w:rPr>
        <w:t xml:space="preserve"> indiqué qu</w:t>
      </w:r>
      <w:r w:rsidR="00EB627B">
        <w:rPr>
          <w:bCs/>
        </w:rPr>
        <w:t>'</w:t>
      </w:r>
      <w:r w:rsidR="008070B7">
        <w:rPr>
          <w:bCs/>
        </w:rPr>
        <w:t>ils rencontraient des difficultés dans la mise à jour de leurs équipements lorsqu</w:t>
      </w:r>
      <w:r w:rsidR="00EB627B">
        <w:rPr>
          <w:bCs/>
        </w:rPr>
        <w:t>'</w:t>
      </w:r>
      <w:r w:rsidR="008070B7">
        <w:rPr>
          <w:bCs/>
        </w:rPr>
        <w:t>ils</w:t>
      </w:r>
      <w:r w:rsidR="008070B7" w:rsidRPr="00B363B4">
        <w:rPr>
          <w:bCs/>
        </w:rPr>
        <w:t xml:space="preserve"> doivent tenir compte des secondes intercalaires. </w:t>
      </w:r>
    </w:p>
    <w:p w:rsidR="008070B7" w:rsidRPr="00B363B4" w:rsidRDefault="00B113A2" w:rsidP="00B113A2">
      <w:pPr>
        <w:ind w:left="1134" w:hanging="1134"/>
        <w:rPr>
          <w:bCs/>
        </w:rPr>
      </w:pPr>
      <w:r>
        <w:rPr>
          <w:bCs/>
        </w:rPr>
        <w:tab/>
      </w:r>
      <w:r w:rsidR="008070B7" w:rsidRPr="00B363B4">
        <w:rPr>
          <w:bCs/>
        </w:rPr>
        <w:t>La navigation astronomique, qui est une aptitude requise par la Convention internationale de 1978 sur les normes de formation des gens de mer, de délivrance des brevets et de veille, telle que modifiée, est importante pour la communauté maritime et doit pouvoir s</w:t>
      </w:r>
      <w:r w:rsidR="00EB627B">
        <w:rPr>
          <w:bCs/>
        </w:rPr>
        <w:t>'</w:t>
      </w:r>
      <w:r w:rsidR="008070B7" w:rsidRPr="00B363B4">
        <w:rPr>
          <w:bCs/>
        </w:rPr>
        <w:t xml:space="preserve">appuyer sur le temps défini par la rotation de la Terre. La navigation par inertie, qui est actuellement utilisée par les navires des forces navales et pourrait être adoptée à bord des navires de commerce, nécessite un temps de référence fiable. </w:t>
      </w:r>
    </w:p>
    <w:p w:rsidR="00B113A2" w:rsidRDefault="00B113A2" w:rsidP="00B113A2">
      <w:pPr>
        <w:ind w:left="1134" w:hanging="1134"/>
        <w:rPr>
          <w:bCs/>
        </w:rPr>
      </w:pPr>
      <w:r>
        <w:rPr>
          <w:bCs/>
        </w:rPr>
        <w:tab/>
      </w:r>
      <w:r>
        <w:rPr>
          <w:bCs/>
        </w:rPr>
        <w:br w:type="page"/>
      </w:r>
    </w:p>
    <w:p w:rsidR="008070B7" w:rsidRPr="00B363B4" w:rsidRDefault="00B113A2" w:rsidP="00B113A2">
      <w:pPr>
        <w:ind w:left="1134" w:hanging="1134"/>
        <w:rPr>
          <w:bCs/>
        </w:rPr>
      </w:pPr>
      <w:r>
        <w:rPr>
          <w:bCs/>
        </w:rPr>
        <w:lastRenderedPageBreak/>
        <w:tab/>
      </w:r>
      <w:r w:rsidR="008070B7">
        <w:rPr>
          <w:bCs/>
        </w:rPr>
        <w:t>L</w:t>
      </w:r>
      <w:r w:rsidR="00EB627B">
        <w:rPr>
          <w:bCs/>
        </w:rPr>
        <w:t>'</w:t>
      </w:r>
      <w:r w:rsidR="008070B7">
        <w:rPr>
          <w:bCs/>
        </w:rPr>
        <w:t>OMI reconnaît que les différentes méthodes pour traiter ce point de l</w:t>
      </w:r>
      <w:r w:rsidR="00EB627B">
        <w:rPr>
          <w:bCs/>
        </w:rPr>
        <w:t>'</w:t>
      </w:r>
      <w:r w:rsidR="008070B7">
        <w:rPr>
          <w:bCs/>
        </w:rPr>
        <w:t>ordre du jour présentent des avantages et des inconvénients et recommande aux administrations de les examiner en tenant compte du fait que cette question va au-delà des questions maritimes.</w:t>
      </w:r>
    </w:p>
    <w:p w:rsidR="008070B7" w:rsidRPr="00B363B4" w:rsidRDefault="00B113A2" w:rsidP="008070B7">
      <w:pPr>
        <w:pStyle w:val="Headingb"/>
      </w:pPr>
      <w:r>
        <w:tab/>
      </w:r>
      <w:r w:rsidR="008070B7">
        <w:t>P</w:t>
      </w:r>
      <w:r w:rsidR="008070B7" w:rsidRPr="00B363B4">
        <w:t>osition de l</w:t>
      </w:r>
      <w:r w:rsidR="00EB627B">
        <w:t>'</w:t>
      </w:r>
      <w:r w:rsidR="008070B7" w:rsidRPr="00B363B4">
        <w:t>OMI</w:t>
      </w:r>
    </w:p>
    <w:p w:rsidR="008070B7" w:rsidRPr="00B363B4" w:rsidRDefault="00B113A2" w:rsidP="00B113A2">
      <w:pPr>
        <w:ind w:left="1134" w:hanging="1134"/>
        <w:rPr>
          <w:bCs/>
        </w:rPr>
      </w:pPr>
      <w:r>
        <w:rPr>
          <w:bCs/>
        </w:rPr>
        <w:tab/>
      </w:r>
      <w:r w:rsidR="008070B7" w:rsidRPr="00B363B4">
        <w:rPr>
          <w:bCs/>
        </w:rPr>
        <w:t>L</w:t>
      </w:r>
      <w:r w:rsidR="00EB627B">
        <w:rPr>
          <w:bCs/>
        </w:rPr>
        <w:t>'</w:t>
      </w:r>
      <w:r w:rsidR="008070B7" w:rsidRPr="00B363B4">
        <w:rPr>
          <w:bCs/>
        </w:rPr>
        <w:t xml:space="preserve">OMI </w:t>
      </w:r>
      <w:r w:rsidR="008070B7">
        <w:rPr>
          <w:bCs/>
        </w:rPr>
        <w:t>demande que l</w:t>
      </w:r>
      <w:r w:rsidR="00EB627B">
        <w:rPr>
          <w:bCs/>
        </w:rPr>
        <w:t>'</w:t>
      </w:r>
      <w:r w:rsidR="008070B7">
        <w:rPr>
          <w:bCs/>
        </w:rPr>
        <w:t>importance des systèmes maritimes soit reconnue lorsqu</w:t>
      </w:r>
      <w:r w:rsidR="00EB627B">
        <w:rPr>
          <w:bCs/>
        </w:rPr>
        <w:t>'</w:t>
      </w:r>
      <w:r w:rsidR="008070B7">
        <w:rPr>
          <w:bCs/>
        </w:rPr>
        <w:t>une décision sera prise sur ce point de l</w:t>
      </w:r>
      <w:r w:rsidR="00EB627B">
        <w:rPr>
          <w:bCs/>
        </w:rPr>
        <w:t>'</w:t>
      </w:r>
      <w:r w:rsidR="008070B7">
        <w:rPr>
          <w:bCs/>
        </w:rPr>
        <w:t>ordre du jour et que l</w:t>
      </w:r>
      <w:r w:rsidR="00EB627B">
        <w:rPr>
          <w:bCs/>
        </w:rPr>
        <w:t>'</w:t>
      </w:r>
      <w:r w:rsidR="008070B7">
        <w:rPr>
          <w:bCs/>
        </w:rPr>
        <w:t>on s</w:t>
      </w:r>
      <w:r w:rsidR="00EB627B">
        <w:rPr>
          <w:bCs/>
        </w:rPr>
        <w:t>'</w:t>
      </w:r>
      <w:r w:rsidR="008070B7">
        <w:rPr>
          <w:bCs/>
        </w:rPr>
        <w:t>efforce de réduire au minimum les incidences pour les services maritimes.</w:t>
      </w:r>
    </w:p>
    <w:p w:rsidR="008070B7" w:rsidRPr="00B363B4" w:rsidRDefault="008070B7" w:rsidP="008070B7">
      <w:pPr>
        <w:pStyle w:val="Headingb"/>
      </w:pPr>
      <w:r w:rsidRPr="00B363B4">
        <w:t>Point 1.15 de l</w:t>
      </w:r>
      <w:r w:rsidR="00EB627B">
        <w:t>'</w:t>
      </w:r>
      <w:r w:rsidRPr="00B363B4">
        <w:t>ordre du jour</w:t>
      </w:r>
    </w:p>
    <w:p w:rsidR="008070B7" w:rsidRPr="00B113A2" w:rsidRDefault="008070B7" w:rsidP="008070B7">
      <w:pPr>
        <w:rPr>
          <w:bCs/>
        </w:rPr>
      </w:pPr>
      <w:r w:rsidRPr="00B113A2">
        <w:rPr>
          <w:bCs/>
        </w:rPr>
        <w:t>1.15</w:t>
      </w:r>
      <w:r w:rsidRPr="00B113A2">
        <w:rPr>
          <w:bCs/>
        </w:rPr>
        <w:tab/>
        <w:t xml:space="preserve">examiner les besoins de spectre des stations de communication de bord du service mobile maritime, conformément à la Résolution </w:t>
      </w:r>
      <w:r w:rsidRPr="00B113A2">
        <w:rPr>
          <w:b/>
          <w:bCs/>
        </w:rPr>
        <w:t>358 (CMR-12)</w:t>
      </w:r>
      <w:r w:rsidRPr="00B113A2">
        <w:rPr>
          <w:bCs/>
        </w:rPr>
        <w:t>;</w:t>
      </w:r>
    </w:p>
    <w:p w:rsidR="008070B7" w:rsidRPr="00B363B4" w:rsidRDefault="00B113A2" w:rsidP="008070B7">
      <w:pPr>
        <w:pStyle w:val="Headingb"/>
      </w:pPr>
      <w:r>
        <w:tab/>
      </w:r>
      <w:r w:rsidR="008070B7">
        <w:t>Rappel</w:t>
      </w:r>
    </w:p>
    <w:p w:rsidR="008070B7" w:rsidRPr="00B363B4" w:rsidRDefault="00B113A2" w:rsidP="00B113A2">
      <w:pPr>
        <w:ind w:left="1134" w:hanging="1134"/>
        <w:rPr>
          <w:bCs/>
        </w:rPr>
      </w:pPr>
      <w:r>
        <w:rPr>
          <w:bCs/>
        </w:rPr>
        <w:tab/>
      </w:r>
      <w:r w:rsidR="008070B7" w:rsidRPr="00B363B4">
        <w:rPr>
          <w:bCs/>
        </w:rPr>
        <w:t>Les Gouvernements Membres de l</w:t>
      </w:r>
      <w:r w:rsidR="00EB627B">
        <w:rPr>
          <w:bCs/>
        </w:rPr>
        <w:t>'</w:t>
      </w:r>
      <w:r w:rsidR="008070B7" w:rsidRPr="00B363B4">
        <w:rPr>
          <w:bCs/>
        </w:rPr>
        <w:t>OMI ont reconnu qu</w:t>
      </w:r>
      <w:r w:rsidR="00EB627B">
        <w:rPr>
          <w:bCs/>
        </w:rPr>
        <w:t>'</w:t>
      </w:r>
      <w:r w:rsidR="008070B7" w:rsidRPr="00B363B4">
        <w:rPr>
          <w:bCs/>
        </w:rPr>
        <w:t>il était nécessaire d</w:t>
      </w:r>
      <w:r w:rsidR="00EB627B">
        <w:rPr>
          <w:bCs/>
        </w:rPr>
        <w:t>'</w:t>
      </w:r>
      <w:r w:rsidR="008070B7" w:rsidRPr="00B363B4">
        <w:rPr>
          <w:bCs/>
        </w:rPr>
        <w:t>examiner l</w:t>
      </w:r>
      <w:r w:rsidR="00EB627B">
        <w:rPr>
          <w:bCs/>
        </w:rPr>
        <w:t>'</w:t>
      </w:r>
      <w:r w:rsidR="008070B7" w:rsidRPr="00B363B4">
        <w:rPr>
          <w:bCs/>
        </w:rPr>
        <w:t>amélioration et le développement des stations de communication de bord du service mobile maritime dans les bandes d</w:t>
      </w:r>
      <w:r w:rsidR="00EB627B">
        <w:rPr>
          <w:bCs/>
        </w:rPr>
        <w:t>'</w:t>
      </w:r>
      <w:r w:rsidR="008070B7" w:rsidRPr="00B363B4">
        <w:rPr>
          <w:bCs/>
        </w:rPr>
        <w:t>ondes décimétriques.</w:t>
      </w:r>
    </w:p>
    <w:p w:rsidR="008070B7" w:rsidRPr="00B363B4" w:rsidRDefault="00B113A2" w:rsidP="00B113A2">
      <w:pPr>
        <w:ind w:left="1134" w:hanging="1134"/>
        <w:rPr>
          <w:bCs/>
        </w:rPr>
      </w:pPr>
      <w:r>
        <w:rPr>
          <w:bCs/>
        </w:rPr>
        <w:tab/>
      </w:r>
      <w:r w:rsidR="008070B7" w:rsidRPr="00B363B4">
        <w:rPr>
          <w:bCs/>
        </w:rPr>
        <w:t xml:space="preserve">Les communications de bord </w:t>
      </w:r>
      <w:r w:rsidR="008070B7">
        <w:rPr>
          <w:bCs/>
        </w:rPr>
        <w:t xml:space="preserve">en ondes décimétriques </w:t>
      </w:r>
      <w:r w:rsidR="008070B7" w:rsidRPr="00B363B4">
        <w:rPr>
          <w:bCs/>
        </w:rPr>
        <w:t xml:space="preserve">sont fréquemment utilisées à bord des navires, notamment </w:t>
      </w:r>
      <w:r w:rsidR="008070B7">
        <w:rPr>
          <w:bCs/>
        </w:rPr>
        <w:t xml:space="preserve">pour les urgences </w:t>
      </w:r>
      <w:r w:rsidR="008070B7" w:rsidRPr="00B363B4">
        <w:rPr>
          <w:bCs/>
        </w:rPr>
        <w:t xml:space="preserve">à bord, </w:t>
      </w:r>
      <w:r w:rsidR="008070B7">
        <w:rPr>
          <w:bCs/>
        </w:rPr>
        <w:t>la</w:t>
      </w:r>
      <w:r w:rsidR="008070B7" w:rsidRPr="00B363B4">
        <w:rPr>
          <w:bCs/>
        </w:rPr>
        <w:t xml:space="preserve"> lutte contre les incendies, l</w:t>
      </w:r>
      <w:r w:rsidR="00EB627B">
        <w:rPr>
          <w:bCs/>
        </w:rPr>
        <w:t>'</w:t>
      </w:r>
      <w:r w:rsidR="008070B7" w:rsidRPr="00B363B4">
        <w:rPr>
          <w:bCs/>
        </w:rPr>
        <w:t>accostage, l</w:t>
      </w:r>
      <w:r w:rsidR="00EB627B">
        <w:rPr>
          <w:bCs/>
        </w:rPr>
        <w:t>'</w:t>
      </w:r>
      <w:r w:rsidR="008070B7" w:rsidRPr="00B363B4">
        <w:rPr>
          <w:bCs/>
        </w:rPr>
        <w:t>encadrement des passagers</w:t>
      </w:r>
      <w:r w:rsidR="008070B7">
        <w:rPr>
          <w:bCs/>
        </w:rPr>
        <w:t>, etc</w:t>
      </w:r>
      <w:r w:rsidR="008070B7" w:rsidRPr="00B363B4">
        <w:rPr>
          <w:bCs/>
        </w:rPr>
        <w:t xml:space="preserve">. Six </w:t>
      </w:r>
      <w:r w:rsidR="008070B7">
        <w:rPr>
          <w:bCs/>
        </w:rPr>
        <w:t>fréquences espacées</w:t>
      </w:r>
      <w:r w:rsidR="008070B7" w:rsidRPr="00B363B4">
        <w:rPr>
          <w:bCs/>
        </w:rPr>
        <w:t xml:space="preserve"> de 25</w:t>
      </w:r>
      <w:r w:rsidR="008070B7">
        <w:rPr>
          <w:bCs/>
        </w:rPr>
        <w:t> </w:t>
      </w:r>
      <w:r w:rsidR="008070B7" w:rsidRPr="00B363B4">
        <w:rPr>
          <w:bCs/>
        </w:rPr>
        <w:t>kHz et quatre autres</w:t>
      </w:r>
      <w:r w:rsidR="008070B7">
        <w:rPr>
          <w:bCs/>
        </w:rPr>
        <w:t xml:space="preserve"> fréquences espacées</w:t>
      </w:r>
      <w:r w:rsidR="008070B7" w:rsidRPr="00B363B4">
        <w:rPr>
          <w:bCs/>
        </w:rPr>
        <w:t xml:space="preserve"> de 12,5</w:t>
      </w:r>
      <w:r w:rsidR="008070B7">
        <w:rPr>
          <w:bCs/>
        </w:rPr>
        <w:t> </w:t>
      </w:r>
      <w:r w:rsidR="008070B7" w:rsidRPr="00B363B4">
        <w:rPr>
          <w:bCs/>
        </w:rPr>
        <w:t>kHz</w:t>
      </w:r>
      <w:r w:rsidR="008070B7">
        <w:rPr>
          <w:bCs/>
        </w:rPr>
        <w:t xml:space="preserve"> sont disponibles, comme indiqué dans le renvoi</w:t>
      </w:r>
      <w:r w:rsidR="008070B7" w:rsidRPr="00B363B4">
        <w:rPr>
          <w:bCs/>
        </w:rPr>
        <w:t> </w:t>
      </w:r>
      <w:r w:rsidR="008070B7" w:rsidRPr="00F1546C">
        <w:rPr>
          <w:b/>
        </w:rPr>
        <w:t>5.287</w:t>
      </w:r>
      <w:r w:rsidR="008070B7" w:rsidRPr="00B363B4">
        <w:rPr>
          <w:bCs/>
        </w:rPr>
        <w:t xml:space="preserve"> du Règlement des radiocommunications, mais ne sont pas toujours disponibles dans tous les pays et ne sont pas suffisant</w:t>
      </w:r>
      <w:r w:rsidR="008070B7">
        <w:rPr>
          <w:bCs/>
        </w:rPr>
        <w:t xml:space="preserve">es dans </w:t>
      </w:r>
      <w:r w:rsidR="008070B7" w:rsidRPr="00B363B4">
        <w:rPr>
          <w:bCs/>
        </w:rPr>
        <w:t xml:space="preserve">tous les cas. La technologie actuellement définie </w:t>
      </w:r>
      <w:r w:rsidR="008070B7">
        <w:rPr>
          <w:bCs/>
        </w:rPr>
        <w:t xml:space="preserve">dans </w:t>
      </w:r>
      <w:r w:rsidR="008070B7" w:rsidRPr="00B363B4">
        <w:rPr>
          <w:bCs/>
        </w:rPr>
        <w:t>la Recommandation UIT-R M.1174-2 est celle de</w:t>
      </w:r>
      <w:r w:rsidR="008070B7">
        <w:rPr>
          <w:bCs/>
        </w:rPr>
        <w:t xml:space="preserve"> la modulation de fréquence </w:t>
      </w:r>
      <w:r w:rsidR="008070B7" w:rsidRPr="00B363B4">
        <w:rPr>
          <w:bCs/>
        </w:rPr>
        <w:t>analogique, dont</w:t>
      </w:r>
      <w:r w:rsidR="008070B7">
        <w:rPr>
          <w:bCs/>
        </w:rPr>
        <w:t xml:space="preserve"> on sait qu</w:t>
      </w:r>
      <w:r w:rsidR="00EB627B">
        <w:rPr>
          <w:bCs/>
        </w:rPr>
        <w:t>'</w:t>
      </w:r>
      <w:r w:rsidR="008070B7">
        <w:rPr>
          <w:bCs/>
        </w:rPr>
        <w:t xml:space="preserve">elle fonctionne de manière </w:t>
      </w:r>
      <w:r w:rsidR="008070B7" w:rsidRPr="00B363B4">
        <w:rPr>
          <w:bCs/>
        </w:rPr>
        <w:t>très fiable à bord des navires de construction métallique. Une révision de cette Recommandation</w:t>
      </w:r>
      <w:r w:rsidR="008070B7">
        <w:rPr>
          <w:bCs/>
        </w:rPr>
        <w:t>, afin d</w:t>
      </w:r>
      <w:r w:rsidR="00EB627B">
        <w:rPr>
          <w:bCs/>
        </w:rPr>
        <w:t>'</w:t>
      </w:r>
      <w:r w:rsidR="008070B7">
        <w:rPr>
          <w:bCs/>
        </w:rPr>
        <w:t xml:space="preserve">y faire figurer des technologies </w:t>
      </w:r>
      <w:r w:rsidR="008070B7" w:rsidRPr="00B363B4">
        <w:rPr>
          <w:bCs/>
        </w:rPr>
        <w:t>numériques</w:t>
      </w:r>
      <w:r w:rsidR="008070B7">
        <w:rPr>
          <w:bCs/>
        </w:rPr>
        <w:t>,</w:t>
      </w:r>
      <w:r w:rsidR="008070B7" w:rsidRPr="00B363B4">
        <w:rPr>
          <w:bCs/>
        </w:rPr>
        <w:t xml:space="preserve"> pourrait</w:t>
      </w:r>
      <w:r w:rsidR="008070B7">
        <w:rPr>
          <w:bCs/>
        </w:rPr>
        <w:t xml:space="preserve"> permettre de disposer d</w:t>
      </w:r>
      <w:r w:rsidR="00EB627B">
        <w:rPr>
          <w:bCs/>
        </w:rPr>
        <w:t>'</w:t>
      </w:r>
      <w:r w:rsidR="008070B7">
        <w:rPr>
          <w:bCs/>
        </w:rPr>
        <w:t xml:space="preserve">un plus grand nombre de canaux pour les </w:t>
      </w:r>
      <w:r w:rsidR="008070B7" w:rsidRPr="00B363B4">
        <w:rPr>
          <w:bCs/>
        </w:rPr>
        <w:t>communications vocales sur une fréquence, mais l</w:t>
      </w:r>
      <w:r w:rsidR="008070B7">
        <w:rPr>
          <w:bCs/>
        </w:rPr>
        <w:t xml:space="preserve">a qualité de fonctionnement </w:t>
      </w:r>
      <w:r w:rsidR="008070B7" w:rsidRPr="00B363B4">
        <w:rPr>
          <w:bCs/>
        </w:rPr>
        <w:t>en conditions d</w:t>
      </w:r>
      <w:r w:rsidR="00EB627B">
        <w:rPr>
          <w:bCs/>
        </w:rPr>
        <w:t>'</w:t>
      </w:r>
      <w:r w:rsidR="008070B7" w:rsidRPr="00B363B4">
        <w:rPr>
          <w:bCs/>
        </w:rPr>
        <w:t xml:space="preserve">exploitation doit être évaluée, </w:t>
      </w:r>
      <w:r w:rsidR="008070B7">
        <w:rPr>
          <w:bCs/>
        </w:rPr>
        <w:t xml:space="preserve">de même </w:t>
      </w:r>
      <w:r w:rsidR="008070B7" w:rsidRPr="00B363B4">
        <w:rPr>
          <w:bCs/>
        </w:rPr>
        <w:t>que l</w:t>
      </w:r>
      <w:r w:rsidR="008070B7">
        <w:rPr>
          <w:bCs/>
        </w:rPr>
        <w:t xml:space="preserve">a </w:t>
      </w:r>
      <w:r w:rsidR="008070B7" w:rsidRPr="00B363B4">
        <w:rPr>
          <w:bCs/>
        </w:rPr>
        <w:t>compatibilité avec le</w:t>
      </w:r>
      <w:r w:rsidR="008070B7">
        <w:rPr>
          <w:bCs/>
        </w:rPr>
        <w:t xml:space="preserve">s équipements </w:t>
      </w:r>
      <w:r w:rsidR="008070B7" w:rsidRPr="00B363B4">
        <w:rPr>
          <w:bCs/>
        </w:rPr>
        <w:t>existant</w:t>
      </w:r>
      <w:r w:rsidR="008070B7">
        <w:rPr>
          <w:bCs/>
        </w:rPr>
        <w:t>s</w:t>
      </w:r>
      <w:r w:rsidR="008070B7" w:rsidRPr="00B363B4">
        <w:rPr>
          <w:bCs/>
        </w:rPr>
        <w:t xml:space="preserve"> </w:t>
      </w:r>
      <w:r w:rsidR="008070B7">
        <w:rPr>
          <w:bCs/>
        </w:rPr>
        <w:t xml:space="preserve">utilisant des techniques </w:t>
      </w:r>
      <w:r w:rsidR="008070B7" w:rsidRPr="00B363B4">
        <w:rPr>
          <w:bCs/>
        </w:rPr>
        <w:t>analogique</w:t>
      </w:r>
      <w:r w:rsidR="008070B7">
        <w:rPr>
          <w:bCs/>
        </w:rPr>
        <w:t>s</w:t>
      </w:r>
      <w:r w:rsidR="008070B7" w:rsidRPr="00B363B4">
        <w:rPr>
          <w:bCs/>
        </w:rPr>
        <w:t xml:space="preserve">. </w:t>
      </w:r>
    </w:p>
    <w:p w:rsidR="008070B7" w:rsidRDefault="00B113A2" w:rsidP="00B113A2">
      <w:pPr>
        <w:ind w:left="1134" w:hanging="1134"/>
        <w:rPr>
          <w:bCs/>
        </w:rPr>
      </w:pPr>
      <w:r>
        <w:rPr>
          <w:bCs/>
        </w:rPr>
        <w:tab/>
      </w:r>
      <w:r w:rsidR="008070B7">
        <w:rPr>
          <w:bCs/>
        </w:rPr>
        <w:t>Les IMT sont</w:t>
      </w:r>
      <w:r w:rsidR="008070B7" w:rsidRPr="00B363B4">
        <w:rPr>
          <w:bCs/>
        </w:rPr>
        <w:t xml:space="preserve"> elles aussi autorisées à utiliser cette bande de fréquences</w:t>
      </w:r>
      <w:r w:rsidR="008070B7">
        <w:rPr>
          <w:bCs/>
        </w:rPr>
        <w:t xml:space="preserve"> conformément au renvoi</w:t>
      </w:r>
      <w:r w:rsidR="008070B7" w:rsidRPr="00B363B4">
        <w:rPr>
          <w:bCs/>
        </w:rPr>
        <w:t> </w:t>
      </w:r>
      <w:r w:rsidR="008070B7" w:rsidRPr="00F1546C">
        <w:rPr>
          <w:b/>
        </w:rPr>
        <w:t>5.286AA</w:t>
      </w:r>
      <w:r w:rsidR="008070B7" w:rsidRPr="00B363B4">
        <w:rPr>
          <w:bCs/>
        </w:rPr>
        <w:t xml:space="preserve"> du Règlement des radiocommunications et pourraient être</w:t>
      </w:r>
      <w:r w:rsidR="008070B7">
        <w:rPr>
          <w:bCs/>
        </w:rPr>
        <w:t xml:space="preserve"> </w:t>
      </w:r>
      <w:r w:rsidR="008070B7" w:rsidRPr="00B363B4">
        <w:rPr>
          <w:bCs/>
        </w:rPr>
        <w:t xml:space="preserve">à </w:t>
      </w:r>
      <w:r w:rsidR="008070B7">
        <w:rPr>
          <w:bCs/>
        </w:rPr>
        <w:t xml:space="preserve">terme </w:t>
      </w:r>
      <w:r w:rsidR="008070B7" w:rsidRPr="00B363B4">
        <w:rPr>
          <w:bCs/>
        </w:rPr>
        <w:t>une</w:t>
      </w:r>
      <w:r w:rsidR="008070B7">
        <w:rPr>
          <w:bCs/>
        </w:rPr>
        <w:t xml:space="preserve"> </w:t>
      </w:r>
      <w:r w:rsidR="008070B7" w:rsidRPr="00B363B4">
        <w:rPr>
          <w:bCs/>
        </w:rPr>
        <w:t xml:space="preserve">source de </w:t>
      </w:r>
      <w:r w:rsidR="008070B7" w:rsidRPr="00792C02">
        <w:rPr>
          <w:bCs/>
        </w:rPr>
        <w:t>brouillage</w:t>
      </w:r>
      <w:r w:rsidR="008070B7" w:rsidRPr="00B363B4">
        <w:rPr>
          <w:bCs/>
        </w:rPr>
        <w:t>.</w:t>
      </w:r>
    </w:p>
    <w:p w:rsidR="008070B7" w:rsidRPr="00B363B4" w:rsidRDefault="00B113A2" w:rsidP="008070B7">
      <w:pPr>
        <w:pStyle w:val="Headingb"/>
      </w:pPr>
      <w:r>
        <w:tab/>
      </w:r>
      <w:r w:rsidR="008070B7">
        <w:t>P</w:t>
      </w:r>
      <w:r w:rsidR="008070B7" w:rsidRPr="00B363B4">
        <w:t>osition de l</w:t>
      </w:r>
      <w:r w:rsidR="00EB627B">
        <w:t>'</w:t>
      </w:r>
      <w:r w:rsidR="008070B7" w:rsidRPr="00B363B4">
        <w:t>OMI</w:t>
      </w:r>
    </w:p>
    <w:p w:rsidR="008070B7" w:rsidRPr="00B363B4" w:rsidRDefault="00B113A2" w:rsidP="00B113A2">
      <w:pPr>
        <w:ind w:left="1134" w:hanging="1134"/>
      </w:pPr>
      <w:r>
        <w:tab/>
      </w:r>
      <w:r w:rsidR="008070B7" w:rsidRPr="00B363B4">
        <w:t>L</w:t>
      </w:r>
      <w:r w:rsidR="00EB627B">
        <w:t>'</w:t>
      </w:r>
      <w:r w:rsidR="008070B7" w:rsidRPr="00B363B4">
        <w:t>OMI appuie de</w:t>
      </w:r>
      <w:r w:rsidR="008070B7">
        <w:t>s</w:t>
      </w:r>
      <w:r w:rsidR="008070B7" w:rsidRPr="00B363B4">
        <w:t xml:space="preserve"> mesures qui </w:t>
      </w:r>
      <w:r w:rsidR="008070B7">
        <w:t>permett</w:t>
      </w:r>
      <w:r w:rsidR="008070B7" w:rsidRPr="00B363B4">
        <w:t xml:space="preserve">raient </w:t>
      </w:r>
      <w:r w:rsidR="008070B7">
        <w:t>d</w:t>
      </w:r>
      <w:r w:rsidR="00EB627B">
        <w:t>'</w:t>
      </w:r>
      <w:r w:rsidR="008070B7">
        <w:t xml:space="preserve">utiliser plus efficacement </w:t>
      </w:r>
      <w:r w:rsidR="008070B7" w:rsidRPr="00B363B4">
        <w:t>la bande de fréquences disponible pour les systèmes de bord et accueillerait avec satisfaction une solution internationale pour l</w:t>
      </w:r>
      <w:r w:rsidR="00EB627B">
        <w:t>'</w:t>
      </w:r>
      <w:r w:rsidR="008070B7" w:rsidRPr="00B363B4">
        <w:t xml:space="preserve">identification des canaux </w:t>
      </w:r>
      <w:r w:rsidR="008070B7">
        <w:t>énumérés dans le renvoi </w:t>
      </w:r>
      <w:r w:rsidR="008070B7" w:rsidRPr="003A0F5D">
        <w:rPr>
          <w:b/>
          <w:bCs/>
        </w:rPr>
        <w:t>5.287</w:t>
      </w:r>
      <w:r w:rsidR="008070B7" w:rsidRPr="00B363B4">
        <w:t xml:space="preserve"> du Règlement des radiocommunications. </w:t>
      </w:r>
    </w:p>
    <w:p w:rsidR="008070B7" w:rsidRPr="00B363B4" w:rsidRDefault="008070B7" w:rsidP="008070B7">
      <w:pPr>
        <w:pStyle w:val="Headingb"/>
      </w:pPr>
      <w:r w:rsidRPr="00B363B4">
        <w:t>Point 1.16 de l</w:t>
      </w:r>
      <w:r w:rsidR="00EB627B">
        <w:t>'</w:t>
      </w:r>
      <w:r w:rsidRPr="00B363B4">
        <w:t>ordre du jour</w:t>
      </w:r>
    </w:p>
    <w:p w:rsidR="008070B7" w:rsidRPr="00B113A2" w:rsidRDefault="008070B7" w:rsidP="008070B7">
      <w:pPr>
        <w:rPr>
          <w:bCs/>
        </w:rPr>
      </w:pPr>
      <w:r w:rsidRPr="00B113A2">
        <w:rPr>
          <w:bCs/>
        </w:rPr>
        <w:t>1.16</w:t>
      </w:r>
      <w:r w:rsidRPr="00B113A2">
        <w:rPr>
          <w:bCs/>
        </w:rPr>
        <w:tab/>
        <w:t>envisager les dispositions réglementaires et les attributions de fréquence nécessaires pour rendre possible de nouvelles applications reposant sur la technologie AIS (système d</w:t>
      </w:r>
      <w:r w:rsidR="00EB627B">
        <w:rPr>
          <w:bCs/>
        </w:rPr>
        <w:t>'</w:t>
      </w:r>
      <w:r w:rsidRPr="00B113A2">
        <w:rPr>
          <w:bCs/>
        </w:rPr>
        <w:t>identification automatique) et de nouvelles applications visant à améliorer les radiocommunications maritimes conformément à la Résolution </w:t>
      </w:r>
      <w:r w:rsidRPr="00B113A2">
        <w:rPr>
          <w:b/>
          <w:bCs/>
        </w:rPr>
        <w:t>360</w:t>
      </w:r>
      <w:r w:rsidRPr="00B113A2">
        <w:rPr>
          <w:bCs/>
        </w:rPr>
        <w:t xml:space="preserve"> </w:t>
      </w:r>
      <w:r w:rsidRPr="00B113A2">
        <w:rPr>
          <w:b/>
          <w:bCs/>
        </w:rPr>
        <w:t>(CMR</w:t>
      </w:r>
      <w:r w:rsidRPr="00B113A2">
        <w:rPr>
          <w:b/>
          <w:bCs/>
        </w:rPr>
        <w:noBreakHyphen/>
        <w:t>12)</w:t>
      </w:r>
      <w:r w:rsidRPr="00B113A2">
        <w:rPr>
          <w:bCs/>
        </w:rPr>
        <w:t>;</w:t>
      </w:r>
    </w:p>
    <w:p w:rsidR="008070B7" w:rsidRPr="00B363B4" w:rsidRDefault="00B113A2" w:rsidP="008070B7">
      <w:pPr>
        <w:pStyle w:val="Headingb"/>
      </w:pPr>
      <w:r>
        <w:lastRenderedPageBreak/>
        <w:tab/>
      </w:r>
      <w:r w:rsidR="008070B7">
        <w:t>Rappel</w:t>
      </w:r>
    </w:p>
    <w:p w:rsidR="008070B7" w:rsidRPr="00B363B4" w:rsidRDefault="00B113A2" w:rsidP="00B113A2">
      <w:pPr>
        <w:ind w:left="1134" w:hanging="1134"/>
        <w:rPr>
          <w:bCs/>
        </w:rPr>
      </w:pPr>
      <w:r>
        <w:rPr>
          <w:bCs/>
        </w:rPr>
        <w:tab/>
      </w:r>
      <w:r w:rsidR="008070B7" w:rsidRPr="00B363B4">
        <w:rPr>
          <w:bCs/>
        </w:rPr>
        <w:t>L</w:t>
      </w:r>
      <w:r w:rsidR="008070B7">
        <w:rPr>
          <w:bCs/>
        </w:rPr>
        <w:t xml:space="preserve">a technologie </w:t>
      </w:r>
      <w:r w:rsidR="008070B7" w:rsidRPr="00B363B4">
        <w:rPr>
          <w:bCs/>
        </w:rPr>
        <w:t>AIS est largement utilisé</w:t>
      </w:r>
      <w:r w:rsidR="008070B7">
        <w:rPr>
          <w:bCs/>
        </w:rPr>
        <w:t>e</w:t>
      </w:r>
      <w:r w:rsidR="008070B7" w:rsidRPr="00B363B4">
        <w:rPr>
          <w:bCs/>
        </w:rPr>
        <w:t xml:space="preserve"> et accepté</w:t>
      </w:r>
      <w:r w:rsidR="008070B7">
        <w:rPr>
          <w:bCs/>
        </w:rPr>
        <w:t>e</w:t>
      </w:r>
      <w:r w:rsidR="008070B7" w:rsidRPr="00B363B4">
        <w:rPr>
          <w:bCs/>
        </w:rPr>
        <w:t xml:space="preserve"> pour la navigation mais, dans certaines </w:t>
      </w:r>
      <w:r w:rsidR="008070B7">
        <w:rPr>
          <w:bCs/>
        </w:rPr>
        <w:t xml:space="preserve">régions du monde, les canaux </w:t>
      </w:r>
      <w:r w:rsidR="008070B7" w:rsidRPr="00B363B4">
        <w:rPr>
          <w:bCs/>
        </w:rPr>
        <w:t>ont</w:t>
      </w:r>
      <w:r w:rsidR="008070B7">
        <w:rPr>
          <w:bCs/>
        </w:rPr>
        <w:t xml:space="preserve"> atteint</w:t>
      </w:r>
      <w:r w:rsidR="008070B7" w:rsidRPr="00B363B4">
        <w:rPr>
          <w:bCs/>
        </w:rPr>
        <w:t xml:space="preserve"> la limite de leur capacité</w:t>
      </w:r>
      <w:r w:rsidR="008070B7">
        <w:rPr>
          <w:bCs/>
        </w:rPr>
        <w:t>,</w:t>
      </w:r>
      <w:r w:rsidR="008070B7" w:rsidRPr="00B363B4">
        <w:rPr>
          <w:bCs/>
        </w:rPr>
        <w:t xml:space="preserve"> en raison de la mise en place de nouvelles applications. </w:t>
      </w:r>
      <w:r w:rsidR="008070B7">
        <w:rPr>
          <w:bCs/>
        </w:rPr>
        <w:t>La</w:t>
      </w:r>
      <w:r w:rsidR="008070B7" w:rsidRPr="00B363B4">
        <w:rPr>
          <w:bCs/>
        </w:rPr>
        <w:t xml:space="preserve"> mise en </w:t>
      </w:r>
      <w:r w:rsidR="008070B7">
        <w:rPr>
          <w:bCs/>
        </w:rPr>
        <w:t xml:space="preserve">oeuvre </w:t>
      </w:r>
      <w:r w:rsidR="008070B7" w:rsidRPr="00B363B4">
        <w:rPr>
          <w:bCs/>
        </w:rPr>
        <w:t>continu</w:t>
      </w:r>
      <w:r w:rsidR="008070B7">
        <w:rPr>
          <w:bCs/>
        </w:rPr>
        <w:t xml:space="preserve">e de nouvelles applications et le nombre croissant de dispositifs </w:t>
      </w:r>
      <w:r w:rsidR="008070B7" w:rsidRPr="00B363B4">
        <w:rPr>
          <w:bCs/>
        </w:rPr>
        <w:t>AIS</w:t>
      </w:r>
      <w:r w:rsidR="008070B7">
        <w:rPr>
          <w:bCs/>
        </w:rPr>
        <w:t xml:space="preserve">, par exemple pour la pêche et les </w:t>
      </w:r>
      <w:r w:rsidR="008070B7">
        <w:rPr>
          <w:color w:val="000000"/>
        </w:rPr>
        <w:t>activités de loisirs,</w:t>
      </w:r>
      <w:r w:rsidR="008070B7">
        <w:rPr>
          <w:bCs/>
        </w:rPr>
        <w:t xml:space="preserve"> nécessit</w:t>
      </w:r>
      <w:r>
        <w:rPr>
          <w:bCs/>
        </w:rPr>
        <w:t>eront</w:t>
      </w:r>
      <w:r w:rsidR="008070B7" w:rsidRPr="00B363B4">
        <w:rPr>
          <w:bCs/>
        </w:rPr>
        <w:t xml:space="preserve"> l</w:t>
      </w:r>
      <w:r w:rsidR="00EB627B">
        <w:rPr>
          <w:bCs/>
        </w:rPr>
        <w:t>'</w:t>
      </w:r>
      <w:r w:rsidR="008070B7" w:rsidRPr="00B363B4">
        <w:rPr>
          <w:bCs/>
        </w:rPr>
        <w:t>utilisation de nouveaux canaux</w:t>
      </w:r>
      <w:r w:rsidR="008070B7">
        <w:rPr>
          <w:bCs/>
        </w:rPr>
        <w:t>,</w:t>
      </w:r>
      <w:r w:rsidR="008070B7" w:rsidRPr="00B363B4">
        <w:rPr>
          <w:bCs/>
        </w:rPr>
        <w:t xml:space="preserve"> que la CMR</w:t>
      </w:r>
      <w:r w:rsidR="008070B7">
        <w:rPr>
          <w:bCs/>
        </w:rPr>
        <w:noBreakHyphen/>
      </w:r>
      <w:r w:rsidR="008070B7" w:rsidRPr="00B363B4">
        <w:rPr>
          <w:bCs/>
        </w:rPr>
        <w:t xml:space="preserve">12 a rendus disponibles à des fins expérimentales. </w:t>
      </w:r>
    </w:p>
    <w:p w:rsidR="008070B7" w:rsidRPr="00B363B4" w:rsidRDefault="00B113A2" w:rsidP="00B113A2">
      <w:pPr>
        <w:ind w:left="1134" w:hanging="1134"/>
        <w:rPr>
          <w:bCs/>
        </w:rPr>
      </w:pPr>
      <w:r>
        <w:rPr>
          <w:bCs/>
        </w:rPr>
        <w:tab/>
      </w:r>
      <w:r w:rsidR="008070B7">
        <w:rPr>
          <w:bCs/>
        </w:rPr>
        <w:t>Il est de plus en plus nécessaire</w:t>
      </w:r>
      <w:r w:rsidR="008070B7" w:rsidRPr="00B363B4">
        <w:rPr>
          <w:bCs/>
        </w:rPr>
        <w:t xml:space="preserve"> d</w:t>
      </w:r>
      <w:r w:rsidR="00EB627B">
        <w:rPr>
          <w:bCs/>
        </w:rPr>
        <w:t>'</w:t>
      </w:r>
      <w:r w:rsidR="008070B7" w:rsidRPr="00B363B4">
        <w:rPr>
          <w:bCs/>
        </w:rPr>
        <w:t xml:space="preserve">échanger des informations numériques </w:t>
      </w:r>
      <w:r w:rsidR="008070B7">
        <w:rPr>
          <w:bCs/>
        </w:rPr>
        <w:t xml:space="preserve">(VDE) </w:t>
      </w:r>
      <w:r w:rsidR="008070B7" w:rsidRPr="00B363B4">
        <w:rPr>
          <w:bCs/>
        </w:rPr>
        <w:t>dans le domaine maritime, où la bande</w:t>
      </w:r>
      <w:r w:rsidR="008070B7">
        <w:rPr>
          <w:bCs/>
        </w:rPr>
        <w:t xml:space="preserve"> d</w:t>
      </w:r>
      <w:r w:rsidR="00EB627B">
        <w:rPr>
          <w:bCs/>
        </w:rPr>
        <w:t>'</w:t>
      </w:r>
      <w:r w:rsidR="008070B7">
        <w:rPr>
          <w:bCs/>
        </w:rPr>
        <w:t xml:space="preserve">ondes métriques attribuée au </w:t>
      </w:r>
      <w:r w:rsidR="008070B7" w:rsidRPr="00B363B4">
        <w:rPr>
          <w:bCs/>
        </w:rPr>
        <w:t>service mobile joue un rôle primordial dans les communications entre navires et entre navires et installations côtières.</w:t>
      </w:r>
    </w:p>
    <w:p w:rsidR="008070B7" w:rsidRPr="00B363B4" w:rsidRDefault="00B113A2" w:rsidP="00B113A2">
      <w:pPr>
        <w:ind w:left="1134" w:hanging="1134"/>
        <w:rPr>
          <w:bCs/>
        </w:rPr>
      </w:pPr>
      <w:r>
        <w:rPr>
          <w:rFonts w:cs="Arial"/>
        </w:rPr>
        <w:tab/>
      </w:r>
      <w:r w:rsidR="008070B7" w:rsidRPr="00B363B4">
        <w:rPr>
          <w:rFonts w:cs="Arial"/>
        </w:rPr>
        <w:t xml:space="preserve">Une étude </w:t>
      </w:r>
      <w:r w:rsidR="008070B7">
        <w:rPr>
          <w:rFonts w:cs="Arial"/>
        </w:rPr>
        <w:t>effectu</w:t>
      </w:r>
      <w:r w:rsidR="008070B7" w:rsidRPr="00B363B4">
        <w:rPr>
          <w:rFonts w:cs="Arial"/>
        </w:rPr>
        <w:t>ée en 2008 dans la</w:t>
      </w:r>
      <w:r w:rsidR="008070B7">
        <w:rPr>
          <w:rFonts w:cs="Arial"/>
        </w:rPr>
        <w:t xml:space="preserve"> région</w:t>
      </w:r>
      <w:r w:rsidR="008070B7" w:rsidRPr="00B363B4">
        <w:rPr>
          <w:rFonts w:cs="Arial"/>
        </w:rPr>
        <w:t xml:space="preserve"> de la baie de</w:t>
      </w:r>
      <w:r w:rsidR="008070B7">
        <w:rPr>
          <w:rFonts w:cs="Arial"/>
        </w:rPr>
        <w:t xml:space="preserve"> Tokyo (Tokyo Wan) a montré que </w:t>
      </w:r>
      <w:r w:rsidR="008070B7" w:rsidRPr="00B363B4">
        <w:rPr>
          <w:rFonts w:cs="Arial"/>
        </w:rPr>
        <w:t>27,4</w:t>
      </w:r>
      <w:r w:rsidR="008070B7">
        <w:rPr>
          <w:rFonts w:cs="Arial"/>
        </w:rPr>
        <w:t>%</w:t>
      </w:r>
      <w:r w:rsidR="008070B7" w:rsidRPr="00B363B4">
        <w:rPr>
          <w:rFonts w:cs="Arial"/>
        </w:rPr>
        <w:t xml:space="preserve"> des </w:t>
      </w:r>
      <w:r w:rsidR="008070B7">
        <w:rPr>
          <w:rFonts w:cs="Arial"/>
        </w:rPr>
        <w:t>intervalles</w:t>
      </w:r>
      <w:r w:rsidR="008070B7" w:rsidRPr="00B363B4">
        <w:rPr>
          <w:rFonts w:cs="Arial"/>
        </w:rPr>
        <w:t xml:space="preserve"> AIS étaient utilisés. En 2012, </w:t>
      </w:r>
      <w:r w:rsidR="008070B7">
        <w:rPr>
          <w:rFonts w:cs="Arial"/>
        </w:rPr>
        <w:t>la</w:t>
      </w:r>
      <w:r w:rsidR="008070B7" w:rsidRPr="00B363B4">
        <w:rPr>
          <w:rFonts w:cs="Arial"/>
        </w:rPr>
        <w:t xml:space="preserve"> charge</w:t>
      </w:r>
      <w:r w:rsidR="008070B7">
        <w:rPr>
          <w:rFonts w:cs="Arial"/>
        </w:rPr>
        <w:t xml:space="preserve"> atteignait</w:t>
      </w:r>
      <w:r w:rsidR="008070B7" w:rsidRPr="00B363B4">
        <w:rPr>
          <w:rFonts w:cs="Arial"/>
        </w:rPr>
        <w:t> 38</w:t>
      </w:r>
      <w:r w:rsidR="008070B7">
        <w:rPr>
          <w:rFonts w:cs="Arial"/>
        </w:rPr>
        <w:t>%</w:t>
      </w:r>
      <w:r w:rsidR="008070B7" w:rsidRPr="00B363B4">
        <w:rPr>
          <w:rFonts w:cs="Arial"/>
        </w:rPr>
        <w:t>. Cette augmentation de 10</w:t>
      </w:r>
      <w:r w:rsidR="008070B7">
        <w:rPr>
          <w:rFonts w:cs="Arial"/>
        </w:rPr>
        <w:t>%</w:t>
      </w:r>
      <w:r w:rsidR="008070B7" w:rsidRPr="00B363B4">
        <w:rPr>
          <w:rFonts w:cs="Arial"/>
        </w:rPr>
        <w:t xml:space="preserve"> en quatre ans montre qu</w:t>
      </w:r>
      <w:r w:rsidR="00EB627B">
        <w:rPr>
          <w:rFonts w:cs="Arial"/>
        </w:rPr>
        <w:t>'</w:t>
      </w:r>
      <w:r w:rsidR="008070B7">
        <w:rPr>
          <w:rFonts w:cs="Arial"/>
        </w:rPr>
        <w:t xml:space="preserve">au Japon, le seuil </w:t>
      </w:r>
      <w:r w:rsidR="008070B7" w:rsidRPr="00B363B4">
        <w:rPr>
          <w:rFonts w:cs="Arial"/>
        </w:rPr>
        <w:t>limite de 50</w:t>
      </w:r>
      <w:r w:rsidR="008070B7">
        <w:rPr>
          <w:rFonts w:cs="Arial"/>
        </w:rPr>
        <w:t>%</w:t>
      </w:r>
      <w:r w:rsidR="008070B7" w:rsidRPr="00B363B4">
        <w:rPr>
          <w:rFonts w:cs="Arial"/>
        </w:rPr>
        <w:t xml:space="preserve"> </w:t>
      </w:r>
      <w:r w:rsidR="008070B7">
        <w:rPr>
          <w:rFonts w:cs="Arial"/>
        </w:rPr>
        <w:t>indiqué dans</w:t>
      </w:r>
      <w:r w:rsidR="008070B7" w:rsidRPr="00B363B4">
        <w:rPr>
          <w:rFonts w:cs="Arial"/>
        </w:rPr>
        <w:t xml:space="preserve"> l</w:t>
      </w:r>
      <w:r w:rsidR="00EB627B">
        <w:rPr>
          <w:rFonts w:cs="Arial"/>
        </w:rPr>
        <w:t>'</w:t>
      </w:r>
      <w:r w:rsidR="008070B7" w:rsidRPr="00B363B4">
        <w:rPr>
          <w:rFonts w:cs="Arial"/>
        </w:rPr>
        <w:t>Appendice </w:t>
      </w:r>
      <w:r w:rsidR="008070B7" w:rsidRPr="00E17C02">
        <w:rPr>
          <w:rFonts w:cs="Arial"/>
          <w:b/>
          <w:bCs/>
        </w:rPr>
        <w:t>18</w:t>
      </w:r>
      <w:r w:rsidR="008070B7" w:rsidRPr="00B363B4">
        <w:rPr>
          <w:rFonts w:cs="Arial"/>
        </w:rPr>
        <w:t xml:space="preserve"> de la Recommandation A</w:t>
      </w:r>
      <w:r w:rsidR="008070B7">
        <w:rPr>
          <w:rFonts w:cs="Arial"/>
        </w:rPr>
        <w:noBreakHyphen/>
      </w:r>
      <w:r w:rsidR="008070B7" w:rsidRPr="00B363B4">
        <w:rPr>
          <w:rFonts w:cs="Arial"/>
        </w:rPr>
        <w:t>124 de l</w:t>
      </w:r>
      <w:r w:rsidR="00EB627B">
        <w:rPr>
          <w:rFonts w:cs="Arial"/>
        </w:rPr>
        <w:t>'</w:t>
      </w:r>
      <w:r w:rsidR="008070B7" w:rsidRPr="00B363B4">
        <w:rPr>
          <w:rFonts w:cs="Arial"/>
        </w:rPr>
        <w:t>AISM (</w:t>
      </w:r>
      <w:r>
        <w:rPr>
          <w:rFonts w:cs="Arial"/>
        </w:rPr>
        <w:t>«</w:t>
      </w:r>
      <w:r w:rsidR="008070B7">
        <w:rPr>
          <w:rFonts w:cs="Arial"/>
        </w:rPr>
        <w:t>Gestion de la charge de la livraison VDL</w:t>
      </w:r>
      <w:r>
        <w:rPr>
          <w:rFonts w:cs="Arial"/>
        </w:rPr>
        <w:t>»</w:t>
      </w:r>
      <w:r w:rsidR="008070B7" w:rsidRPr="00B363B4">
        <w:rPr>
          <w:rFonts w:cs="Arial"/>
        </w:rPr>
        <w:t>) pourrait être rapidement atteint.</w:t>
      </w:r>
    </w:p>
    <w:p w:rsidR="008070B7" w:rsidRPr="00B363B4" w:rsidRDefault="00B113A2" w:rsidP="008070B7">
      <w:pPr>
        <w:pStyle w:val="Headingb"/>
      </w:pPr>
      <w:r>
        <w:tab/>
      </w:r>
      <w:r w:rsidR="008070B7">
        <w:t>P</w:t>
      </w:r>
      <w:r w:rsidR="008070B7" w:rsidRPr="00B363B4">
        <w:t>osition de l</w:t>
      </w:r>
      <w:r w:rsidR="00EB627B">
        <w:t>'</w:t>
      </w:r>
      <w:r w:rsidR="008070B7" w:rsidRPr="00B363B4">
        <w:t>OMI</w:t>
      </w:r>
    </w:p>
    <w:p w:rsidR="008070B7" w:rsidRPr="00B363B4" w:rsidRDefault="00B113A2" w:rsidP="00B113A2">
      <w:pPr>
        <w:ind w:left="1134" w:hanging="1134"/>
        <w:rPr>
          <w:bCs/>
        </w:rPr>
      </w:pPr>
      <w:r>
        <w:rPr>
          <w:bCs/>
        </w:rPr>
        <w:tab/>
      </w:r>
      <w:r w:rsidR="008070B7">
        <w:rPr>
          <w:bCs/>
        </w:rPr>
        <w:t>Il n</w:t>
      </w:r>
      <w:r w:rsidR="00EB627B">
        <w:rPr>
          <w:bCs/>
        </w:rPr>
        <w:t>'</w:t>
      </w:r>
      <w:r w:rsidR="008070B7">
        <w:rPr>
          <w:bCs/>
        </w:rPr>
        <w:t xml:space="preserve">y a pas lieu de demander que des </w:t>
      </w:r>
      <w:r w:rsidR="008070B7" w:rsidRPr="00B363B4">
        <w:rPr>
          <w:bCs/>
        </w:rPr>
        <w:t>modification</w:t>
      </w:r>
      <w:r w:rsidR="008070B7">
        <w:rPr>
          <w:bCs/>
        </w:rPr>
        <w:t>s</w:t>
      </w:r>
      <w:r w:rsidR="008070B7" w:rsidRPr="00B363B4">
        <w:rPr>
          <w:bCs/>
        </w:rPr>
        <w:t xml:space="preserve"> </w:t>
      </w:r>
      <w:r w:rsidR="008070B7">
        <w:rPr>
          <w:bCs/>
        </w:rPr>
        <w:t xml:space="preserve">soient apportées aux équipements </w:t>
      </w:r>
      <w:r w:rsidR="008070B7" w:rsidRPr="00B363B4">
        <w:rPr>
          <w:bCs/>
        </w:rPr>
        <w:t xml:space="preserve">AIS </w:t>
      </w:r>
      <w:r w:rsidR="008070B7">
        <w:rPr>
          <w:bCs/>
        </w:rPr>
        <w:t xml:space="preserve">existants </w:t>
      </w:r>
      <w:r w:rsidR="008070B7" w:rsidRPr="00B363B4">
        <w:rPr>
          <w:bCs/>
        </w:rPr>
        <w:t>installé</w:t>
      </w:r>
      <w:r w:rsidR="008070B7">
        <w:rPr>
          <w:bCs/>
        </w:rPr>
        <w:t>s</w:t>
      </w:r>
      <w:r w:rsidR="008070B7" w:rsidRPr="00B363B4">
        <w:rPr>
          <w:bCs/>
        </w:rPr>
        <w:t xml:space="preserve"> à bord de navire</w:t>
      </w:r>
      <w:r w:rsidR="008070B7">
        <w:rPr>
          <w:bCs/>
        </w:rPr>
        <w:t xml:space="preserve">s. Il convient de laisser évoluer les </w:t>
      </w:r>
      <w:r w:rsidR="008070B7" w:rsidRPr="00B363B4">
        <w:rPr>
          <w:bCs/>
        </w:rPr>
        <w:t>nouvelles applications</w:t>
      </w:r>
      <w:r w:rsidR="008070B7">
        <w:rPr>
          <w:bCs/>
        </w:rPr>
        <w:t xml:space="preserve"> utilisant</w:t>
      </w:r>
      <w:r w:rsidR="008070B7" w:rsidRPr="00B363B4">
        <w:rPr>
          <w:bCs/>
        </w:rPr>
        <w:t xml:space="preserve"> la technologie AIS en utilisant essentiellement, pour les communications, les nouvelles fréquences identifiées par la CMR</w:t>
      </w:r>
      <w:r w:rsidR="008070B7">
        <w:rPr>
          <w:bCs/>
        </w:rPr>
        <w:noBreakHyphen/>
      </w:r>
      <w:r w:rsidR="008070B7" w:rsidRPr="00B363B4">
        <w:rPr>
          <w:bCs/>
        </w:rPr>
        <w:t>12, tout en protégeant l</w:t>
      </w:r>
      <w:r w:rsidR="00EB627B">
        <w:rPr>
          <w:bCs/>
        </w:rPr>
        <w:t>'</w:t>
      </w:r>
      <w:r w:rsidR="008070B7" w:rsidRPr="00B363B4">
        <w:rPr>
          <w:bCs/>
        </w:rPr>
        <w:t>intégrité de l</w:t>
      </w:r>
      <w:r w:rsidR="00EB627B">
        <w:rPr>
          <w:bCs/>
        </w:rPr>
        <w:t>'</w:t>
      </w:r>
      <w:r w:rsidR="008070B7" w:rsidRPr="00B363B4">
        <w:rPr>
          <w:bCs/>
        </w:rPr>
        <w:t>o</w:t>
      </w:r>
      <w:r w:rsidR="008070B7">
        <w:rPr>
          <w:bCs/>
        </w:rPr>
        <w:t xml:space="preserve">bjectif opérationnel initial du système </w:t>
      </w:r>
      <w:r w:rsidR="008070B7" w:rsidRPr="00B363B4">
        <w:rPr>
          <w:bCs/>
        </w:rPr>
        <w:t>AIS sur les fréquences AIS existantes.</w:t>
      </w:r>
      <w:r w:rsidR="008070B7">
        <w:rPr>
          <w:bCs/>
        </w:rPr>
        <w:t xml:space="preserve"> Cela permettra de répondre en outre aux préoccupations exprimées précédemment au sujet de l</w:t>
      </w:r>
      <w:r w:rsidR="00EB627B">
        <w:rPr>
          <w:bCs/>
        </w:rPr>
        <w:t>'</w:t>
      </w:r>
      <w:r w:rsidR="008070B7">
        <w:rPr>
          <w:bCs/>
        </w:rPr>
        <w:t>encombrement, en faisant passer diverses applications sur d</w:t>
      </w:r>
      <w:r w:rsidR="00EB627B">
        <w:rPr>
          <w:bCs/>
        </w:rPr>
        <w:t>'</w:t>
      </w:r>
      <w:r w:rsidR="008070B7">
        <w:rPr>
          <w:bCs/>
        </w:rPr>
        <w:t>autres canaux de l</w:t>
      </w:r>
      <w:r w:rsidR="008070B7" w:rsidRPr="002D0664">
        <w:rPr>
          <w:bCs/>
        </w:rPr>
        <w:t>a bande</w:t>
      </w:r>
      <w:r w:rsidR="008070B7">
        <w:rPr>
          <w:bCs/>
        </w:rPr>
        <w:t xml:space="preserve"> d</w:t>
      </w:r>
      <w:r w:rsidR="00EB627B">
        <w:rPr>
          <w:bCs/>
        </w:rPr>
        <w:t>'</w:t>
      </w:r>
      <w:r w:rsidR="008070B7">
        <w:rPr>
          <w:bCs/>
        </w:rPr>
        <w:t xml:space="preserve">ondes métriques attribuée au </w:t>
      </w:r>
      <w:r w:rsidR="008070B7" w:rsidRPr="002D0664">
        <w:rPr>
          <w:bCs/>
        </w:rPr>
        <w:t>service mobile</w:t>
      </w:r>
      <w:r w:rsidR="008070B7">
        <w:rPr>
          <w:bCs/>
        </w:rPr>
        <w:t>.</w:t>
      </w:r>
    </w:p>
    <w:p w:rsidR="008070B7" w:rsidRPr="00B363B4" w:rsidRDefault="00B113A2" w:rsidP="00B113A2">
      <w:pPr>
        <w:ind w:left="1134" w:hanging="1134"/>
        <w:rPr>
          <w:bCs/>
        </w:rPr>
      </w:pPr>
      <w:r>
        <w:rPr>
          <w:bCs/>
        </w:rPr>
        <w:tab/>
      </w:r>
      <w:r w:rsidR="008070B7" w:rsidRPr="00B363B4">
        <w:rPr>
          <w:bCs/>
        </w:rPr>
        <w:t>L</w:t>
      </w:r>
      <w:r w:rsidR="00EB627B">
        <w:rPr>
          <w:bCs/>
        </w:rPr>
        <w:t>'</w:t>
      </w:r>
      <w:r w:rsidR="008070B7" w:rsidRPr="00B363B4">
        <w:rPr>
          <w:bCs/>
        </w:rPr>
        <w:t xml:space="preserve">OMI appuie le </w:t>
      </w:r>
      <w:r w:rsidR="008070B7">
        <w:rPr>
          <w:bCs/>
        </w:rPr>
        <w:t>concept de système d</w:t>
      </w:r>
      <w:r w:rsidR="00EB627B">
        <w:rPr>
          <w:bCs/>
        </w:rPr>
        <w:t>'</w:t>
      </w:r>
      <w:r w:rsidR="008070B7">
        <w:rPr>
          <w:bCs/>
        </w:rPr>
        <w:t>échange de données en ondes métriques (</w:t>
      </w:r>
      <w:r w:rsidR="008070B7" w:rsidRPr="00B363B4">
        <w:rPr>
          <w:bCs/>
        </w:rPr>
        <w:t>VDES</w:t>
      </w:r>
      <w:r w:rsidR="008070B7">
        <w:rPr>
          <w:bCs/>
        </w:rPr>
        <w:t>)</w:t>
      </w:r>
      <w:r w:rsidR="008070B7" w:rsidRPr="00B363B4">
        <w:rPr>
          <w:bCs/>
        </w:rPr>
        <w:t>, sans pour autant s</w:t>
      </w:r>
      <w:r w:rsidR="00EB627B">
        <w:rPr>
          <w:bCs/>
        </w:rPr>
        <w:t>'</w:t>
      </w:r>
      <w:r w:rsidR="008070B7" w:rsidRPr="00B363B4">
        <w:rPr>
          <w:bCs/>
        </w:rPr>
        <w:t>engager au sujet des futures prescriptions applicables à l</w:t>
      </w:r>
      <w:r w:rsidR="00EB627B">
        <w:rPr>
          <w:bCs/>
        </w:rPr>
        <w:t>'</w:t>
      </w:r>
      <w:r w:rsidR="008070B7" w:rsidRPr="00B363B4">
        <w:rPr>
          <w:bCs/>
        </w:rPr>
        <w:t xml:space="preserve">utilisation de la bande </w:t>
      </w:r>
      <w:r w:rsidR="008070B7">
        <w:rPr>
          <w:bCs/>
        </w:rPr>
        <w:t>d</w:t>
      </w:r>
      <w:r w:rsidR="00EB627B">
        <w:rPr>
          <w:bCs/>
        </w:rPr>
        <w:t>'</w:t>
      </w:r>
      <w:r w:rsidR="008070B7">
        <w:rPr>
          <w:bCs/>
        </w:rPr>
        <w:t>ondes métriques</w:t>
      </w:r>
      <w:r w:rsidR="008070B7" w:rsidRPr="00B363B4">
        <w:rPr>
          <w:bCs/>
        </w:rPr>
        <w:t>.</w:t>
      </w:r>
    </w:p>
    <w:p w:rsidR="008070B7" w:rsidRPr="00B363B4" w:rsidRDefault="008070B7" w:rsidP="008070B7">
      <w:pPr>
        <w:pStyle w:val="Headingb"/>
      </w:pPr>
      <w:r w:rsidRPr="00B363B4">
        <w:t>Point 2 de l</w:t>
      </w:r>
      <w:r w:rsidR="00EB627B">
        <w:t>'</w:t>
      </w:r>
      <w:r w:rsidRPr="00B363B4">
        <w:t>ordre du jour</w:t>
      </w:r>
    </w:p>
    <w:p w:rsidR="008070B7" w:rsidRPr="00B113A2" w:rsidRDefault="008070B7" w:rsidP="008070B7">
      <w:pPr>
        <w:rPr>
          <w:bCs/>
        </w:rPr>
      </w:pPr>
      <w:r w:rsidRPr="00B113A2">
        <w:rPr>
          <w:bCs/>
        </w:rPr>
        <w:t>2</w:t>
      </w:r>
      <w:r w:rsidRPr="00B113A2">
        <w:rPr>
          <w:bCs/>
        </w:rPr>
        <w:tab/>
        <w:t>examiner les Recommandations UIT</w:t>
      </w:r>
      <w:r w:rsidRPr="00B113A2">
        <w:rPr>
          <w:bCs/>
        </w:rPr>
        <w:noBreakHyphen/>
        <w:t>R révisées et incorporées par référence dans le Règlement des radiocommunications, communiquées par l</w:t>
      </w:r>
      <w:r w:rsidR="00EB627B">
        <w:rPr>
          <w:bCs/>
        </w:rPr>
        <w:t>'</w:t>
      </w:r>
      <w:r w:rsidRPr="00B113A2">
        <w:rPr>
          <w:bCs/>
        </w:rPr>
        <w:t>Assemblée des radiocommunications conformément à la Résolution </w:t>
      </w:r>
      <w:r w:rsidRPr="00B113A2">
        <w:rPr>
          <w:b/>
          <w:bCs/>
        </w:rPr>
        <w:t>28</w:t>
      </w:r>
      <w:r w:rsidRPr="00B113A2">
        <w:rPr>
          <w:bCs/>
        </w:rPr>
        <w:t xml:space="preserve"> </w:t>
      </w:r>
      <w:r w:rsidRPr="00B113A2">
        <w:rPr>
          <w:b/>
          <w:bCs/>
        </w:rPr>
        <w:t>(Rév.CMR</w:t>
      </w:r>
      <w:r w:rsidRPr="00B113A2">
        <w:rPr>
          <w:b/>
          <w:bCs/>
        </w:rPr>
        <w:noBreakHyphen/>
        <w:t>03)</w:t>
      </w:r>
      <w:r w:rsidRPr="00B113A2">
        <w:rPr>
          <w:bCs/>
        </w:rPr>
        <w:t>,</w:t>
      </w:r>
      <w:r w:rsidRPr="00B113A2">
        <w:rPr>
          <w:b/>
          <w:bCs/>
        </w:rPr>
        <w:t xml:space="preserve"> </w:t>
      </w:r>
      <w:r w:rsidRPr="00B113A2">
        <w:rPr>
          <w:bCs/>
        </w:rPr>
        <w:t>et décider s</w:t>
      </w:r>
      <w:r w:rsidR="00EB627B">
        <w:rPr>
          <w:bCs/>
        </w:rPr>
        <w:t>'</w:t>
      </w:r>
      <w:r w:rsidRPr="00B113A2">
        <w:rPr>
          <w:bCs/>
        </w:rPr>
        <w:t>il convient ou non de mettre à jour les références correspondantes dans le Règlement des radiocommunications, conformément aux principes énoncés dans l</w:t>
      </w:r>
      <w:r w:rsidR="00EB627B">
        <w:rPr>
          <w:bCs/>
        </w:rPr>
        <w:t>'</w:t>
      </w:r>
      <w:r w:rsidRPr="00B113A2">
        <w:rPr>
          <w:bCs/>
        </w:rPr>
        <w:t>Annexe 1 de la Résolution </w:t>
      </w:r>
      <w:r w:rsidRPr="00B113A2">
        <w:rPr>
          <w:b/>
          <w:bCs/>
        </w:rPr>
        <w:t>27</w:t>
      </w:r>
      <w:r w:rsidRPr="00B113A2">
        <w:rPr>
          <w:bCs/>
        </w:rPr>
        <w:t xml:space="preserve"> </w:t>
      </w:r>
      <w:r w:rsidRPr="00B113A2">
        <w:rPr>
          <w:b/>
          <w:bCs/>
        </w:rPr>
        <w:t>(Rév.CMR</w:t>
      </w:r>
      <w:r w:rsidRPr="00B113A2">
        <w:rPr>
          <w:b/>
          <w:bCs/>
        </w:rPr>
        <w:noBreakHyphen/>
        <w:t>12)</w:t>
      </w:r>
      <w:r w:rsidRPr="00B113A2">
        <w:rPr>
          <w:bCs/>
        </w:rPr>
        <w:t>;</w:t>
      </w:r>
    </w:p>
    <w:p w:rsidR="008070B7" w:rsidRPr="00B363B4" w:rsidRDefault="00B113A2" w:rsidP="008070B7">
      <w:pPr>
        <w:pStyle w:val="Headingb"/>
      </w:pPr>
      <w:r>
        <w:tab/>
      </w:r>
      <w:r w:rsidR="008070B7">
        <w:t>Rappel</w:t>
      </w:r>
    </w:p>
    <w:p w:rsidR="008070B7" w:rsidRPr="00B363B4" w:rsidRDefault="00B113A2" w:rsidP="00B113A2">
      <w:pPr>
        <w:ind w:left="1134" w:hanging="1134"/>
        <w:rPr>
          <w:bCs/>
        </w:rPr>
      </w:pPr>
      <w:r>
        <w:rPr>
          <w:bCs/>
        </w:rPr>
        <w:tab/>
      </w:r>
      <w:r w:rsidR="008070B7">
        <w:rPr>
          <w:bCs/>
        </w:rPr>
        <w:t xml:space="preserve">Un certain nombre de Recommandations sont </w:t>
      </w:r>
      <w:r w:rsidR="008070B7" w:rsidRPr="002D0664">
        <w:rPr>
          <w:bCs/>
        </w:rPr>
        <w:t>incorporées par référence dans le Règlement des radiocommunications</w:t>
      </w:r>
      <w:r w:rsidR="008070B7">
        <w:rPr>
          <w:bCs/>
        </w:rPr>
        <w:t>. L</w:t>
      </w:r>
      <w:r w:rsidR="00EB627B">
        <w:rPr>
          <w:bCs/>
        </w:rPr>
        <w:t>'</w:t>
      </w:r>
      <w:r w:rsidR="008070B7">
        <w:rPr>
          <w:bCs/>
        </w:rPr>
        <w:t xml:space="preserve">OMI a examiné chacune de ces </w:t>
      </w:r>
      <w:r w:rsidR="008070B7" w:rsidRPr="00825C2A">
        <w:rPr>
          <w:bCs/>
          <w:lang w:val="fr-CH"/>
        </w:rPr>
        <w:t>Recommandation</w:t>
      </w:r>
      <w:r w:rsidR="008070B7">
        <w:rPr>
          <w:bCs/>
        </w:rPr>
        <w:t>s.</w:t>
      </w:r>
    </w:p>
    <w:p w:rsidR="008070B7" w:rsidRDefault="00B113A2" w:rsidP="008070B7">
      <w:pPr>
        <w:pStyle w:val="Headingb"/>
      </w:pPr>
      <w:r>
        <w:tab/>
      </w:r>
      <w:r w:rsidR="008070B7">
        <w:t>P</w:t>
      </w:r>
      <w:r w:rsidR="008070B7" w:rsidRPr="00B363B4">
        <w:t>osition de l</w:t>
      </w:r>
      <w:r w:rsidR="00EB627B">
        <w:t>'</w:t>
      </w:r>
      <w:r w:rsidR="008070B7" w:rsidRPr="00B363B4">
        <w:t>OMI</w:t>
      </w:r>
    </w:p>
    <w:p w:rsidR="00B113A2" w:rsidRDefault="00B113A2" w:rsidP="00B113A2">
      <w:pPr>
        <w:ind w:left="1134" w:hanging="1134"/>
        <w:rPr>
          <w:bCs/>
        </w:rPr>
      </w:pPr>
      <w:r>
        <w:rPr>
          <w:bCs/>
        </w:rPr>
        <w:tab/>
      </w:r>
      <w:r w:rsidR="008070B7" w:rsidRPr="00B363B4">
        <w:rPr>
          <w:bCs/>
        </w:rPr>
        <w:t>L</w:t>
      </w:r>
      <w:r w:rsidR="00EB627B">
        <w:rPr>
          <w:bCs/>
        </w:rPr>
        <w:t>'</w:t>
      </w:r>
      <w:r w:rsidR="008070B7" w:rsidRPr="00B363B4">
        <w:rPr>
          <w:bCs/>
        </w:rPr>
        <w:t xml:space="preserve">OMI a étudié les Recommandations qui la concernent et a formulé, </w:t>
      </w:r>
      <w:r w:rsidR="008070B7">
        <w:rPr>
          <w:bCs/>
        </w:rPr>
        <w:t>pour chacune d</w:t>
      </w:r>
      <w:r w:rsidR="00EB627B">
        <w:rPr>
          <w:bCs/>
        </w:rPr>
        <w:t>'</w:t>
      </w:r>
      <w:r w:rsidR="008070B7">
        <w:rPr>
          <w:bCs/>
        </w:rPr>
        <w:t>elles, d</w:t>
      </w:r>
      <w:r w:rsidR="008070B7" w:rsidRPr="00B363B4">
        <w:rPr>
          <w:bCs/>
        </w:rPr>
        <w:t>es obs</w:t>
      </w:r>
      <w:r w:rsidR="008070B7">
        <w:rPr>
          <w:bCs/>
        </w:rPr>
        <w:t>ervations qui sont reproduites dans</w:t>
      </w:r>
      <w:r w:rsidR="008070B7" w:rsidRPr="00B363B4">
        <w:rPr>
          <w:bCs/>
        </w:rPr>
        <w:t xml:space="preserve"> l</w:t>
      </w:r>
      <w:r w:rsidR="00EB627B">
        <w:rPr>
          <w:bCs/>
        </w:rPr>
        <w:t>'</w:t>
      </w:r>
      <w:r w:rsidR="008070B7" w:rsidRPr="00B363B4">
        <w:rPr>
          <w:bCs/>
        </w:rPr>
        <w:t>Annexe 1.</w:t>
      </w:r>
      <w:r w:rsidR="008070B7">
        <w:rPr>
          <w:bCs/>
        </w:rPr>
        <w:t xml:space="preserve"> </w:t>
      </w:r>
      <w:r w:rsidR="008070B7" w:rsidRPr="00B363B4">
        <w:rPr>
          <w:bCs/>
        </w:rPr>
        <w:t>L</w:t>
      </w:r>
      <w:r w:rsidR="00EB627B">
        <w:rPr>
          <w:bCs/>
        </w:rPr>
        <w:t>'</w:t>
      </w:r>
      <w:r w:rsidR="008070B7" w:rsidRPr="00B363B4">
        <w:rPr>
          <w:bCs/>
        </w:rPr>
        <w:t>incorporation par référence est importante pour l</w:t>
      </w:r>
      <w:r w:rsidR="00EB627B">
        <w:rPr>
          <w:bCs/>
        </w:rPr>
        <w:t>'</w:t>
      </w:r>
      <w:r w:rsidR="008070B7" w:rsidRPr="00B363B4">
        <w:rPr>
          <w:bCs/>
        </w:rPr>
        <w:t>OMI en raison du lien étroit qui existe entre bon nombre de Recommandations UIT</w:t>
      </w:r>
      <w:r w:rsidR="008070B7">
        <w:rPr>
          <w:bCs/>
        </w:rPr>
        <w:noBreakHyphen/>
      </w:r>
      <w:r w:rsidR="008070B7" w:rsidRPr="00B363B4">
        <w:rPr>
          <w:bCs/>
        </w:rPr>
        <w:t xml:space="preserve">R </w:t>
      </w:r>
      <w:r w:rsidR="008070B7">
        <w:rPr>
          <w:bCs/>
        </w:rPr>
        <w:t xml:space="preserve">relatives aux équipements </w:t>
      </w:r>
      <w:r w:rsidR="008070B7" w:rsidRPr="00B363B4">
        <w:rPr>
          <w:bCs/>
        </w:rPr>
        <w:t xml:space="preserve">SMDSM et </w:t>
      </w:r>
      <w:r w:rsidR="008070B7">
        <w:rPr>
          <w:bCs/>
        </w:rPr>
        <w:t>à leur</w:t>
      </w:r>
      <w:r w:rsidR="008070B7" w:rsidRPr="00B363B4">
        <w:rPr>
          <w:bCs/>
        </w:rPr>
        <w:t xml:space="preserve"> exploitation </w:t>
      </w:r>
      <w:r>
        <w:rPr>
          <w:bCs/>
        </w:rPr>
        <w:br w:type="page"/>
      </w:r>
    </w:p>
    <w:p w:rsidR="008070B7" w:rsidRPr="00B363B4" w:rsidRDefault="00B113A2" w:rsidP="00B113A2">
      <w:pPr>
        <w:ind w:left="1134" w:hanging="1134"/>
        <w:rPr>
          <w:bCs/>
        </w:rPr>
      </w:pPr>
      <w:r>
        <w:rPr>
          <w:bCs/>
        </w:rPr>
        <w:lastRenderedPageBreak/>
        <w:tab/>
      </w:r>
      <w:r w:rsidR="008070B7" w:rsidRPr="00B363B4">
        <w:rPr>
          <w:bCs/>
        </w:rPr>
        <w:t>et les normes de</w:t>
      </w:r>
      <w:r w:rsidR="008070B7">
        <w:rPr>
          <w:bCs/>
        </w:rPr>
        <w:t xml:space="preserve"> </w:t>
      </w:r>
      <w:r w:rsidR="008070B7" w:rsidRPr="00B363B4">
        <w:rPr>
          <w:bCs/>
        </w:rPr>
        <w:t>l</w:t>
      </w:r>
      <w:r w:rsidR="00EB627B">
        <w:rPr>
          <w:bCs/>
        </w:rPr>
        <w:t>'</w:t>
      </w:r>
      <w:r w:rsidR="008070B7" w:rsidRPr="00B363B4">
        <w:rPr>
          <w:bCs/>
        </w:rPr>
        <w:t>OMI</w:t>
      </w:r>
      <w:r w:rsidR="008070B7">
        <w:rPr>
          <w:bCs/>
        </w:rPr>
        <w:t xml:space="preserve"> relatives à la qualité de fonctionnement</w:t>
      </w:r>
      <w:r w:rsidR="008070B7" w:rsidRPr="00B363B4">
        <w:rPr>
          <w:bCs/>
        </w:rPr>
        <w:t>.</w:t>
      </w:r>
      <w:r w:rsidR="008070B7">
        <w:rPr>
          <w:bCs/>
        </w:rPr>
        <w:t xml:space="preserve"> L</w:t>
      </w:r>
      <w:r w:rsidR="00EB627B">
        <w:rPr>
          <w:bCs/>
        </w:rPr>
        <w:t>'</w:t>
      </w:r>
      <w:r w:rsidR="008070B7" w:rsidRPr="00B363B4">
        <w:rPr>
          <w:bCs/>
        </w:rPr>
        <w:t>OMI demande à être informée sans délai de tous les changements que l</w:t>
      </w:r>
      <w:r w:rsidR="00EB627B">
        <w:rPr>
          <w:bCs/>
        </w:rPr>
        <w:t>'</w:t>
      </w:r>
      <w:r w:rsidR="008070B7" w:rsidRPr="00B363B4">
        <w:rPr>
          <w:bCs/>
        </w:rPr>
        <w:t>UIT pourrait proposer d</w:t>
      </w:r>
      <w:r w:rsidR="00EB627B">
        <w:rPr>
          <w:bCs/>
        </w:rPr>
        <w:t>'</w:t>
      </w:r>
      <w:r w:rsidR="008070B7" w:rsidRPr="00B363B4">
        <w:rPr>
          <w:bCs/>
        </w:rPr>
        <w:t>apporter au mécanisme d</w:t>
      </w:r>
      <w:r w:rsidR="00EB627B">
        <w:rPr>
          <w:bCs/>
        </w:rPr>
        <w:t>'</w:t>
      </w:r>
      <w:r w:rsidR="008070B7" w:rsidRPr="00B363B4">
        <w:rPr>
          <w:bCs/>
        </w:rPr>
        <w:t>incorporation par référence et à la liste des Recommandations incorporées.</w:t>
      </w:r>
    </w:p>
    <w:p w:rsidR="008070B7" w:rsidRPr="00B363B4" w:rsidRDefault="008070B7" w:rsidP="008070B7">
      <w:pPr>
        <w:pStyle w:val="Headingb"/>
      </w:pPr>
      <w:r w:rsidRPr="00B363B4">
        <w:t>Point 4 de l</w:t>
      </w:r>
      <w:r w:rsidR="00EB627B">
        <w:t>'</w:t>
      </w:r>
      <w:r w:rsidRPr="00B363B4">
        <w:t>ordre du jour</w:t>
      </w:r>
    </w:p>
    <w:p w:rsidR="008070B7" w:rsidRPr="00B113A2" w:rsidRDefault="008070B7" w:rsidP="008070B7">
      <w:pPr>
        <w:rPr>
          <w:bCs/>
        </w:rPr>
      </w:pPr>
      <w:r w:rsidRPr="00B113A2">
        <w:rPr>
          <w:bCs/>
        </w:rPr>
        <w:t>4</w:t>
      </w:r>
      <w:r w:rsidRPr="00B113A2">
        <w:rPr>
          <w:bCs/>
        </w:rPr>
        <w:tab/>
        <w:t xml:space="preserve">conformément à la Résolution </w:t>
      </w:r>
      <w:r w:rsidRPr="00B113A2">
        <w:rPr>
          <w:b/>
          <w:bCs/>
        </w:rPr>
        <w:t>95 (Rév.CMR</w:t>
      </w:r>
      <w:r w:rsidRPr="00B113A2">
        <w:rPr>
          <w:b/>
          <w:bCs/>
        </w:rPr>
        <w:noBreakHyphen/>
        <w:t>07)</w:t>
      </w:r>
      <w:r w:rsidRPr="00B113A2">
        <w:rPr>
          <w:bCs/>
        </w:rPr>
        <w:t>, examiner les résolutions et recommandations des conférences précédentes en vue, le cas échéant, de les réviser, de les remplacer ou de les supprimer;</w:t>
      </w:r>
    </w:p>
    <w:p w:rsidR="008070B7" w:rsidRPr="00B363B4" w:rsidRDefault="00B113A2" w:rsidP="008070B7">
      <w:pPr>
        <w:pStyle w:val="Headingb"/>
      </w:pPr>
      <w:r>
        <w:tab/>
      </w:r>
      <w:r w:rsidR="008070B7">
        <w:t>Rappel</w:t>
      </w:r>
    </w:p>
    <w:p w:rsidR="008070B7" w:rsidRPr="00B363B4" w:rsidRDefault="00B113A2" w:rsidP="00B113A2">
      <w:pPr>
        <w:ind w:left="1134" w:hanging="1134"/>
        <w:rPr>
          <w:bCs/>
        </w:rPr>
      </w:pPr>
      <w:r>
        <w:rPr>
          <w:bCs/>
        </w:rPr>
        <w:tab/>
      </w:r>
      <w:r w:rsidR="008070B7">
        <w:rPr>
          <w:bCs/>
        </w:rPr>
        <w:t xml:space="preserve">Un certain nombre de résolutions et de recommandations figurent </w:t>
      </w:r>
      <w:r w:rsidR="008070B7" w:rsidRPr="002D0664">
        <w:rPr>
          <w:bCs/>
        </w:rPr>
        <w:t>dans le Règlement des radiocommunications</w:t>
      </w:r>
      <w:r w:rsidR="008070B7">
        <w:rPr>
          <w:bCs/>
        </w:rPr>
        <w:t>. L</w:t>
      </w:r>
      <w:r w:rsidR="00EB627B">
        <w:rPr>
          <w:bCs/>
        </w:rPr>
        <w:t>'</w:t>
      </w:r>
      <w:r w:rsidR="008070B7">
        <w:rPr>
          <w:bCs/>
        </w:rPr>
        <w:t>OMI a examiné chacune d</w:t>
      </w:r>
      <w:r w:rsidR="00EB627B">
        <w:rPr>
          <w:bCs/>
        </w:rPr>
        <w:t>'</w:t>
      </w:r>
      <w:r w:rsidR="008070B7">
        <w:rPr>
          <w:bCs/>
        </w:rPr>
        <w:t>entre elles.</w:t>
      </w:r>
    </w:p>
    <w:p w:rsidR="008070B7" w:rsidRDefault="00B113A2" w:rsidP="008070B7">
      <w:pPr>
        <w:pStyle w:val="Headingb"/>
      </w:pPr>
      <w:r>
        <w:tab/>
      </w:r>
      <w:r w:rsidR="008070B7">
        <w:t>P</w:t>
      </w:r>
      <w:r w:rsidR="008070B7" w:rsidRPr="00B363B4">
        <w:t>osition de l</w:t>
      </w:r>
      <w:r w:rsidR="00EB627B">
        <w:t>'</w:t>
      </w:r>
      <w:r w:rsidR="008070B7" w:rsidRPr="00B363B4">
        <w:t>OMI</w:t>
      </w:r>
    </w:p>
    <w:p w:rsidR="008070B7" w:rsidRPr="00B363B4" w:rsidRDefault="00B113A2" w:rsidP="00B113A2">
      <w:pPr>
        <w:ind w:left="1134" w:hanging="1134"/>
        <w:rPr>
          <w:bCs/>
        </w:rPr>
      </w:pPr>
      <w:r>
        <w:rPr>
          <w:bCs/>
        </w:rPr>
        <w:tab/>
      </w:r>
      <w:r w:rsidR="008070B7" w:rsidRPr="00B363B4">
        <w:rPr>
          <w:bCs/>
        </w:rPr>
        <w:t>L</w:t>
      </w:r>
      <w:r w:rsidR="00EB627B">
        <w:rPr>
          <w:bCs/>
        </w:rPr>
        <w:t>'</w:t>
      </w:r>
      <w:r w:rsidR="008070B7" w:rsidRPr="00B363B4">
        <w:rPr>
          <w:bCs/>
        </w:rPr>
        <w:t>OMI a étudié les Résolutions et Recommandations qui la concernent et a formulé, à propos de chacune d</w:t>
      </w:r>
      <w:r w:rsidR="00EB627B">
        <w:rPr>
          <w:bCs/>
        </w:rPr>
        <w:t>'</w:t>
      </w:r>
      <w:r w:rsidR="008070B7" w:rsidRPr="00B363B4">
        <w:rPr>
          <w:bCs/>
        </w:rPr>
        <w:t xml:space="preserve">elles, les observations qui sont reproduites </w:t>
      </w:r>
      <w:r w:rsidR="008070B7">
        <w:rPr>
          <w:bCs/>
        </w:rPr>
        <w:t>dans</w:t>
      </w:r>
      <w:r w:rsidR="008070B7" w:rsidRPr="00B363B4">
        <w:rPr>
          <w:bCs/>
        </w:rPr>
        <w:t xml:space="preserve"> l</w:t>
      </w:r>
      <w:r w:rsidR="00EB627B">
        <w:rPr>
          <w:bCs/>
        </w:rPr>
        <w:t>'</w:t>
      </w:r>
      <w:r w:rsidR="008070B7" w:rsidRPr="00B363B4">
        <w:rPr>
          <w:bCs/>
        </w:rPr>
        <w:t>Annexe 2.</w:t>
      </w:r>
    </w:p>
    <w:p w:rsidR="008070B7" w:rsidRPr="00B363B4" w:rsidRDefault="008070B7" w:rsidP="008070B7">
      <w:pPr>
        <w:pStyle w:val="Headingb"/>
      </w:pPr>
      <w:r w:rsidRPr="00B363B4">
        <w:t>Point 9 de l</w:t>
      </w:r>
      <w:r w:rsidR="00EB627B">
        <w:t>'</w:t>
      </w:r>
      <w:r w:rsidRPr="00B363B4">
        <w:t>ordre du jour</w:t>
      </w:r>
    </w:p>
    <w:p w:rsidR="008070B7" w:rsidRPr="00B113A2" w:rsidRDefault="008070B7" w:rsidP="008070B7">
      <w:pPr>
        <w:rPr>
          <w:bCs/>
        </w:rPr>
      </w:pPr>
      <w:r w:rsidRPr="00B113A2">
        <w:rPr>
          <w:bCs/>
        </w:rPr>
        <w:t>9</w:t>
      </w:r>
      <w:r w:rsidRPr="00B113A2">
        <w:rPr>
          <w:bCs/>
        </w:rPr>
        <w:tab/>
        <w:t>examiner et approuver le rapport du Directeur du Bureau des radiocommunications, conformément à l</w:t>
      </w:r>
      <w:r w:rsidR="00EB627B">
        <w:rPr>
          <w:bCs/>
        </w:rPr>
        <w:t>'</w:t>
      </w:r>
      <w:r w:rsidRPr="00B113A2">
        <w:rPr>
          <w:bCs/>
        </w:rPr>
        <w:t>article 7 de la Convention:</w:t>
      </w:r>
    </w:p>
    <w:p w:rsidR="008070B7" w:rsidRPr="00B113A2" w:rsidRDefault="008070B7" w:rsidP="008070B7">
      <w:pPr>
        <w:rPr>
          <w:bCs/>
        </w:rPr>
      </w:pPr>
      <w:r w:rsidRPr="00B113A2">
        <w:rPr>
          <w:bCs/>
        </w:rPr>
        <w:t>9.1</w:t>
      </w:r>
      <w:r w:rsidRPr="00B113A2">
        <w:rPr>
          <w:bCs/>
        </w:rPr>
        <w:tab/>
        <w:t>sur les activités du Secteur des radiocommunications depuis la CMR</w:t>
      </w:r>
      <w:r w:rsidRPr="00B113A2">
        <w:rPr>
          <w:bCs/>
        </w:rPr>
        <w:noBreakHyphen/>
        <w:t xml:space="preserve">12; </w:t>
      </w:r>
    </w:p>
    <w:p w:rsidR="008070B7" w:rsidRPr="00B113A2" w:rsidRDefault="008070B7" w:rsidP="008070B7">
      <w:pPr>
        <w:rPr>
          <w:bCs/>
        </w:rPr>
      </w:pPr>
      <w:r w:rsidRPr="00B113A2">
        <w:rPr>
          <w:bCs/>
        </w:rPr>
        <w:t>9.2</w:t>
      </w:r>
      <w:r w:rsidRPr="00B113A2">
        <w:rPr>
          <w:bCs/>
        </w:rPr>
        <w:tab/>
        <w:t>sur les difficultés rencontrées ou les incohérences constatées dans l</w:t>
      </w:r>
      <w:r w:rsidR="00EB627B">
        <w:rPr>
          <w:bCs/>
        </w:rPr>
        <w:t>'</w:t>
      </w:r>
      <w:r w:rsidRPr="00B113A2">
        <w:rPr>
          <w:bCs/>
        </w:rPr>
        <w:t>application du Règlement des radiocommunications; et</w:t>
      </w:r>
    </w:p>
    <w:p w:rsidR="008070B7" w:rsidRPr="00B113A2" w:rsidRDefault="008070B7" w:rsidP="008070B7">
      <w:pPr>
        <w:rPr>
          <w:bCs/>
        </w:rPr>
      </w:pPr>
      <w:r w:rsidRPr="00B113A2">
        <w:rPr>
          <w:bCs/>
        </w:rPr>
        <w:t>9.3</w:t>
      </w:r>
      <w:r w:rsidRPr="00B113A2">
        <w:rPr>
          <w:bCs/>
        </w:rPr>
        <w:tab/>
        <w:t>sur la suite donnée à la Résolution </w:t>
      </w:r>
      <w:r w:rsidRPr="00B113A2">
        <w:rPr>
          <w:b/>
          <w:bCs/>
        </w:rPr>
        <w:t>80 (Rév.CMR</w:t>
      </w:r>
      <w:r w:rsidRPr="00B113A2">
        <w:rPr>
          <w:b/>
          <w:bCs/>
        </w:rPr>
        <w:noBreakHyphen/>
        <w:t>07)</w:t>
      </w:r>
      <w:r w:rsidRPr="00B113A2">
        <w:rPr>
          <w:bCs/>
        </w:rPr>
        <w:t>;</w:t>
      </w:r>
    </w:p>
    <w:p w:rsidR="008070B7" w:rsidRPr="00B363B4" w:rsidRDefault="008070B7" w:rsidP="008070B7">
      <w:pPr>
        <w:pStyle w:val="Headingb"/>
      </w:pPr>
      <w:r>
        <w:t xml:space="preserve">Point </w:t>
      </w:r>
      <w:r w:rsidRPr="00B363B4">
        <w:t>9.1</w:t>
      </w:r>
      <w:r>
        <w:t>.1</w:t>
      </w:r>
      <w:r w:rsidRPr="00B363B4">
        <w:t xml:space="preserve"> de l</w:t>
      </w:r>
      <w:r w:rsidR="00EB627B">
        <w:t>'</w:t>
      </w:r>
      <w:r w:rsidRPr="00B363B4">
        <w:t>ordre du jour</w:t>
      </w:r>
    </w:p>
    <w:p w:rsidR="008070B7" w:rsidRPr="00B363B4" w:rsidRDefault="00B113A2" w:rsidP="008070B7">
      <w:pPr>
        <w:pStyle w:val="Headingb"/>
      </w:pPr>
      <w:r>
        <w:tab/>
      </w:r>
      <w:r w:rsidR="008070B7">
        <w:t>Rappel</w:t>
      </w:r>
    </w:p>
    <w:p w:rsidR="008070B7" w:rsidRDefault="00B113A2" w:rsidP="00B113A2">
      <w:pPr>
        <w:ind w:left="1134" w:hanging="1134"/>
        <w:rPr>
          <w:bCs/>
        </w:rPr>
      </w:pPr>
      <w:r>
        <w:rPr>
          <w:bCs/>
          <w:spacing w:val="-4"/>
        </w:rPr>
        <w:tab/>
      </w:r>
      <w:r w:rsidR="008070B7" w:rsidRPr="00B363B4">
        <w:rPr>
          <w:bCs/>
          <w:spacing w:val="-4"/>
        </w:rPr>
        <w:t>Au titre du point 9.1</w:t>
      </w:r>
      <w:r w:rsidR="008070B7">
        <w:rPr>
          <w:bCs/>
          <w:spacing w:val="-4"/>
        </w:rPr>
        <w:t>.1</w:t>
      </w:r>
      <w:r w:rsidR="008070B7" w:rsidRPr="00B363B4">
        <w:rPr>
          <w:bCs/>
          <w:spacing w:val="-4"/>
        </w:rPr>
        <w:t xml:space="preserve"> de l</w:t>
      </w:r>
      <w:r w:rsidR="00EB627B">
        <w:rPr>
          <w:bCs/>
          <w:spacing w:val="-4"/>
        </w:rPr>
        <w:t>'</w:t>
      </w:r>
      <w:r w:rsidR="008070B7" w:rsidRPr="00B363B4">
        <w:rPr>
          <w:bCs/>
          <w:spacing w:val="-4"/>
        </w:rPr>
        <w:t>ordre du jour, l</w:t>
      </w:r>
      <w:r w:rsidR="00EB627B">
        <w:rPr>
          <w:bCs/>
          <w:spacing w:val="-4"/>
        </w:rPr>
        <w:t>'</w:t>
      </w:r>
      <w:r w:rsidR="008070B7" w:rsidRPr="00B363B4">
        <w:rPr>
          <w:bCs/>
          <w:spacing w:val="-4"/>
        </w:rPr>
        <w:t>UIT</w:t>
      </w:r>
      <w:r w:rsidR="008070B7">
        <w:rPr>
          <w:bCs/>
          <w:spacing w:val="-4"/>
        </w:rPr>
        <w:noBreakHyphen/>
      </w:r>
      <w:r w:rsidR="008070B7" w:rsidRPr="00B363B4">
        <w:rPr>
          <w:bCs/>
          <w:spacing w:val="-4"/>
        </w:rPr>
        <w:t xml:space="preserve">R est invité à étudier, conformément à la Résolution </w:t>
      </w:r>
      <w:r w:rsidR="008070B7" w:rsidRPr="00E17C02">
        <w:rPr>
          <w:b/>
          <w:spacing w:val="-4"/>
        </w:rPr>
        <w:t>205</w:t>
      </w:r>
      <w:r w:rsidR="008070B7" w:rsidRPr="00B363B4">
        <w:rPr>
          <w:bCs/>
          <w:spacing w:val="-4"/>
        </w:rPr>
        <w:t xml:space="preserve"> (</w:t>
      </w:r>
      <w:r w:rsidR="008070B7" w:rsidRPr="00B363B4">
        <w:rPr>
          <w:b/>
          <w:bCs/>
          <w:spacing w:val="-4"/>
        </w:rPr>
        <w:t>R</w:t>
      </w:r>
      <w:r w:rsidR="008070B7">
        <w:rPr>
          <w:b/>
          <w:bCs/>
          <w:spacing w:val="-4"/>
        </w:rPr>
        <w:t>é</w:t>
      </w:r>
      <w:r w:rsidR="008070B7" w:rsidRPr="00B363B4">
        <w:rPr>
          <w:b/>
          <w:bCs/>
          <w:spacing w:val="-4"/>
        </w:rPr>
        <w:t>v.CMR</w:t>
      </w:r>
      <w:r w:rsidR="008070B7">
        <w:rPr>
          <w:b/>
          <w:bCs/>
          <w:spacing w:val="-4"/>
        </w:rPr>
        <w:noBreakHyphen/>
      </w:r>
      <w:r w:rsidR="008070B7" w:rsidRPr="00B363B4">
        <w:rPr>
          <w:b/>
          <w:bCs/>
          <w:spacing w:val="-4"/>
        </w:rPr>
        <w:t>12)</w:t>
      </w:r>
      <w:r w:rsidR="008070B7" w:rsidRPr="00E17C02">
        <w:rPr>
          <w:spacing w:val="-4"/>
        </w:rPr>
        <w:t>,</w:t>
      </w:r>
      <w:r w:rsidR="008070B7" w:rsidRPr="00B363B4">
        <w:rPr>
          <w:bCs/>
          <w:spacing w:val="-4"/>
        </w:rPr>
        <w:t xml:space="preserve"> la protection des systèmes fonctionnant dans le service mobile par satellite dans la bande 406</w:t>
      </w:r>
      <w:r w:rsidR="008070B7">
        <w:rPr>
          <w:bCs/>
          <w:spacing w:val="-4"/>
        </w:rPr>
        <w:noBreakHyphen/>
      </w:r>
      <w:r w:rsidR="008070B7" w:rsidRPr="00B363B4">
        <w:rPr>
          <w:bCs/>
          <w:spacing w:val="-4"/>
        </w:rPr>
        <w:t>406,1 MHz</w:t>
      </w:r>
      <w:r w:rsidR="008070B7" w:rsidRPr="00B363B4">
        <w:rPr>
          <w:bCs/>
        </w:rPr>
        <w:t>.</w:t>
      </w:r>
    </w:p>
    <w:p w:rsidR="008070B7" w:rsidRPr="00B363B4" w:rsidRDefault="00B113A2" w:rsidP="00B113A2">
      <w:pPr>
        <w:ind w:left="1134" w:hanging="1134"/>
        <w:rPr>
          <w:bCs/>
        </w:rPr>
      </w:pPr>
      <w:r>
        <w:rPr>
          <w:bCs/>
        </w:rPr>
        <w:tab/>
      </w:r>
      <w:r w:rsidR="008070B7" w:rsidRPr="00B363B4">
        <w:rPr>
          <w:bCs/>
        </w:rPr>
        <w:t>L</w:t>
      </w:r>
      <w:r w:rsidR="008070B7">
        <w:rPr>
          <w:bCs/>
        </w:rPr>
        <w:t>es radiobalises de localisation des sinistres</w:t>
      </w:r>
      <w:r w:rsidR="008070B7" w:rsidRPr="00B363B4">
        <w:rPr>
          <w:bCs/>
        </w:rPr>
        <w:t xml:space="preserve"> </w:t>
      </w:r>
      <w:r w:rsidR="008070B7">
        <w:rPr>
          <w:bCs/>
        </w:rPr>
        <w:t>(</w:t>
      </w:r>
      <w:r w:rsidR="008070B7" w:rsidRPr="00B363B4">
        <w:rPr>
          <w:bCs/>
        </w:rPr>
        <w:t>RLS</w:t>
      </w:r>
      <w:r w:rsidR="008070B7">
        <w:rPr>
          <w:bCs/>
        </w:rPr>
        <w:t>)</w:t>
      </w:r>
      <w:r w:rsidR="008070B7" w:rsidRPr="00B363B4">
        <w:rPr>
          <w:bCs/>
        </w:rPr>
        <w:t xml:space="preserve"> Cospas</w:t>
      </w:r>
      <w:r w:rsidR="008070B7">
        <w:rPr>
          <w:bCs/>
        </w:rPr>
        <w:noBreakHyphen/>
      </w:r>
      <w:r w:rsidR="008070B7" w:rsidRPr="00B363B4">
        <w:rPr>
          <w:bCs/>
        </w:rPr>
        <w:t xml:space="preserve">Sarsat </w:t>
      </w:r>
      <w:r w:rsidR="008070B7">
        <w:rPr>
          <w:bCs/>
        </w:rPr>
        <w:t xml:space="preserve">fonctionnant </w:t>
      </w:r>
      <w:r w:rsidR="000F2971">
        <w:rPr>
          <w:bCs/>
        </w:rPr>
        <w:t>à </w:t>
      </w:r>
      <w:r w:rsidR="008070B7" w:rsidRPr="00B363B4">
        <w:rPr>
          <w:bCs/>
        </w:rPr>
        <w:t xml:space="preserve">406 MHz </w:t>
      </w:r>
      <w:r w:rsidR="008070B7">
        <w:rPr>
          <w:bCs/>
        </w:rPr>
        <w:t xml:space="preserve">sont des </w:t>
      </w:r>
      <w:r w:rsidR="008070B7" w:rsidRPr="00B363B4">
        <w:rPr>
          <w:bCs/>
        </w:rPr>
        <w:t>dispositif</w:t>
      </w:r>
      <w:r w:rsidR="008070B7">
        <w:rPr>
          <w:bCs/>
        </w:rPr>
        <w:t>s</w:t>
      </w:r>
      <w:r w:rsidR="008070B7" w:rsidRPr="00B363B4">
        <w:rPr>
          <w:bCs/>
        </w:rPr>
        <w:t xml:space="preserve"> d</w:t>
      </w:r>
      <w:r w:rsidR="00EB627B">
        <w:rPr>
          <w:bCs/>
        </w:rPr>
        <w:t>'</w:t>
      </w:r>
      <w:r w:rsidR="008070B7" w:rsidRPr="00B363B4">
        <w:rPr>
          <w:bCs/>
        </w:rPr>
        <w:t xml:space="preserve">alerte </w:t>
      </w:r>
      <w:r w:rsidR="008070B7">
        <w:rPr>
          <w:bCs/>
        </w:rPr>
        <w:t xml:space="preserve">de détresse </w:t>
      </w:r>
      <w:r w:rsidR="008070B7" w:rsidRPr="00B363B4">
        <w:rPr>
          <w:bCs/>
        </w:rPr>
        <w:t xml:space="preserve">dont doivent obligatoirement </w:t>
      </w:r>
      <w:r w:rsidR="008070B7">
        <w:rPr>
          <w:bCs/>
        </w:rPr>
        <w:t xml:space="preserve">être équipés </w:t>
      </w:r>
      <w:r w:rsidR="008070B7" w:rsidRPr="00B363B4">
        <w:rPr>
          <w:bCs/>
        </w:rPr>
        <w:t xml:space="preserve">les navires </w:t>
      </w:r>
      <w:r w:rsidR="008070B7">
        <w:rPr>
          <w:bCs/>
        </w:rPr>
        <w:t xml:space="preserve">assujettis </w:t>
      </w:r>
      <w:r w:rsidR="008070B7" w:rsidRPr="00B363B4">
        <w:rPr>
          <w:bCs/>
        </w:rPr>
        <w:t>à la Convention SOLAS et</w:t>
      </w:r>
      <w:r w:rsidR="008070B7">
        <w:rPr>
          <w:bCs/>
        </w:rPr>
        <w:t xml:space="preserve"> qui sont </w:t>
      </w:r>
      <w:r w:rsidR="008070B7" w:rsidRPr="00B363B4">
        <w:rPr>
          <w:bCs/>
        </w:rPr>
        <w:t>également souvent embarqué</w:t>
      </w:r>
      <w:r w:rsidR="008070B7">
        <w:rPr>
          <w:bCs/>
        </w:rPr>
        <w:t>es</w:t>
      </w:r>
      <w:r w:rsidR="008070B7" w:rsidRPr="00B363B4">
        <w:rPr>
          <w:bCs/>
        </w:rPr>
        <w:t xml:space="preserve"> à bord des navires en tant que deuxième moyen de donner l</w:t>
      </w:r>
      <w:r w:rsidR="00EB627B">
        <w:rPr>
          <w:bCs/>
        </w:rPr>
        <w:t>'</w:t>
      </w:r>
      <w:r w:rsidR="000F2971">
        <w:rPr>
          <w:bCs/>
        </w:rPr>
        <w:t>alerte</w:t>
      </w:r>
      <w:r w:rsidR="008070B7">
        <w:rPr>
          <w:bCs/>
        </w:rPr>
        <w:t>. Pour les navires non</w:t>
      </w:r>
      <w:r>
        <w:rPr>
          <w:bCs/>
        </w:rPr>
        <w:t xml:space="preserve"> </w:t>
      </w:r>
      <w:r w:rsidR="008070B7">
        <w:rPr>
          <w:bCs/>
        </w:rPr>
        <w:t>assujettis</w:t>
      </w:r>
      <w:r w:rsidR="008070B7" w:rsidRPr="00B363B4">
        <w:rPr>
          <w:bCs/>
        </w:rPr>
        <w:t xml:space="preserve"> à la Convention SOLAS</w:t>
      </w:r>
      <w:r w:rsidR="008070B7">
        <w:rPr>
          <w:bCs/>
        </w:rPr>
        <w:t>, ces dispositifs constituent également souvent le principal moyen de donner l</w:t>
      </w:r>
      <w:r w:rsidR="00EB627B">
        <w:rPr>
          <w:bCs/>
        </w:rPr>
        <w:t>'</w:t>
      </w:r>
      <w:r w:rsidR="008070B7">
        <w:rPr>
          <w:bCs/>
        </w:rPr>
        <w:t xml:space="preserve">alerte </w:t>
      </w:r>
      <w:r w:rsidR="008070B7">
        <w:rPr>
          <w:color w:val="000000"/>
        </w:rPr>
        <w:t>à l</w:t>
      </w:r>
      <w:r w:rsidR="00EB627B">
        <w:rPr>
          <w:color w:val="000000"/>
        </w:rPr>
        <w:t>'</w:t>
      </w:r>
      <w:r w:rsidR="008070B7">
        <w:rPr>
          <w:color w:val="000000"/>
        </w:rPr>
        <w:t>extérieur de la</w:t>
      </w:r>
      <w:r>
        <w:rPr>
          <w:color w:val="000000"/>
        </w:rPr>
        <w:t xml:space="preserve"> </w:t>
      </w:r>
      <w:r w:rsidR="008070B7">
        <w:rPr>
          <w:color w:val="000000"/>
        </w:rPr>
        <w:t>zone</w:t>
      </w:r>
      <w:r>
        <w:rPr>
          <w:color w:val="000000"/>
        </w:rPr>
        <w:t xml:space="preserve"> </w:t>
      </w:r>
      <w:r w:rsidR="008070B7">
        <w:rPr>
          <w:color w:val="000000"/>
        </w:rPr>
        <w:t>maritime A1</w:t>
      </w:r>
      <w:r w:rsidR="008070B7" w:rsidRPr="00B363B4">
        <w:rPr>
          <w:bCs/>
        </w:rPr>
        <w:t>.</w:t>
      </w:r>
    </w:p>
    <w:p w:rsidR="008070B7" w:rsidRPr="00B363B4" w:rsidRDefault="00B113A2" w:rsidP="00B113A2">
      <w:pPr>
        <w:ind w:left="1134" w:hanging="1134"/>
        <w:rPr>
          <w:bCs/>
        </w:rPr>
      </w:pPr>
      <w:r>
        <w:rPr>
          <w:bCs/>
        </w:rPr>
        <w:tab/>
      </w:r>
      <w:r w:rsidR="008070B7" w:rsidRPr="00B363B4">
        <w:rPr>
          <w:bCs/>
        </w:rPr>
        <w:t xml:space="preserve">Il </w:t>
      </w:r>
      <w:r w:rsidR="008070B7">
        <w:rPr>
          <w:bCs/>
        </w:rPr>
        <w:t xml:space="preserve">est établi </w:t>
      </w:r>
      <w:r w:rsidR="008070B7" w:rsidRPr="00B363B4">
        <w:rPr>
          <w:bCs/>
        </w:rPr>
        <w:t>que la puissance de sortie requise de l</w:t>
      </w:r>
      <w:r w:rsidR="00EB627B">
        <w:rPr>
          <w:bCs/>
        </w:rPr>
        <w:t>'</w:t>
      </w:r>
      <w:r w:rsidR="008070B7" w:rsidRPr="00B363B4">
        <w:rPr>
          <w:bCs/>
        </w:rPr>
        <w:t>émetteur d</w:t>
      </w:r>
      <w:r w:rsidR="00EB627B">
        <w:rPr>
          <w:bCs/>
        </w:rPr>
        <w:t>'</w:t>
      </w:r>
      <w:r w:rsidR="008070B7">
        <w:rPr>
          <w:bCs/>
        </w:rPr>
        <w:t xml:space="preserve">une radiobalise RLS </w:t>
      </w:r>
      <w:r w:rsidR="008070B7" w:rsidRPr="00B363B4">
        <w:rPr>
          <w:bCs/>
        </w:rPr>
        <w:t>Cospas</w:t>
      </w:r>
      <w:r w:rsidR="008070B7">
        <w:rPr>
          <w:bCs/>
        </w:rPr>
        <w:noBreakHyphen/>
      </w:r>
      <w:r w:rsidR="008070B7" w:rsidRPr="00B363B4">
        <w:rPr>
          <w:bCs/>
        </w:rPr>
        <w:t>Sarsat à 4</w:t>
      </w:r>
      <w:r w:rsidR="008070B7">
        <w:rPr>
          <w:bCs/>
        </w:rPr>
        <w:t>06 </w:t>
      </w:r>
      <w:r w:rsidR="008070B7" w:rsidRPr="00B363B4">
        <w:rPr>
          <w:bCs/>
        </w:rPr>
        <w:t>MHz</w:t>
      </w:r>
      <w:r w:rsidR="008070B7">
        <w:rPr>
          <w:bCs/>
        </w:rPr>
        <w:t xml:space="preserve"> (ainsi que les autres dispositifs que sont </w:t>
      </w:r>
      <w:r w:rsidR="008070B7">
        <w:rPr>
          <w:color w:val="000000"/>
        </w:rPr>
        <w:t>les émetteurs de localisation d</w:t>
      </w:r>
      <w:r w:rsidR="00EB627B">
        <w:rPr>
          <w:color w:val="000000"/>
        </w:rPr>
        <w:t>'</w:t>
      </w:r>
      <w:r w:rsidR="008070B7">
        <w:rPr>
          <w:color w:val="000000"/>
        </w:rPr>
        <w:t>urgence (ELT)</w:t>
      </w:r>
      <w:r w:rsidR="008070B7" w:rsidRPr="00B363B4">
        <w:rPr>
          <w:bCs/>
        </w:rPr>
        <w:t xml:space="preserve"> </w:t>
      </w:r>
      <w:r w:rsidR="008070B7">
        <w:rPr>
          <w:bCs/>
        </w:rPr>
        <w:t xml:space="preserve">et </w:t>
      </w:r>
      <w:r w:rsidR="008070B7">
        <w:rPr>
          <w:color w:val="000000"/>
        </w:rPr>
        <w:t>les radiobalises personnelles pour les personnes (PLB)</w:t>
      </w:r>
      <w:r>
        <w:rPr>
          <w:color w:val="000000"/>
        </w:rPr>
        <w:t xml:space="preserve"> </w:t>
      </w:r>
      <w:r w:rsidR="008070B7" w:rsidRPr="00B363B4">
        <w:rPr>
          <w:bCs/>
        </w:rPr>
        <w:t xml:space="preserve">est supérieure à la valeur nominale minimale, apparemment </w:t>
      </w:r>
      <w:r w:rsidR="008070B7">
        <w:rPr>
          <w:bCs/>
        </w:rPr>
        <w:t>en raison d</w:t>
      </w:r>
      <w:r w:rsidR="00EB627B">
        <w:rPr>
          <w:bCs/>
        </w:rPr>
        <w:t>'</w:t>
      </w:r>
      <w:r w:rsidR="008070B7">
        <w:rPr>
          <w:bCs/>
        </w:rPr>
        <w:t xml:space="preserve">autres émissions produites </w:t>
      </w:r>
      <w:r w:rsidR="008070B7" w:rsidRPr="00B363B4">
        <w:rPr>
          <w:bCs/>
        </w:rPr>
        <w:t>à l</w:t>
      </w:r>
      <w:r w:rsidR="00EB627B">
        <w:rPr>
          <w:bCs/>
        </w:rPr>
        <w:t>'</w:t>
      </w:r>
      <w:r w:rsidR="008070B7" w:rsidRPr="00B363B4">
        <w:rPr>
          <w:bCs/>
        </w:rPr>
        <w:t>extérieur et à l</w:t>
      </w:r>
      <w:r w:rsidR="00EB627B">
        <w:rPr>
          <w:bCs/>
        </w:rPr>
        <w:t>'</w:t>
      </w:r>
      <w:r w:rsidR="008070B7" w:rsidRPr="00B363B4">
        <w:rPr>
          <w:bCs/>
        </w:rPr>
        <w:t xml:space="preserve">intérieur de </w:t>
      </w:r>
      <w:r w:rsidR="008070B7">
        <w:rPr>
          <w:bCs/>
        </w:rPr>
        <w:t xml:space="preserve">la </w:t>
      </w:r>
      <w:r w:rsidR="008070B7" w:rsidRPr="00B363B4">
        <w:rPr>
          <w:bCs/>
        </w:rPr>
        <w:t>bande.</w:t>
      </w:r>
    </w:p>
    <w:p w:rsidR="008070B7" w:rsidRPr="00B363B4" w:rsidRDefault="00B113A2" w:rsidP="00B113A2">
      <w:pPr>
        <w:ind w:left="1134" w:hanging="1134"/>
        <w:rPr>
          <w:spacing w:val="-2"/>
        </w:rPr>
      </w:pPr>
      <w:r>
        <w:rPr>
          <w:color w:val="000000"/>
        </w:rPr>
        <w:tab/>
      </w:r>
      <w:r w:rsidR="008070B7">
        <w:rPr>
          <w:color w:val="000000"/>
        </w:rPr>
        <w:t>Outre les dispositifs UWB</w:t>
      </w:r>
      <w:r w:rsidR="008070B7">
        <w:rPr>
          <w:bCs/>
        </w:rPr>
        <w:t xml:space="preserve"> et les </w:t>
      </w:r>
      <w:r w:rsidR="008070B7">
        <w:rPr>
          <w:color w:val="000000"/>
        </w:rPr>
        <w:t>systèmes de télévision par câble,</w:t>
      </w:r>
      <w:r w:rsidR="008070B7">
        <w:rPr>
          <w:bCs/>
        </w:rPr>
        <w:t xml:space="preserve"> il est prévu de mettre au point des </w:t>
      </w:r>
      <w:r w:rsidR="008070B7" w:rsidRPr="00B363B4">
        <w:rPr>
          <w:bCs/>
        </w:rPr>
        <w:t>systèmes de transmission par courant</w:t>
      </w:r>
      <w:r w:rsidR="008070B7">
        <w:rPr>
          <w:bCs/>
        </w:rPr>
        <w:t>s</w:t>
      </w:r>
      <w:r w:rsidR="008070B7" w:rsidRPr="00B363B4">
        <w:rPr>
          <w:bCs/>
        </w:rPr>
        <w:t xml:space="preserve"> porteur</w:t>
      </w:r>
      <w:r w:rsidR="008070B7">
        <w:rPr>
          <w:bCs/>
        </w:rPr>
        <w:t>s</w:t>
      </w:r>
      <w:r w:rsidR="008070B7" w:rsidRPr="00B363B4">
        <w:rPr>
          <w:bCs/>
        </w:rPr>
        <w:t xml:space="preserve"> en ligne </w:t>
      </w:r>
      <w:r w:rsidR="008070B7">
        <w:rPr>
          <w:bCs/>
        </w:rPr>
        <w:t>fonctionna</w:t>
      </w:r>
      <w:r w:rsidR="008070B7" w:rsidRPr="00B363B4">
        <w:rPr>
          <w:bCs/>
        </w:rPr>
        <w:t xml:space="preserve">nt </w:t>
      </w:r>
      <w:r w:rsidR="008070B7">
        <w:rPr>
          <w:bCs/>
        </w:rPr>
        <w:t xml:space="preserve">dans une bande </w:t>
      </w:r>
      <w:r w:rsidR="008070B7" w:rsidRPr="00B363B4">
        <w:rPr>
          <w:bCs/>
        </w:rPr>
        <w:t xml:space="preserve">pouvant </w:t>
      </w:r>
      <w:r w:rsidR="008070B7">
        <w:rPr>
          <w:bCs/>
        </w:rPr>
        <w:t>aller jusqu</w:t>
      </w:r>
      <w:r w:rsidR="00EB627B">
        <w:rPr>
          <w:bCs/>
        </w:rPr>
        <w:t>'</w:t>
      </w:r>
      <w:r w:rsidR="008070B7">
        <w:rPr>
          <w:bCs/>
        </w:rPr>
        <w:t xml:space="preserve">à </w:t>
      </w:r>
      <w:r w:rsidR="008070B7" w:rsidRPr="00B363B4">
        <w:rPr>
          <w:bCs/>
        </w:rPr>
        <w:t>470 MHz</w:t>
      </w:r>
      <w:r w:rsidR="008070B7">
        <w:rPr>
          <w:bCs/>
        </w:rPr>
        <w:t xml:space="preserve"> qui risquent de causer </w:t>
      </w:r>
      <w:r w:rsidR="008070B7" w:rsidRPr="00B363B4">
        <w:rPr>
          <w:bCs/>
        </w:rPr>
        <w:t xml:space="preserve">des </w:t>
      </w:r>
      <w:r w:rsidR="008070B7" w:rsidRPr="00B363B4">
        <w:rPr>
          <w:spacing w:val="-2"/>
        </w:rPr>
        <w:t xml:space="preserve">brouillages </w:t>
      </w:r>
      <w:r w:rsidR="008070B7">
        <w:rPr>
          <w:spacing w:val="-2"/>
        </w:rPr>
        <w:t xml:space="preserve">dans la bande au </w:t>
      </w:r>
      <w:r w:rsidR="008070B7" w:rsidRPr="00B363B4">
        <w:rPr>
          <w:spacing w:val="-2"/>
        </w:rPr>
        <w:t>système Cospas</w:t>
      </w:r>
      <w:r w:rsidR="008070B7">
        <w:rPr>
          <w:spacing w:val="-2"/>
        </w:rPr>
        <w:noBreakHyphen/>
      </w:r>
      <w:r w:rsidR="008070B7" w:rsidRPr="00B363B4">
        <w:rPr>
          <w:spacing w:val="-2"/>
        </w:rPr>
        <w:t xml:space="preserve">Sarsat. </w:t>
      </w:r>
    </w:p>
    <w:p w:rsidR="00B113A2" w:rsidRDefault="00B113A2" w:rsidP="00B113A2">
      <w:pPr>
        <w:ind w:left="1134" w:hanging="1134"/>
        <w:rPr>
          <w:bCs/>
        </w:rPr>
      </w:pPr>
      <w:r>
        <w:rPr>
          <w:bCs/>
        </w:rPr>
        <w:br w:type="page"/>
      </w:r>
    </w:p>
    <w:p w:rsidR="008070B7" w:rsidRDefault="00B113A2" w:rsidP="00B113A2">
      <w:pPr>
        <w:ind w:left="1134" w:hanging="1134"/>
        <w:rPr>
          <w:spacing w:val="-2"/>
        </w:rPr>
      </w:pPr>
      <w:r>
        <w:rPr>
          <w:bCs/>
        </w:rPr>
        <w:lastRenderedPageBreak/>
        <w:tab/>
      </w:r>
      <w:r w:rsidR="008070B7" w:rsidRPr="00B363B4">
        <w:rPr>
          <w:bCs/>
        </w:rPr>
        <w:t>Les bandes de fréquences proposées au titre du point 1.3 de l</w:t>
      </w:r>
      <w:r w:rsidR="00EB627B">
        <w:rPr>
          <w:bCs/>
        </w:rPr>
        <w:t>'</w:t>
      </w:r>
      <w:r w:rsidR="008070B7" w:rsidRPr="00B363B4">
        <w:rPr>
          <w:bCs/>
        </w:rPr>
        <w:t>ordre du jour pour la protection du public et les secours en cas de catastrophe</w:t>
      </w:r>
      <w:r w:rsidR="008070B7">
        <w:rPr>
          <w:bCs/>
        </w:rPr>
        <w:t xml:space="preserve"> (PPDR)</w:t>
      </w:r>
      <w:r w:rsidR="008070B7" w:rsidRPr="00B363B4">
        <w:rPr>
          <w:bCs/>
        </w:rPr>
        <w:t xml:space="preserve"> comprennent la bande 380</w:t>
      </w:r>
      <w:r w:rsidR="008070B7">
        <w:rPr>
          <w:bCs/>
        </w:rPr>
        <w:noBreakHyphen/>
      </w:r>
      <w:r w:rsidR="008070B7" w:rsidRPr="00B363B4">
        <w:rPr>
          <w:bCs/>
        </w:rPr>
        <w:t>470 MHz</w:t>
      </w:r>
      <w:r w:rsidR="008070B7">
        <w:rPr>
          <w:bCs/>
        </w:rPr>
        <w:t>,</w:t>
      </w:r>
      <w:r w:rsidR="008070B7" w:rsidRPr="00B363B4">
        <w:rPr>
          <w:bCs/>
        </w:rPr>
        <w:t xml:space="preserve"> qui</w:t>
      </w:r>
      <w:r w:rsidR="008070B7">
        <w:rPr>
          <w:bCs/>
        </w:rPr>
        <w:t xml:space="preserve"> risque</w:t>
      </w:r>
      <w:r w:rsidR="008070B7" w:rsidRPr="00B363B4">
        <w:rPr>
          <w:bCs/>
        </w:rPr>
        <w:t xml:space="preserve"> également d</w:t>
      </w:r>
      <w:r w:rsidR="00EB627B">
        <w:rPr>
          <w:bCs/>
        </w:rPr>
        <w:t>'</w:t>
      </w:r>
      <w:r w:rsidR="008070B7">
        <w:rPr>
          <w:bCs/>
        </w:rPr>
        <w:t xml:space="preserve">entraîner </w:t>
      </w:r>
      <w:r w:rsidR="008070B7" w:rsidRPr="00B363B4">
        <w:rPr>
          <w:bCs/>
        </w:rPr>
        <w:t xml:space="preserve">des </w:t>
      </w:r>
      <w:r w:rsidR="008070B7" w:rsidRPr="00B363B4">
        <w:rPr>
          <w:spacing w:val="-2"/>
        </w:rPr>
        <w:t>brouillages d</w:t>
      </w:r>
      <w:r w:rsidR="008070B7">
        <w:rPr>
          <w:spacing w:val="-2"/>
        </w:rPr>
        <w:t>ans</w:t>
      </w:r>
      <w:r w:rsidR="008070B7" w:rsidRPr="00B363B4">
        <w:rPr>
          <w:spacing w:val="-2"/>
        </w:rPr>
        <w:t xml:space="preserve"> l</w:t>
      </w:r>
      <w:r w:rsidR="008070B7">
        <w:rPr>
          <w:spacing w:val="-2"/>
        </w:rPr>
        <w:t>a bande pour le système </w:t>
      </w:r>
      <w:r w:rsidR="008070B7" w:rsidRPr="00B363B4">
        <w:rPr>
          <w:spacing w:val="-2"/>
        </w:rPr>
        <w:t>Cospas</w:t>
      </w:r>
      <w:r w:rsidR="008070B7">
        <w:rPr>
          <w:spacing w:val="-2"/>
        </w:rPr>
        <w:noBreakHyphen/>
      </w:r>
      <w:r w:rsidR="008070B7" w:rsidRPr="00B363B4">
        <w:rPr>
          <w:spacing w:val="-2"/>
        </w:rPr>
        <w:t>Sarsat.</w:t>
      </w:r>
    </w:p>
    <w:p w:rsidR="008070B7" w:rsidRPr="00F96CD3" w:rsidRDefault="00B113A2" w:rsidP="00765B7E">
      <w:pPr>
        <w:ind w:left="1134" w:hanging="1134"/>
        <w:rPr>
          <w:bCs/>
          <w:spacing w:val="-2"/>
        </w:rPr>
      </w:pPr>
      <w:r>
        <w:rPr>
          <w:bCs/>
          <w:spacing w:val="-2"/>
        </w:rPr>
        <w:tab/>
      </w:r>
      <w:r w:rsidR="008070B7">
        <w:rPr>
          <w:bCs/>
          <w:spacing w:val="-2"/>
        </w:rPr>
        <w:t>En outre, il se peut que systèmes IMT soient exploité</w:t>
      </w:r>
      <w:r>
        <w:rPr>
          <w:bCs/>
          <w:spacing w:val="-2"/>
        </w:rPr>
        <w:t>s dans la bande 410</w:t>
      </w:r>
      <w:r w:rsidR="00765B7E">
        <w:rPr>
          <w:bCs/>
          <w:spacing w:val="-2"/>
        </w:rPr>
        <w:noBreakHyphen/>
      </w:r>
      <w:r>
        <w:rPr>
          <w:bCs/>
          <w:spacing w:val="-2"/>
        </w:rPr>
        <w:t>430 MHz, ce </w:t>
      </w:r>
      <w:r w:rsidR="008070B7">
        <w:rPr>
          <w:bCs/>
          <w:spacing w:val="-2"/>
        </w:rPr>
        <w:t>qui risque</w:t>
      </w:r>
      <w:r w:rsidR="008070B7" w:rsidRPr="00086F05">
        <w:rPr>
          <w:color w:val="000000"/>
        </w:rPr>
        <w:t xml:space="preserve"> </w:t>
      </w:r>
      <w:r w:rsidR="008070B7">
        <w:rPr>
          <w:color w:val="000000"/>
        </w:rPr>
        <w:t>d</w:t>
      </w:r>
      <w:r w:rsidR="00EB627B">
        <w:rPr>
          <w:color w:val="000000"/>
        </w:rPr>
        <w:t>'</w:t>
      </w:r>
      <w:r w:rsidR="008070B7">
        <w:rPr>
          <w:color w:val="000000"/>
        </w:rPr>
        <w:t>accroître le niveau des émissions hors bande dans</w:t>
      </w:r>
      <w:r>
        <w:rPr>
          <w:color w:val="000000"/>
        </w:rPr>
        <w:t xml:space="preserve"> </w:t>
      </w:r>
      <w:r w:rsidR="008070B7" w:rsidRPr="00B363B4">
        <w:rPr>
          <w:bCs/>
        </w:rPr>
        <w:t>la bande 406</w:t>
      </w:r>
      <w:r w:rsidR="008070B7">
        <w:rPr>
          <w:bCs/>
        </w:rPr>
        <w:noBreakHyphen/>
      </w:r>
      <w:r w:rsidR="008070B7" w:rsidRPr="00B363B4">
        <w:rPr>
          <w:bCs/>
        </w:rPr>
        <w:t>406,1 MHz</w:t>
      </w:r>
      <w:r w:rsidR="008070B7">
        <w:rPr>
          <w:bCs/>
        </w:rPr>
        <w:t>.</w:t>
      </w:r>
      <w:r w:rsidR="008070B7">
        <w:rPr>
          <w:color w:val="000000"/>
        </w:rPr>
        <w:t xml:space="preserve"> </w:t>
      </w:r>
    </w:p>
    <w:p w:rsidR="008070B7" w:rsidRPr="00B363B4" w:rsidRDefault="00B113A2" w:rsidP="008070B7">
      <w:pPr>
        <w:pStyle w:val="Headingb"/>
      </w:pPr>
      <w:r>
        <w:tab/>
      </w:r>
      <w:r w:rsidR="008070B7">
        <w:t>P</w:t>
      </w:r>
      <w:r w:rsidR="008070B7" w:rsidRPr="00B363B4">
        <w:t>osition de l</w:t>
      </w:r>
      <w:r w:rsidR="00EB627B">
        <w:t>'</w:t>
      </w:r>
      <w:r w:rsidR="008070B7" w:rsidRPr="00B363B4">
        <w:t>OMI</w:t>
      </w:r>
    </w:p>
    <w:p w:rsidR="008070B7" w:rsidRPr="00B363B4" w:rsidRDefault="00B113A2" w:rsidP="00B113A2">
      <w:pPr>
        <w:ind w:left="1134" w:hanging="1134"/>
        <w:rPr>
          <w:bCs/>
        </w:rPr>
      </w:pPr>
      <w:r>
        <w:rPr>
          <w:bCs/>
        </w:rPr>
        <w:tab/>
      </w:r>
      <w:r w:rsidR="008070B7" w:rsidRPr="00B363B4">
        <w:rPr>
          <w:bCs/>
        </w:rPr>
        <w:t>Il est essentiel de protéger la bande 406</w:t>
      </w:r>
      <w:r w:rsidR="008070B7">
        <w:rPr>
          <w:bCs/>
        </w:rPr>
        <w:noBreakHyphen/>
      </w:r>
      <w:r w:rsidR="008070B7" w:rsidRPr="00B363B4">
        <w:rPr>
          <w:bCs/>
        </w:rPr>
        <w:t xml:space="preserve">406,1 MHz attribuée au SMS contre </w:t>
      </w:r>
      <w:r w:rsidR="008070B7">
        <w:rPr>
          <w:bCs/>
        </w:rPr>
        <w:t xml:space="preserve">les </w:t>
      </w:r>
      <w:r w:rsidR="008070B7" w:rsidRPr="00B363B4">
        <w:rPr>
          <w:bCs/>
        </w:rPr>
        <w:t>émission</w:t>
      </w:r>
      <w:r w:rsidR="008070B7">
        <w:rPr>
          <w:bCs/>
        </w:rPr>
        <w:t>s</w:t>
      </w:r>
      <w:r w:rsidR="008070B7" w:rsidRPr="00B363B4">
        <w:rPr>
          <w:bCs/>
        </w:rPr>
        <w:t xml:space="preserve"> qui nuirai</w:t>
      </w:r>
      <w:r w:rsidR="008070B7">
        <w:rPr>
          <w:bCs/>
        </w:rPr>
        <w:t>en</w:t>
      </w:r>
      <w:r w:rsidR="008070B7" w:rsidRPr="00B363B4">
        <w:rPr>
          <w:bCs/>
        </w:rPr>
        <w:t>t à l</w:t>
      </w:r>
      <w:r w:rsidR="00EB627B">
        <w:rPr>
          <w:bCs/>
        </w:rPr>
        <w:t>'</w:t>
      </w:r>
      <w:r w:rsidR="008070B7" w:rsidRPr="00B363B4">
        <w:rPr>
          <w:bCs/>
        </w:rPr>
        <w:t>exploitation des rép</w:t>
      </w:r>
      <w:r w:rsidR="008070B7">
        <w:rPr>
          <w:bCs/>
        </w:rPr>
        <w:t>ét</w:t>
      </w:r>
      <w:r w:rsidR="008070B7" w:rsidRPr="00B363B4">
        <w:rPr>
          <w:bCs/>
        </w:rPr>
        <w:t xml:space="preserve">eurs et des récepteurs </w:t>
      </w:r>
      <w:r w:rsidR="00EB627B">
        <w:rPr>
          <w:bCs/>
        </w:rPr>
        <w:t>de satellite à </w:t>
      </w:r>
      <w:r w:rsidR="008070B7">
        <w:rPr>
          <w:bCs/>
        </w:rPr>
        <w:t>406 </w:t>
      </w:r>
      <w:r w:rsidR="008070B7" w:rsidRPr="00B363B4">
        <w:rPr>
          <w:bCs/>
        </w:rPr>
        <w:t>MHz et risquerai</w:t>
      </w:r>
      <w:r w:rsidR="008070B7">
        <w:rPr>
          <w:bCs/>
        </w:rPr>
        <w:t>en</w:t>
      </w:r>
      <w:r w:rsidR="008070B7" w:rsidRPr="00B363B4">
        <w:rPr>
          <w:bCs/>
        </w:rPr>
        <w:t>t d</w:t>
      </w:r>
      <w:r w:rsidR="00EB627B">
        <w:rPr>
          <w:bCs/>
        </w:rPr>
        <w:t>'</w:t>
      </w:r>
      <w:r w:rsidR="008070B7" w:rsidRPr="00B363B4">
        <w:rPr>
          <w:bCs/>
        </w:rPr>
        <w:t>empêcher la détection des signaux des radiobalises de localisation des sinistres (RLS) par satellite.</w:t>
      </w:r>
    </w:p>
    <w:p w:rsidR="008070B7" w:rsidRPr="00B363B4" w:rsidRDefault="008070B7" w:rsidP="008070B7">
      <w:pPr>
        <w:pStyle w:val="Headingb"/>
      </w:pPr>
      <w:r w:rsidRPr="00B363B4">
        <w:t>Point 9.1</w:t>
      </w:r>
      <w:r>
        <w:t>.6</w:t>
      </w:r>
      <w:r w:rsidRPr="00B363B4">
        <w:t xml:space="preserve"> de l</w:t>
      </w:r>
      <w:r w:rsidR="00EB627B">
        <w:t>'</w:t>
      </w:r>
      <w:r w:rsidRPr="00B363B4">
        <w:t>ordre du jour</w:t>
      </w:r>
    </w:p>
    <w:p w:rsidR="008070B7" w:rsidRPr="00B363B4" w:rsidRDefault="00B113A2" w:rsidP="008070B7">
      <w:pPr>
        <w:pStyle w:val="Headingb"/>
      </w:pPr>
      <w:r>
        <w:tab/>
      </w:r>
      <w:r w:rsidR="008070B7">
        <w:t>Rappel</w:t>
      </w:r>
    </w:p>
    <w:p w:rsidR="008070B7" w:rsidRPr="007E05D8" w:rsidRDefault="00B113A2" w:rsidP="00B113A2">
      <w:pPr>
        <w:ind w:left="1134" w:hanging="1134"/>
        <w:rPr>
          <w:bCs/>
          <w:iCs/>
        </w:rPr>
      </w:pPr>
      <w:r>
        <w:rPr>
          <w:bCs/>
        </w:rPr>
        <w:tab/>
      </w:r>
      <w:r w:rsidR="008070B7" w:rsidRPr="00A8719F">
        <w:rPr>
          <w:bCs/>
        </w:rPr>
        <w:t>Au titre du point 9.1</w:t>
      </w:r>
      <w:r w:rsidR="008070B7">
        <w:rPr>
          <w:bCs/>
        </w:rPr>
        <w:t>.6</w:t>
      </w:r>
      <w:r w:rsidR="008070B7" w:rsidRPr="00A8719F">
        <w:rPr>
          <w:bCs/>
        </w:rPr>
        <w:t xml:space="preserve"> de l</w:t>
      </w:r>
      <w:r w:rsidR="00EB627B">
        <w:rPr>
          <w:bCs/>
        </w:rPr>
        <w:t>'</w:t>
      </w:r>
      <w:r w:rsidR="008070B7" w:rsidRPr="00A8719F">
        <w:rPr>
          <w:bCs/>
        </w:rPr>
        <w:t>ordre du jour, l</w:t>
      </w:r>
      <w:r w:rsidR="00EB627B">
        <w:rPr>
          <w:bCs/>
        </w:rPr>
        <w:t>'</w:t>
      </w:r>
      <w:r w:rsidR="008070B7" w:rsidRPr="00A8719F">
        <w:rPr>
          <w:bCs/>
        </w:rPr>
        <w:t>UIT</w:t>
      </w:r>
      <w:r w:rsidR="008070B7" w:rsidRPr="00A8719F">
        <w:rPr>
          <w:bCs/>
        </w:rPr>
        <w:noBreakHyphen/>
        <w:t xml:space="preserve">R est invité à mener des études, conformément à la Résolution </w:t>
      </w:r>
      <w:r w:rsidR="008070B7" w:rsidRPr="007E05D8">
        <w:rPr>
          <w:b/>
        </w:rPr>
        <w:t>957</w:t>
      </w:r>
      <w:r w:rsidR="008070B7" w:rsidRPr="00A8719F">
        <w:rPr>
          <w:bCs/>
        </w:rPr>
        <w:t xml:space="preserve"> </w:t>
      </w:r>
      <w:r w:rsidR="008070B7" w:rsidRPr="00A8719F">
        <w:rPr>
          <w:b/>
          <w:bCs/>
        </w:rPr>
        <w:t>(CMR</w:t>
      </w:r>
      <w:r w:rsidR="008070B7" w:rsidRPr="00A8719F">
        <w:rPr>
          <w:b/>
          <w:bCs/>
        </w:rPr>
        <w:noBreakHyphen/>
        <w:t>12)</w:t>
      </w:r>
      <w:r w:rsidR="008070B7" w:rsidRPr="00A8719F">
        <w:rPr>
          <w:bCs/>
        </w:rPr>
        <w:t xml:space="preserve"> en vue d</w:t>
      </w:r>
      <w:r w:rsidR="00EB627B">
        <w:rPr>
          <w:bCs/>
        </w:rPr>
        <w:t>'</w:t>
      </w:r>
      <w:r w:rsidR="008070B7" w:rsidRPr="00A8719F">
        <w:rPr>
          <w:bCs/>
        </w:rPr>
        <w:t xml:space="preserve">examiner les définitions des termes </w:t>
      </w:r>
      <w:r w:rsidR="008070B7" w:rsidRPr="00E17C02">
        <w:rPr>
          <w:bCs/>
          <w:i/>
        </w:rPr>
        <w:t>service fixe</w:t>
      </w:r>
      <w:r w:rsidR="008070B7" w:rsidRPr="007E05D8">
        <w:rPr>
          <w:bCs/>
          <w:iCs/>
        </w:rPr>
        <w:t xml:space="preserve">, </w:t>
      </w:r>
      <w:r w:rsidR="008070B7" w:rsidRPr="00E17C02">
        <w:rPr>
          <w:bCs/>
          <w:i/>
        </w:rPr>
        <w:t>station fixe</w:t>
      </w:r>
      <w:r w:rsidR="008070B7" w:rsidRPr="007E05D8">
        <w:rPr>
          <w:bCs/>
          <w:iCs/>
        </w:rPr>
        <w:t xml:space="preserve"> et </w:t>
      </w:r>
      <w:r w:rsidR="008070B7" w:rsidRPr="00E17C02">
        <w:rPr>
          <w:bCs/>
          <w:i/>
        </w:rPr>
        <w:t>station mobile</w:t>
      </w:r>
      <w:r w:rsidR="008070B7" w:rsidRPr="007E05D8">
        <w:rPr>
          <w:bCs/>
          <w:iCs/>
        </w:rPr>
        <w:t>.</w:t>
      </w:r>
    </w:p>
    <w:p w:rsidR="008070B7" w:rsidRPr="00A8719F" w:rsidRDefault="00B113A2" w:rsidP="00B113A2">
      <w:pPr>
        <w:ind w:left="1134" w:hanging="1134"/>
        <w:rPr>
          <w:bCs/>
        </w:rPr>
      </w:pPr>
      <w:r>
        <w:rPr>
          <w:bCs/>
        </w:rPr>
        <w:tab/>
      </w:r>
      <w:r w:rsidR="008070B7" w:rsidRPr="00A8719F">
        <w:rPr>
          <w:bCs/>
        </w:rPr>
        <w:t>Au titre de ce même point de l</w:t>
      </w:r>
      <w:r w:rsidR="00EB627B">
        <w:rPr>
          <w:bCs/>
        </w:rPr>
        <w:t>'</w:t>
      </w:r>
      <w:r w:rsidR="008070B7" w:rsidRPr="00A8719F">
        <w:rPr>
          <w:bCs/>
        </w:rPr>
        <w:t xml:space="preserve">ordre </w:t>
      </w:r>
      <w:r w:rsidR="008070B7" w:rsidRPr="00DC72C9">
        <w:rPr>
          <w:bCs/>
        </w:rPr>
        <w:t>du jour, l</w:t>
      </w:r>
      <w:r w:rsidR="00EB627B">
        <w:rPr>
          <w:bCs/>
        </w:rPr>
        <w:t>'</w:t>
      </w:r>
      <w:r w:rsidR="008070B7" w:rsidRPr="00DC72C9">
        <w:rPr>
          <w:bCs/>
        </w:rPr>
        <w:t>UIT</w:t>
      </w:r>
      <w:r w:rsidR="008070B7" w:rsidRPr="00DC72C9">
        <w:rPr>
          <w:bCs/>
        </w:rPr>
        <w:noBreakHyphen/>
        <w:t xml:space="preserve">R est invité à procéder aux études nécessaires pour examiner les définitions des termes </w:t>
      </w:r>
      <w:r w:rsidR="008070B7" w:rsidRPr="00E17C02">
        <w:rPr>
          <w:bCs/>
          <w:i/>
          <w:iCs/>
        </w:rPr>
        <w:t>service fixe</w:t>
      </w:r>
      <w:r w:rsidR="008070B7" w:rsidRPr="00DC72C9">
        <w:rPr>
          <w:bCs/>
        </w:rPr>
        <w:t xml:space="preserve">, </w:t>
      </w:r>
      <w:r w:rsidR="008070B7" w:rsidRPr="00E17C02">
        <w:rPr>
          <w:bCs/>
          <w:i/>
          <w:iCs/>
        </w:rPr>
        <w:t>station fixe</w:t>
      </w:r>
      <w:r w:rsidR="008070B7" w:rsidRPr="00DC72C9">
        <w:rPr>
          <w:bCs/>
        </w:rPr>
        <w:t xml:space="preserve"> et </w:t>
      </w:r>
      <w:r w:rsidR="008070B7" w:rsidRPr="00E17C02">
        <w:rPr>
          <w:bCs/>
          <w:i/>
          <w:iCs/>
        </w:rPr>
        <w:t>station mobile</w:t>
      </w:r>
      <w:r w:rsidR="008070B7" w:rsidRPr="00DC72C9">
        <w:rPr>
          <w:bCs/>
        </w:rPr>
        <w:t xml:space="preserve"> </w:t>
      </w:r>
      <w:r w:rsidR="008070B7">
        <w:rPr>
          <w:bCs/>
        </w:rPr>
        <w:t xml:space="preserve">données </w:t>
      </w:r>
      <w:r w:rsidR="008070B7" w:rsidRPr="00DC72C9">
        <w:rPr>
          <w:bCs/>
        </w:rPr>
        <w:t>dans l</w:t>
      </w:r>
      <w:r w:rsidR="00EB627B">
        <w:rPr>
          <w:bCs/>
        </w:rPr>
        <w:t>'</w:t>
      </w:r>
      <w:r w:rsidR="008070B7" w:rsidRPr="00DC72C9">
        <w:rPr>
          <w:bCs/>
        </w:rPr>
        <w:t>Article 1 du Règlement des radiocommunications</w:t>
      </w:r>
      <w:r w:rsidR="008070B7">
        <w:rPr>
          <w:bCs/>
        </w:rPr>
        <w:t>, en vue d</w:t>
      </w:r>
      <w:r w:rsidR="00EB627B">
        <w:rPr>
          <w:bCs/>
        </w:rPr>
        <w:t>'</w:t>
      </w:r>
      <w:r w:rsidR="008070B7">
        <w:rPr>
          <w:bCs/>
        </w:rPr>
        <w:t xml:space="preserve">une </w:t>
      </w:r>
      <w:r w:rsidR="008070B7" w:rsidRPr="00DC72C9">
        <w:rPr>
          <w:bCs/>
        </w:rPr>
        <w:t>éventuelle modification. Il est invité en outre à étudier l</w:t>
      </w:r>
      <w:r w:rsidR="00EB627B">
        <w:rPr>
          <w:bCs/>
        </w:rPr>
        <w:t>'</w:t>
      </w:r>
      <w:r w:rsidR="008070B7" w:rsidRPr="00DC72C9">
        <w:rPr>
          <w:bCs/>
        </w:rPr>
        <w:t>incidence potentielle sur</w:t>
      </w:r>
      <w:r w:rsidR="008070B7" w:rsidRPr="00A8719F">
        <w:rPr>
          <w:bCs/>
        </w:rPr>
        <w:t xml:space="preserve"> les procédures réglementaires du Règlement des radiocommunications (coordination, notification et inscription) et l</w:t>
      </w:r>
      <w:r w:rsidR="00EB627B">
        <w:rPr>
          <w:bCs/>
        </w:rPr>
        <w:t>'</w:t>
      </w:r>
      <w:r w:rsidR="008070B7" w:rsidRPr="00A8719F">
        <w:rPr>
          <w:bCs/>
        </w:rPr>
        <w:t xml:space="preserve">incidence sur les </w:t>
      </w:r>
      <w:r w:rsidR="008070B7">
        <w:rPr>
          <w:bCs/>
        </w:rPr>
        <w:t xml:space="preserve">assignations de </w:t>
      </w:r>
      <w:r w:rsidR="008070B7" w:rsidRPr="00A8719F">
        <w:rPr>
          <w:bCs/>
        </w:rPr>
        <w:t>fréquence actuelle</w:t>
      </w:r>
      <w:r w:rsidR="008070B7">
        <w:rPr>
          <w:bCs/>
        </w:rPr>
        <w:t xml:space="preserve">s des </w:t>
      </w:r>
      <w:r w:rsidR="008070B7" w:rsidRPr="00A8719F">
        <w:rPr>
          <w:bCs/>
        </w:rPr>
        <w:t>autres services</w:t>
      </w:r>
      <w:r w:rsidR="008070B7">
        <w:rPr>
          <w:bCs/>
        </w:rPr>
        <w:t xml:space="preserve"> que pourraient avoir</w:t>
      </w:r>
      <w:r w:rsidR="008070B7" w:rsidRPr="00A8719F">
        <w:rPr>
          <w:bCs/>
        </w:rPr>
        <w:t xml:space="preserve"> les modifications éventuelles des définitions </w:t>
      </w:r>
      <w:r w:rsidR="008070B7">
        <w:rPr>
          <w:bCs/>
        </w:rPr>
        <w:t>figura</w:t>
      </w:r>
      <w:r w:rsidR="008070B7" w:rsidRPr="00A8719F">
        <w:rPr>
          <w:bCs/>
        </w:rPr>
        <w:t>nt dans l</w:t>
      </w:r>
      <w:r w:rsidR="00EB627B">
        <w:rPr>
          <w:bCs/>
        </w:rPr>
        <w:t>'</w:t>
      </w:r>
      <w:r w:rsidR="008070B7" w:rsidRPr="00A8719F">
        <w:rPr>
          <w:bCs/>
        </w:rPr>
        <w:t>Article 1.</w:t>
      </w:r>
    </w:p>
    <w:p w:rsidR="008070B7" w:rsidRPr="00B363B4" w:rsidRDefault="00B113A2" w:rsidP="008070B7">
      <w:pPr>
        <w:pStyle w:val="Headingb"/>
      </w:pPr>
      <w:r>
        <w:tab/>
      </w:r>
      <w:r w:rsidR="008070B7">
        <w:t>P</w:t>
      </w:r>
      <w:r w:rsidR="008070B7" w:rsidRPr="00B363B4">
        <w:t>osition de l</w:t>
      </w:r>
      <w:r w:rsidR="00EB627B">
        <w:t>'</w:t>
      </w:r>
      <w:r w:rsidR="008070B7" w:rsidRPr="00B363B4">
        <w:t>OMI</w:t>
      </w:r>
    </w:p>
    <w:p w:rsidR="008070B7" w:rsidRPr="00B363B4" w:rsidRDefault="00B113A2" w:rsidP="00B113A2">
      <w:pPr>
        <w:ind w:left="1134" w:hanging="1134"/>
        <w:rPr>
          <w:bCs/>
        </w:rPr>
      </w:pPr>
      <w:r>
        <w:rPr>
          <w:bCs/>
        </w:rPr>
        <w:tab/>
      </w:r>
      <w:r w:rsidR="008070B7">
        <w:rPr>
          <w:bCs/>
        </w:rPr>
        <w:t xml:space="preserve">Veiller à ce </w:t>
      </w:r>
      <w:r w:rsidR="008070B7" w:rsidRPr="00B363B4">
        <w:rPr>
          <w:bCs/>
        </w:rPr>
        <w:t xml:space="preserve">que les mesures prises </w:t>
      </w:r>
      <w:r w:rsidR="008070B7">
        <w:rPr>
          <w:bCs/>
        </w:rPr>
        <w:t>par</w:t>
      </w:r>
      <w:r w:rsidR="008070B7" w:rsidRPr="00B363B4">
        <w:rPr>
          <w:bCs/>
        </w:rPr>
        <w:t xml:space="preserve"> la CMR</w:t>
      </w:r>
      <w:r w:rsidR="008070B7">
        <w:rPr>
          <w:bCs/>
        </w:rPr>
        <w:noBreakHyphen/>
      </w:r>
      <w:r w:rsidR="008070B7" w:rsidRPr="00B363B4">
        <w:rPr>
          <w:bCs/>
        </w:rPr>
        <w:t>15 au titre de ce point de l</w:t>
      </w:r>
      <w:r w:rsidR="00EB627B">
        <w:rPr>
          <w:bCs/>
        </w:rPr>
        <w:t>'</w:t>
      </w:r>
      <w:r w:rsidR="008070B7" w:rsidRPr="00B363B4">
        <w:rPr>
          <w:bCs/>
        </w:rPr>
        <w:t>ordre du jour n</w:t>
      </w:r>
      <w:r w:rsidR="00EB627B">
        <w:rPr>
          <w:bCs/>
        </w:rPr>
        <w:t>'</w:t>
      </w:r>
      <w:r w:rsidR="008070B7" w:rsidRPr="00B363B4">
        <w:rPr>
          <w:bCs/>
        </w:rPr>
        <w:t>a</w:t>
      </w:r>
      <w:r w:rsidR="008070B7">
        <w:rPr>
          <w:bCs/>
        </w:rPr>
        <w:t xml:space="preserve">ient </w:t>
      </w:r>
      <w:r w:rsidR="008070B7" w:rsidRPr="00B363B4">
        <w:rPr>
          <w:bCs/>
        </w:rPr>
        <w:t>pas d</w:t>
      </w:r>
      <w:r w:rsidR="00EB627B">
        <w:rPr>
          <w:bCs/>
        </w:rPr>
        <w:t>'</w:t>
      </w:r>
      <w:r w:rsidR="008070B7">
        <w:rPr>
          <w:bCs/>
        </w:rPr>
        <w:t xml:space="preserve">incidences négatives </w:t>
      </w:r>
      <w:r w:rsidR="008070B7" w:rsidRPr="00B363B4">
        <w:rPr>
          <w:bCs/>
        </w:rPr>
        <w:t>sur les services et</w:t>
      </w:r>
      <w:r w:rsidR="008070B7">
        <w:rPr>
          <w:bCs/>
        </w:rPr>
        <w:t xml:space="preserve"> les</w:t>
      </w:r>
      <w:r w:rsidR="008070B7" w:rsidRPr="00B363B4">
        <w:rPr>
          <w:bCs/>
        </w:rPr>
        <w:t xml:space="preserve"> applications maritimes. </w:t>
      </w:r>
    </w:p>
    <w:p w:rsidR="008070B7" w:rsidRPr="00B363B4" w:rsidRDefault="008070B7" w:rsidP="008070B7">
      <w:pPr>
        <w:pStyle w:val="Headingb"/>
      </w:pPr>
      <w:r w:rsidRPr="00B363B4">
        <w:t>Point 10 de l</w:t>
      </w:r>
      <w:r w:rsidR="00EB627B">
        <w:t>'</w:t>
      </w:r>
      <w:r w:rsidRPr="00B363B4">
        <w:t>ordre du jour</w:t>
      </w:r>
    </w:p>
    <w:p w:rsidR="008070B7" w:rsidRPr="00B113A2" w:rsidRDefault="008070B7" w:rsidP="008070B7">
      <w:pPr>
        <w:rPr>
          <w:bCs/>
        </w:rPr>
      </w:pPr>
      <w:r w:rsidRPr="00B113A2">
        <w:rPr>
          <w:bCs/>
        </w:rPr>
        <w:t>10</w:t>
      </w:r>
      <w:r w:rsidRPr="00B113A2">
        <w:rPr>
          <w:bCs/>
        </w:rPr>
        <w:tab/>
        <w:t>recommander au Conseil des points à inscrire à l</w:t>
      </w:r>
      <w:r w:rsidR="00EB627B">
        <w:rPr>
          <w:bCs/>
        </w:rPr>
        <w:t>'</w:t>
      </w:r>
      <w:r w:rsidRPr="00B113A2">
        <w:rPr>
          <w:bCs/>
        </w:rPr>
        <w:t>ordre du jour de la CMR suivante et exposer ses vues sur l</w:t>
      </w:r>
      <w:r w:rsidR="00EB627B">
        <w:rPr>
          <w:bCs/>
        </w:rPr>
        <w:t>'</w:t>
      </w:r>
      <w:r w:rsidRPr="00B113A2">
        <w:rPr>
          <w:bCs/>
        </w:rPr>
        <w:t>ordre du jour préliminaire de la conférence ultérieure ainsi que sur des points éventuels à inscrire à l</w:t>
      </w:r>
      <w:r w:rsidR="00EB627B">
        <w:rPr>
          <w:bCs/>
        </w:rPr>
        <w:t>'</w:t>
      </w:r>
      <w:r w:rsidRPr="00B113A2">
        <w:rPr>
          <w:bCs/>
        </w:rPr>
        <w:t>ordre du jour de conférences futures, conformément à l</w:t>
      </w:r>
      <w:r w:rsidR="00EB627B">
        <w:rPr>
          <w:bCs/>
        </w:rPr>
        <w:t>'</w:t>
      </w:r>
      <w:r w:rsidRPr="00B113A2">
        <w:rPr>
          <w:bCs/>
        </w:rPr>
        <w:t>article 7 de la Convention;</w:t>
      </w:r>
    </w:p>
    <w:p w:rsidR="008070B7" w:rsidRPr="00B363B4" w:rsidRDefault="00B113A2" w:rsidP="008070B7">
      <w:pPr>
        <w:pStyle w:val="Headingb"/>
      </w:pPr>
      <w:r>
        <w:tab/>
      </w:r>
      <w:r w:rsidR="008070B7">
        <w:t>Rappel</w:t>
      </w:r>
    </w:p>
    <w:p w:rsidR="008070B7" w:rsidRPr="00B363B4" w:rsidRDefault="00B113A2" w:rsidP="00B113A2">
      <w:pPr>
        <w:ind w:left="1134" w:hanging="1134"/>
        <w:rPr>
          <w:bCs/>
        </w:rPr>
      </w:pPr>
      <w:r>
        <w:rPr>
          <w:bCs/>
        </w:rPr>
        <w:tab/>
      </w:r>
      <w:r w:rsidR="008070B7">
        <w:rPr>
          <w:bCs/>
        </w:rPr>
        <w:t>Conformément à l</w:t>
      </w:r>
      <w:r w:rsidR="008070B7" w:rsidRPr="00B363B4">
        <w:rPr>
          <w:bCs/>
        </w:rPr>
        <w:t xml:space="preserve">a Résolution </w:t>
      </w:r>
      <w:r w:rsidR="008070B7" w:rsidRPr="003646FA">
        <w:rPr>
          <w:b/>
        </w:rPr>
        <w:t>808 (CMR</w:t>
      </w:r>
      <w:r w:rsidR="008070B7" w:rsidRPr="003646FA">
        <w:rPr>
          <w:b/>
        </w:rPr>
        <w:noBreakHyphen/>
        <w:t>12)</w:t>
      </w:r>
      <w:r w:rsidR="008070B7" w:rsidRPr="00B363B4">
        <w:rPr>
          <w:bCs/>
        </w:rPr>
        <w:t>, qui contient l</w:t>
      </w:r>
      <w:r w:rsidR="00EB627B">
        <w:rPr>
          <w:bCs/>
        </w:rPr>
        <w:t>'</w:t>
      </w:r>
      <w:r w:rsidR="008070B7" w:rsidRPr="00B363B4">
        <w:rPr>
          <w:bCs/>
        </w:rPr>
        <w:t>ordre du jour préliminaire de la CMR</w:t>
      </w:r>
      <w:r w:rsidR="008070B7">
        <w:rPr>
          <w:bCs/>
        </w:rPr>
        <w:noBreakHyphen/>
      </w:r>
      <w:r w:rsidR="008070B7" w:rsidRPr="00B363B4">
        <w:rPr>
          <w:bCs/>
        </w:rPr>
        <w:t xml:space="preserve">18, </w:t>
      </w:r>
      <w:r w:rsidR="008070B7">
        <w:rPr>
          <w:bCs/>
        </w:rPr>
        <w:t xml:space="preserve">le </w:t>
      </w:r>
      <w:r w:rsidR="008070B7" w:rsidRPr="00B363B4">
        <w:rPr>
          <w:bCs/>
        </w:rPr>
        <w:t>point 2.1</w:t>
      </w:r>
      <w:r w:rsidR="008070B7">
        <w:rPr>
          <w:bCs/>
        </w:rPr>
        <w:t xml:space="preserve"> ci</w:t>
      </w:r>
      <w:r w:rsidR="008070B7">
        <w:rPr>
          <w:bCs/>
        </w:rPr>
        <w:noBreakHyphen/>
        <w:t>après, «</w:t>
      </w:r>
      <w:r w:rsidR="008070B7" w:rsidRPr="00B363B4">
        <w:rPr>
          <w:bCs/>
        </w:rPr>
        <w:t xml:space="preserve">Examiner les mesures réglementaires, y compris des attributions de fréquences, en vue de permettre la modernisation du SMDSM et la mise en </w:t>
      </w:r>
      <w:r>
        <w:rPr>
          <w:rFonts w:cs="Arial"/>
          <w:bCs/>
        </w:rPr>
        <w:t>oe</w:t>
      </w:r>
      <w:r w:rsidR="008070B7" w:rsidRPr="00B363B4">
        <w:rPr>
          <w:bCs/>
        </w:rPr>
        <w:t>uvre de l</w:t>
      </w:r>
      <w:r w:rsidR="008070B7">
        <w:rPr>
          <w:bCs/>
        </w:rPr>
        <w:t xml:space="preserve">a </w:t>
      </w:r>
      <w:r w:rsidR="008070B7" w:rsidRPr="00B363B4">
        <w:rPr>
          <w:bCs/>
        </w:rPr>
        <w:t>navigation</w:t>
      </w:r>
      <w:r w:rsidR="008070B7">
        <w:rPr>
          <w:bCs/>
        </w:rPr>
        <w:t xml:space="preserve"> électronique</w:t>
      </w:r>
      <w:r w:rsidR="008070B7" w:rsidRPr="00B363B4">
        <w:rPr>
          <w:bCs/>
        </w:rPr>
        <w:t xml:space="preserve">, conformément à la Résolution </w:t>
      </w:r>
      <w:r w:rsidR="008070B7" w:rsidRPr="003646FA">
        <w:rPr>
          <w:b/>
        </w:rPr>
        <w:t>359 (CMR</w:t>
      </w:r>
      <w:r w:rsidR="008070B7" w:rsidRPr="003646FA">
        <w:rPr>
          <w:b/>
        </w:rPr>
        <w:noBreakHyphen/>
        <w:t>12)</w:t>
      </w:r>
      <w:r w:rsidR="008070B7" w:rsidRPr="00E17C02">
        <w:rPr>
          <w:bCs/>
        </w:rPr>
        <w:t>»</w:t>
      </w:r>
      <w:r w:rsidR="008070B7">
        <w:rPr>
          <w:bCs/>
        </w:rPr>
        <w:t xml:space="preserve"> devrait être inscrit à l</w:t>
      </w:r>
      <w:r w:rsidR="00EB627B">
        <w:rPr>
          <w:bCs/>
        </w:rPr>
        <w:t>'</w:t>
      </w:r>
      <w:r w:rsidR="008070B7">
        <w:rPr>
          <w:bCs/>
        </w:rPr>
        <w:t>ordre du jour préliminaire de cette conférence</w:t>
      </w:r>
      <w:r w:rsidR="008070B7" w:rsidRPr="00B363B4">
        <w:rPr>
          <w:bCs/>
        </w:rPr>
        <w:t>.</w:t>
      </w:r>
    </w:p>
    <w:p w:rsidR="00EB627B" w:rsidRDefault="00EB627B" w:rsidP="00B113A2">
      <w:pPr>
        <w:ind w:left="1134" w:hanging="1134"/>
        <w:rPr>
          <w:bCs/>
        </w:rPr>
      </w:pPr>
      <w:r>
        <w:rPr>
          <w:bCs/>
        </w:rPr>
        <w:br w:type="page"/>
      </w:r>
    </w:p>
    <w:p w:rsidR="008070B7" w:rsidRDefault="00B113A2" w:rsidP="00080245">
      <w:pPr>
        <w:ind w:left="1134" w:hanging="1134"/>
        <w:rPr>
          <w:color w:val="000000"/>
        </w:rPr>
      </w:pPr>
      <w:r>
        <w:rPr>
          <w:bCs/>
        </w:rPr>
        <w:lastRenderedPageBreak/>
        <w:tab/>
      </w:r>
      <w:r w:rsidR="008070B7">
        <w:rPr>
          <w:bCs/>
        </w:rPr>
        <w:t>En raison de la complexité des travaux relatifs à l</w:t>
      </w:r>
      <w:r w:rsidR="00EB627B">
        <w:rPr>
          <w:bCs/>
        </w:rPr>
        <w:t>'</w:t>
      </w:r>
      <w:r w:rsidR="008070B7">
        <w:rPr>
          <w:bCs/>
        </w:rPr>
        <w:t xml:space="preserve">examen du SMDSM, </w:t>
      </w:r>
      <w:r w:rsidR="008070B7" w:rsidRPr="00B363B4">
        <w:t>l</w:t>
      </w:r>
      <w:r w:rsidR="00EB627B">
        <w:t>'</w:t>
      </w:r>
      <w:r w:rsidR="008070B7" w:rsidRPr="00B363B4">
        <w:t>OMI</w:t>
      </w:r>
      <w:r w:rsidR="008070B7">
        <w:rPr>
          <w:bCs/>
        </w:rPr>
        <w:t xml:space="preserve"> projette d</w:t>
      </w:r>
      <w:r w:rsidR="00EB627B">
        <w:rPr>
          <w:bCs/>
        </w:rPr>
        <w:t>'</w:t>
      </w:r>
      <w:r w:rsidR="008070B7">
        <w:rPr>
          <w:bCs/>
        </w:rPr>
        <w:t>achever le plan de modernisation de ce système en 2018. La première étape des</w:t>
      </w:r>
      <w:r>
        <w:rPr>
          <w:bCs/>
        </w:rPr>
        <w:t xml:space="preserve"> </w:t>
      </w:r>
      <w:r w:rsidR="008070B7">
        <w:rPr>
          <w:bCs/>
        </w:rPr>
        <w:t>travaux complémentaires qui seront effectués en ce qui concerne</w:t>
      </w:r>
      <w:r>
        <w:rPr>
          <w:bCs/>
        </w:rPr>
        <w:t xml:space="preserve"> </w:t>
      </w:r>
      <w:r w:rsidR="008070B7">
        <w:rPr>
          <w:bCs/>
        </w:rPr>
        <w:t xml:space="preserve">la mise en </w:t>
      </w:r>
      <w:r>
        <w:rPr>
          <w:bCs/>
        </w:rPr>
        <w:t>oe</w:t>
      </w:r>
      <w:r w:rsidR="008070B7">
        <w:rPr>
          <w:bCs/>
        </w:rPr>
        <w:t>uvre de la</w:t>
      </w:r>
      <w:r>
        <w:rPr>
          <w:color w:val="000000"/>
        </w:rPr>
        <w:t xml:space="preserve"> </w:t>
      </w:r>
      <w:r w:rsidR="008070B7">
        <w:rPr>
          <w:color w:val="000000"/>
        </w:rPr>
        <w:t>navigation électronique devrait être mené</w:t>
      </w:r>
      <w:r w:rsidR="00080245">
        <w:rPr>
          <w:color w:val="000000"/>
        </w:rPr>
        <w:t>e</w:t>
      </w:r>
      <w:r>
        <w:rPr>
          <w:color w:val="000000"/>
        </w:rPr>
        <w:t xml:space="preserve"> à bien pendant la période 2016-</w:t>
      </w:r>
      <w:r w:rsidR="008070B7">
        <w:rPr>
          <w:color w:val="000000"/>
        </w:rPr>
        <w:t>2019. Compte tenu de ce qui précède, il ne sera sans doute pas possible de définir des mesures réglementaires détaillées à temps</w:t>
      </w:r>
      <w:r>
        <w:rPr>
          <w:color w:val="000000"/>
        </w:rPr>
        <w:t xml:space="preserve"> </w:t>
      </w:r>
      <w:r w:rsidR="00080245">
        <w:rPr>
          <w:color w:val="000000"/>
        </w:rPr>
        <w:t>pour</w:t>
      </w:r>
      <w:r>
        <w:rPr>
          <w:color w:val="000000"/>
        </w:rPr>
        <w:t xml:space="preserve"> la CMR-</w:t>
      </w:r>
      <w:r w:rsidR="008070B7">
        <w:rPr>
          <w:color w:val="000000"/>
        </w:rPr>
        <w:t>18.</w:t>
      </w:r>
    </w:p>
    <w:p w:rsidR="008070B7" w:rsidRDefault="00EB627B" w:rsidP="00EB627B">
      <w:pPr>
        <w:ind w:left="1134" w:hanging="1134"/>
        <w:rPr>
          <w:bCs/>
        </w:rPr>
      </w:pPr>
      <w:r>
        <w:rPr>
          <w:color w:val="000000"/>
        </w:rPr>
        <w:tab/>
      </w:r>
      <w:r w:rsidR="008070B7">
        <w:rPr>
          <w:color w:val="000000"/>
        </w:rPr>
        <w:t>Bien que cette question ne se rapporte pas directement à la modernisation du</w:t>
      </w:r>
      <w:r w:rsidR="008070B7" w:rsidRPr="00C44BC3">
        <w:rPr>
          <w:bCs/>
        </w:rPr>
        <w:t xml:space="preserve"> </w:t>
      </w:r>
      <w:r w:rsidR="008070B7">
        <w:rPr>
          <w:bCs/>
        </w:rPr>
        <w:t>SMDSM,</w:t>
      </w:r>
      <w:r w:rsidR="008070B7" w:rsidRPr="00C44BC3">
        <w:t xml:space="preserve"> </w:t>
      </w:r>
      <w:r w:rsidR="008070B7" w:rsidRPr="00B363B4">
        <w:t>l</w:t>
      </w:r>
      <w:r>
        <w:t>'</w:t>
      </w:r>
      <w:r w:rsidR="008070B7" w:rsidRPr="00B363B4">
        <w:t>OMI</w:t>
      </w:r>
      <w:r w:rsidR="008070B7">
        <w:t xml:space="preserve"> a été saisi</w:t>
      </w:r>
      <w:r w:rsidR="00080245">
        <w:t>e</w:t>
      </w:r>
      <w:r w:rsidR="008070B7">
        <w:t xml:space="preserve"> d</w:t>
      </w:r>
      <w:r>
        <w:t>'</w:t>
      </w:r>
      <w:r w:rsidR="008070B7">
        <w:t>une demande d</w:t>
      </w:r>
      <w:r>
        <w:t>'</w:t>
      </w:r>
      <w:r w:rsidR="008070B7">
        <w:t>agrément</w:t>
      </w:r>
      <w:r w:rsidR="00B113A2">
        <w:t xml:space="preserve"> </w:t>
      </w:r>
      <w:r w:rsidR="008070B7">
        <w:t>d</w:t>
      </w:r>
      <w:r>
        <w:t>'</w:t>
      </w:r>
      <w:r w:rsidR="008070B7">
        <w:t>un nouveau prestataire de services par satellite dans le</w:t>
      </w:r>
      <w:r w:rsidR="008070B7" w:rsidRPr="00C44BC3">
        <w:rPr>
          <w:bCs/>
        </w:rPr>
        <w:t xml:space="preserve"> </w:t>
      </w:r>
      <w:r w:rsidR="008070B7">
        <w:rPr>
          <w:bCs/>
        </w:rPr>
        <w:t>cadre du SMDSM. Si un</w:t>
      </w:r>
      <w:r w:rsidR="00B113A2">
        <w:rPr>
          <w:bCs/>
        </w:rPr>
        <w:t xml:space="preserve"> </w:t>
      </w:r>
      <w:r w:rsidR="008070B7">
        <w:rPr>
          <w:bCs/>
        </w:rPr>
        <w:t>nouveau prestataire de services par satellite est reconnu dans le cadre du</w:t>
      </w:r>
      <w:r w:rsidR="008070B7" w:rsidRPr="00C44BC3">
        <w:rPr>
          <w:bCs/>
        </w:rPr>
        <w:t xml:space="preserve"> </w:t>
      </w:r>
      <w:r w:rsidR="008070B7">
        <w:rPr>
          <w:bCs/>
        </w:rPr>
        <w:t>SMDSM, il sera peut-être nécessaire que l</w:t>
      </w:r>
      <w:r>
        <w:rPr>
          <w:bCs/>
        </w:rPr>
        <w:t>'</w:t>
      </w:r>
      <w:r w:rsidR="008070B7">
        <w:rPr>
          <w:bCs/>
        </w:rPr>
        <w:t>UIT envisage de prendre des mesures réglementaires en conséquence.</w:t>
      </w:r>
    </w:p>
    <w:p w:rsidR="008070B7" w:rsidRPr="00B363B4" w:rsidRDefault="00EB627B" w:rsidP="00080245">
      <w:pPr>
        <w:ind w:left="1134" w:hanging="1134"/>
        <w:rPr>
          <w:bCs/>
        </w:rPr>
      </w:pPr>
      <w:r>
        <w:rPr>
          <w:bCs/>
        </w:rPr>
        <w:tab/>
      </w:r>
      <w:r w:rsidR="008070B7">
        <w:rPr>
          <w:bCs/>
        </w:rPr>
        <w:t>Lorsqu</w:t>
      </w:r>
      <w:r>
        <w:rPr>
          <w:bCs/>
        </w:rPr>
        <w:t>'</w:t>
      </w:r>
      <w:r w:rsidR="008070B7">
        <w:rPr>
          <w:bCs/>
        </w:rPr>
        <w:t>un nouveau prestataire de services par satellit</w:t>
      </w:r>
      <w:r w:rsidR="00080245">
        <w:rPr>
          <w:bCs/>
        </w:rPr>
        <w:t>e sera reconnu dans le cadre du </w:t>
      </w:r>
      <w:r w:rsidR="008070B7">
        <w:rPr>
          <w:bCs/>
        </w:rPr>
        <w:t xml:space="preserve">SMDSM, </w:t>
      </w:r>
      <w:r w:rsidR="008070B7" w:rsidRPr="00B363B4">
        <w:t>l</w:t>
      </w:r>
      <w:r>
        <w:t>'</w:t>
      </w:r>
      <w:r w:rsidR="008070B7" w:rsidRPr="00B363B4">
        <w:t>OMI</w:t>
      </w:r>
      <w:r w:rsidR="00B113A2">
        <w:t xml:space="preserve"> </w:t>
      </w:r>
      <w:r w:rsidR="008070B7">
        <w:rPr>
          <w:bCs/>
        </w:rPr>
        <w:t>appuiera l</w:t>
      </w:r>
      <w:r>
        <w:rPr>
          <w:bCs/>
        </w:rPr>
        <w:t>'</w:t>
      </w:r>
      <w:r w:rsidR="008070B7">
        <w:rPr>
          <w:bCs/>
        </w:rPr>
        <w:t>inscription d</w:t>
      </w:r>
      <w:r>
        <w:rPr>
          <w:bCs/>
        </w:rPr>
        <w:t>'</w:t>
      </w:r>
      <w:r w:rsidR="008070B7">
        <w:rPr>
          <w:bCs/>
        </w:rPr>
        <w:t>un point à l</w:t>
      </w:r>
      <w:r>
        <w:rPr>
          <w:bCs/>
        </w:rPr>
        <w:t>'</w:t>
      </w:r>
      <w:r w:rsidR="008070B7">
        <w:rPr>
          <w:bCs/>
        </w:rPr>
        <w:t>ordre du jour afin d</w:t>
      </w:r>
      <w:r>
        <w:rPr>
          <w:bCs/>
        </w:rPr>
        <w:t>'</w:t>
      </w:r>
      <w:r w:rsidR="008070B7">
        <w:rPr>
          <w:bCs/>
        </w:rPr>
        <w:t>examiner les mesures réglementaires à prendre en conséquence à cet égard lors d</w:t>
      </w:r>
      <w:r>
        <w:rPr>
          <w:bCs/>
        </w:rPr>
        <w:t>'</w:t>
      </w:r>
      <w:r w:rsidR="008070B7">
        <w:rPr>
          <w:bCs/>
        </w:rPr>
        <w:t>une</w:t>
      </w:r>
      <w:r w:rsidR="00B113A2">
        <w:rPr>
          <w:bCs/>
        </w:rPr>
        <w:t xml:space="preserve"> </w:t>
      </w:r>
      <w:r w:rsidR="008070B7">
        <w:rPr>
          <w:bCs/>
        </w:rPr>
        <w:t>conférence</w:t>
      </w:r>
      <w:r w:rsidR="00B113A2">
        <w:rPr>
          <w:bCs/>
        </w:rPr>
        <w:t xml:space="preserve"> </w:t>
      </w:r>
      <w:r w:rsidR="008070B7">
        <w:rPr>
          <w:bCs/>
        </w:rPr>
        <w:t>future</w:t>
      </w:r>
      <w:r w:rsidR="00080245">
        <w:rPr>
          <w:bCs/>
        </w:rPr>
        <w:t>.</w:t>
      </w:r>
      <w:r w:rsidR="008070B7">
        <w:rPr>
          <w:bCs/>
        </w:rPr>
        <w:t xml:space="preserve"> </w:t>
      </w:r>
    </w:p>
    <w:p w:rsidR="008070B7" w:rsidRPr="00B363B4" w:rsidRDefault="00765B7E" w:rsidP="008070B7">
      <w:pPr>
        <w:pStyle w:val="Headingb"/>
      </w:pPr>
      <w:r>
        <w:tab/>
      </w:r>
      <w:r w:rsidR="008070B7">
        <w:t>Projet de p</w:t>
      </w:r>
      <w:r w:rsidR="008070B7" w:rsidRPr="00B363B4">
        <w:t>osition de l</w:t>
      </w:r>
      <w:r w:rsidR="00EB627B">
        <w:t>'</w:t>
      </w:r>
      <w:r w:rsidR="008070B7" w:rsidRPr="00B363B4">
        <w:t>OMI</w:t>
      </w:r>
    </w:p>
    <w:p w:rsidR="008070B7" w:rsidRDefault="00765B7E" w:rsidP="008070B7">
      <w:pPr>
        <w:rPr>
          <w:bCs/>
        </w:rPr>
      </w:pPr>
      <w:r>
        <w:rPr>
          <w:bCs/>
        </w:rPr>
        <w:tab/>
      </w:r>
      <w:r w:rsidR="008070B7">
        <w:rPr>
          <w:bCs/>
        </w:rPr>
        <w:t>A déterminer</w:t>
      </w:r>
      <w:r>
        <w:rPr>
          <w:bCs/>
        </w:rPr>
        <w:t>.</w:t>
      </w:r>
      <w:r w:rsidR="008070B7">
        <w:rPr>
          <w:bCs/>
        </w:rPr>
        <w:t xml:space="preserve"> </w:t>
      </w:r>
    </w:p>
    <w:p w:rsidR="008070B7" w:rsidRDefault="00765B7E" w:rsidP="00080245">
      <w:r w:rsidRPr="00765B7E">
        <w:rPr>
          <w:rFonts w:cs="Arial"/>
          <w:bCs/>
          <w:szCs w:val="22"/>
        </w:rPr>
        <w:t xml:space="preserve">NOTE – </w:t>
      </w:r>
      <w:r w:rsidR="008070B7">
        <w:rPr>
          <w:color w:val="000000"/>
        </w:rPr>
        <w:t>Le Groupe mixte d</w:t>
      </w:r>
      <w:r w:rsidR="00EB627B">
        <w:rPr>
          <w:color w:val="000000"/>
        </w:rPr>
        <w:t>'</w:t>
      </w:r>
      <w:r w:rsidR="008070B7">
        <w:rPr>
          <w:color w:val="000000"/>
        </w:rPr>
        <w:t>experts OMI/UIT</w:t>
      </w:r>
      <w:r w:rsidR="008070B7">
        <w:rPr>
          <w:bCs/>
        </w:rPr>
        <w:t xml:space="preserve"> sur les questions de radiocommunication maritime a été chargé d</w:t>
      </w:r>
      <w:r w:rsidR="00EB627B">
        <w:rPr>
          <w:bCs/>
        </w:rPr>
        <w:t>'</w:t>
      </w:r>
      <w:r w:rsidR="008070B7">
        <w:rPr>
          <w:bCs/>
        </w:rPr>
        <w:t>examiner les questions relatives au point 10 de l</w:t>
      </w:r>
      <w:r w:rsidR="00EB627B">
        <w:rPr>
          <w:bCs/>
        </w:rPr>
        <w:t>'</w:t>
      </w:r>
      <w:r w:rsidR="00080245">
        <w:rPr>
          <w:bCs/>
        </w:rPr>
        <w:t>ordre du jour de la CMR-</w:t>
      </w:r>
      <w:r w:rsidR="008070B7">
        <w:rPr>
          <w:bCs/>
        </w:rPr>
        <w:t>15, compte tenu des prop</w:t>
      </w:r>
      <w:r w:rsidR="00080245">
        <w:rPr>
          <w:bCs/>
        </w:rPr>
        <w:t>ositions transmises à la CMR-</w:t>
      </w:r>
      <w:r w:rsidR="008070B7">
        <w:rPr>
          <w:bCs/>
        </w:rPr>
        <w:t>15, à la réunion qu</w:t>
      </w:r>
      <w:r w:rsidR="00EB627B">
        <w:rPr>
          <w:bCs/>
        </w:rPr>
        <w:t>'</w:t>
      </w:r>
      <w:r w:rsidR="008070B7">
        <w:rPr>
          <w:bCs/>
        </w:rPr>
        <w:t>il a te</w:t>
      </w:r>
      <w:r w:rsidR="00080245">
        <w:rPr>
          <w:bCs/>
        </w:rPr>
        <w:t>nue du 5 au 9 octobre 2015. Le G</w:t>
      </w:r>
      <w:r w:rsidR="008070B7">
        <w:rPr>
          <w:bCs/>
        </w:rPr>
        <w:t>roupe d</w:t>
      </w:r>
      <w:r w:rsidR="00EB627B">
        <w:rPr>
          <w:bCs/>
        </w:rPr>
        <w:t>'</w:t>
      </w:r>
      <w:r w:rsidR="008070B7">
        <w:rPr>
          <w:bCs/>
        </w:rPr>
        <w:t>experts a été autorisé par</w:t>
      </w:r>
      <w:r w:rsidR="00B113A2">
        <w:rPr>
          <w:bCs/>
        </w:rPr>
        <w:t xml:space="preserve"> </w:t>
      </w:r>
      <w:r w:rsidR="008070B7">
        <w:rPr>
          <w:color w:val="000000"/>
        </w:rPr>
        <w:t>le Comité de la sécurité maritime à soumettre</w:t>
      </w:r>
      <w:r w:rsidR="00080245" w:rsidRPr="00080245">
        <w:rPr>
          <w:color w:val="000000"/>
        </w:rPr>
        <w:t xml:space="preserve"> </w:t>
      </w:r>
      <w:r w:rsidR="00080245">
        <w:rPr>
          <w:color w:val="000000"/>
        </w:rPr>
        <w:t>directement à l'UIT</w:t>
      </w:r>
      <w:r w:rsidR="008070B7">
        <w:rPr>
          <w:color w:val="000000"/>
        </w:rPr>
        <w:t xml:space="preserve"> d</w:t>
      </w:r>
      <w:r w:rsidR="00EB627B">
        <w:rPr>
          <w:color w:val="000000"/>
        </w:rPr>
        <w:t>'</w:t>
      </w:r>
      <w:r w:rsidR="008070B7">
        <w:rPr>
          <w:color w:val="000000"/>
        </w:rPr>
        <w:t>éventuels renseignements additionnels venant compléter la position de l</w:t>
      </w:r>
      <w:r w:rsidR="00EB627B">
        <w:rPr>
          <w:color w:val="000000"/>
        </w:rPr>
        <w:t>'</w:t>
      </w:r>
      <w:r w:rsidR="008070B7">
        <w:rPr>
          <w:color w:val="000000"/>
        </w:rPr>
        <w:t xml:space="preserve">OMI </w:t>
      </w:r>
      <w:r w:rsidR="00080245">
        <w:rPr>
          <w:color w:val="000000"/>
        </w:rPr>
        <w:t>en vue de</w:t>
      </w:r>
      <w:r w:rsidR="008070B7">
        <w:rPr>
          <w:color w:val="000000"/>
        </w:rPr>
        <w:t xml:space="preserve"> la</w:t>
      </w:r>
      <w:r w:rsidR="00080245">
        <w:rPr>
          <w:color w:val="000000"/>
        </w:rPr>
        <w:t xml:space="preserve"> CMR-15 </w:t>
      </w:r>
      <w:r w:rsidR="008070B7">
        <w:rPr>
          <w:color w:val="000000"/>
        </w:rPr>
        <w:t>pour examen par la conférence.</w:t>
      </w:r>
    </w:p>
    <w:p w:rsidR="008070B7" w:rsidRDefault="008070B7" w:rsidP="008070B7">
      <w:pPr>
        <w:rPr>
          <w:bCs/>
        </w:rPr>
      </w:pPr>
    </w:p>
    <w:p w:rsidR="008070B7" w:rsidRDefault="008070B7" w:rsidP="008070B7">
      <w:pPr>
        <w:rPr>
          <w:bCs/>
        </w:rPr>
      </w:pPr>
    </w:p>
    <w:p w:rsidR="008070B7" w:rsidRDefault="008070B7" w:rsidP="008070B7">
      <w:pPr>
        <w:rPr>
          <w:bCs/>
        </w:rPr>
      </w:pPr>
    </w:p>
    <w:p w:rsidR="008070B7" w:rsidRDefault="008070B7" w:rsidP="008070B7">
      <w:pPr>
        <w:rPr>
          <w:bCs/>
        </w:rPr>
      </w:pPr>
      <w:r>
        <w:br w:type="page"/>
      </w:r>
    </w:p>
    <w:p w:rsidR="008070B7" w:rsidRPr="00D30753" w:rsidRDefault="008070B7" w:rsidP="008070B7">
      <w:pPr>
        <w:pStyle w:val="AnnexNo"/>
      </w:pPr>
      <w:r>
        <w:lastRenderedPageBreak/>
        <w:t>ANNEXE 1</w:t>
      </w:r>
    </w:p>
    <w:p w:rsidR="008070B7" w:rsidRDefault="008070B7" w:rsidP="008070B7">
      <w:pPr>
        <w:pStyle w:val="RecNo"/>
        <w:spacing w:before="240"/>
      </w:pPr>
      <w:r>
        <w:t>RECOMMANDATION UIT-R M.476-5</w:t>
      </w:r>
    </w:p>
    <w:p w:rsidR="008070B7" w:rsidRDefault="008070B7" w:rsidP="00080245">
      <w:pPr>
        <w:pStyle w:val="Rectitle"/>
      </w:pPr>
      <w:r>
        <w:t xml:space="preserve">Equipements télégraphiques à impression directe </w:t>
      </w:r>
      <w:r>
        <w:br/>
        <w:t>dans le service mobile maritime</w:t>
      </w:r>
      <w:r w:rsidR="00080245">
        <w:rPr>
          <w:rStyle w:val="FootnoteReference"/>
        </w:rPr>
        <w:footnoteReference w:customMarkFollows="1" w:id="1"/>
        <w:t>**</w:t>
      </w:r>
    </w:p>
    <w:p w:rsidR="008070B7" w:rsidRDefault="008070B7" w:rsidP="008070B7">
      <w:pPr>
        <w:pStyle w:val="Questionref"/>
        <w:rPr>
          <w:bCs/>
        </w:rPr>
      </w:pPr>
      <w:r>
        <w:rPr>
          <w:bCs/>
        </w:rPr>
        <w:t>(Question UIT-R 5/8)</w:t>
      </w:r>
    </w:p>
    <w:p w:rsidR="008070B7" w:rsidRDefault="008070B7" w:rsidP="008070B7">
      <w:pPr>
        <w:pStyle w:val="Recdate"/>
      </w:pPr>
      <w:r>
        <w:t>(1970-1974-1978-1982-1986-1995)</w:t>
      </w:r>
    </w:p>
    <w:p w:rsidR="008070B7" w:rsidRDefault="008070B7" w:rsidP="008070B7">
      <w:pPr>
        <w:pStyle w:val="Normalaftertitle"/>
      </w:pPr>
      <w:r>
        <w:t>Plus nécessaire pour l</w:t>
      </w:r>
      <w:r w:rsidR="00EB627B">
        <w:t>'</w:t>
      </w:r>
      <w:r>
        <w:t>OMI. Probablement plus nécessaire pour la communauté maritime.</w:t>
      </w:r>
    </w:p>
    <w:p w:rsidR="008070B7" w:rsidRDefault="008070B7" w:rsidP="008070B7">
      <w:pPr>
        <w:pStyle w:val="RecNo"/>
        <w:rPr>
          <w:bCs/>
        </w:rPr>
      </w:pPr>
      <w:r w:rsidRPr="00D30753">
        <w:t>RECOMMANDATION</w:t>
      </w:r>
      <w:r>
        <w:rPr>
          <w:bCs/>
        </w:rPr>
        <w:t xml:space="preserve"> UIT-R M.489-2</w:t>
      </w:r>
    </w:p>
    <w:p w:rsidR="008070B7" w:rsidRDefault="008070B7" w:rsidP="008070B7">
      <w:pPr>
        <w:pStyle w:val="Rectitle"/>
        <w:rPr>
          <w:b w:val="0"/>
          <w:bCs/>
        </w:rPr>
      </w:pPr>
      <w:r>
        <w:rPr>
          <w:bCs/>
        </w:rPr>
        <w:t xml:space="preserve">Caractéristiques techniques des appareils radiotéléphoniques utilisés </w:t>
      </w:r>
      <w:r>
        <w:rPr>
          <w:bCs/>
        </w:rPr>
        <w:br/>
        <w:t xml:space="preserve">par le service mobile maritime fonctionnant en ondes métriques </w:t>
      </w:r>
      <w:r>
        <w:rPr>
          <w:bCs/>
        </w:rPr>
        <w:br/>
        <w:t>avec un espacement de 25 kHz entre voies adjacentes</w:t>
      </w:r>
    </w:p>
    <w:p w:rsidR="008070B7" w:rsidRDefault="008070B7" w:rsidP="008070B7">
      <w:pPr>
        <w:pStyle w:val="Recdate"/>
      </w:pPr>
      <w:r>
        <w:t>(1974-1978-1995)</w:t>
      </w:r>
    </w:p>
    <w:p w:rsidR="008070B7" w:rsidRPr="00BF3B9B" w:rsidRDefault="008070B7" w:rsidP="00765B7E">
      <w:pPr>
        <w:pStyle w:val="Normalaftertitle"/>
      </w:pPr>
      <w:r>
        <w:t>Nécessaire pour l</w:t>
      </w:r>
      <w:r w:rsidR="00EB627B">
        <w:t>'</w:t>
      </w:r>
      <w:r>
        <w:t>OMI pour étayer les prescriptions d</w:t>
      </w:r>
      <w:r w:rsidR="00EB627B">
        <w:t>'</w:t>
      </w:r>
      <w:r>
        <w:t xml:space="preserve">emport qui figurent dans le </w:t>
      </w:r>
      <w:r w:rsidR="00765B7E">
        <w:t>C</w:t>
      </w:r>
      <w:r>
        <w:t>hapitre IV de la Convention SOLAS et nécessaire à la communauté maritime en général. Restera probablement nécessaire dans un avenir prévisible.</w:t>
      </w:r>
    </w:p>
    <w:p w:rsidR="008070B7" w:rsidRDefault="008070B7" w:rsidP="008070B7">
      <w:pPr>
        <w:pStyle w:val="RecNo"/>
        <w:rPr>
          <w:bCs/>
        </w:rPr>
      </w:pPr>
      <w:r>
        <w:rPr>
          <w:bCs/>
        </w:rPr>
        <w:t>RECOMMANDATION UIT-R M.492-6</w:t>
      </w:r>
    </w:p>
    <w:p w:rsidR="008070B7" w:rsidRDefault="008070B7" w:rsidP="008070B7">
      <w:pPr>
        <w:pStyle w:val="Rectitle"/>
        <w:rPr>
          <w:b w:val="0"/>
        </w:rPr>
      </w:pPr>
      <w:r>
        <w:t>Procédures d</w:t>
      </w:r>
      <w:r w:rsidR="00EB627B">
        <w:t>'</w:t>
      </w:r>
      <w:r>
        <w:t xml:space="preserve">exploitation des </w:t>
      </w:r>
      <w:r w:rsidRPr="002046C7">
        <w:t>équipements</w:t>
      </w:r>
      <w:r>
        <w:t xml:space="preserve"> télégraphiques à impression </w:t>
      </w:r>
      <w:r>
        <w:br/>
        <w:t>directe dans le service mobile maritime</w:t>
      </w:r>
    </w:p>
    <w:p w:rsidR="008070B7" w:rsidRDefault="008070B7" w:rsidP="008070B7">
      <w:pPr>
        <w:pStyle w:val="Questionref"/>
        <w:rPr>
          <w:bCs/>
        </w:rPr>
      </w:pPr>
      <w:r>
        <w:rPr>
          <w:bCs/>
        </w:rPr>
        <w:t>(Question UIT-R 5/8)</w:t>
      </w:r>
    </w:p>
    <w:p w:rsidR="008070B7" w:rsidRDefault="008070B7" w:rsidP="008070B7">
      <w:pPr>
        <w:pStyle w:val="Recdate"/>
      </w:pPr>
      <w:r>
        <w:t>(1974-1978-1982-1986-1990-1992-1995)</w:t>
      </w:r>
    </w:p>
    <w:p w:rsidR="008070B7" w:rsidRPr="00AD23F1" w:rsidRDefault="008070B7" w:rsidP="008070B7">
      <w:pPr>
        <w:pStyle w:val="Normalaftertitle"/>
      </w:pPr>
      <w:r>
        <w:t>Actuellement nécessaire pour l</w:t>
      </w:r>
      <w:r w:rsidR="00EB627B">
        <w:t>'</w:t>
      </w:r>
      <w:r>
        <w:t>OMI pou</w:t>
      </w:r>
      <w:r w:rsidR="00765B7E">
        <w:t>r étayer les prescriptions du C</w:t>
      </w:r>
      <w:r>
        <w:t>hapitre IV de la Convention SOLAS concernant l</w:t>
      </w:r>
      <w:r w:rsidR="00EB627B">
        <w:t>'</w:t>
      </w:r>
      <w:r>
        <w:t xml:space="preserve">emport de matériel IDBE, bien que ce système soit peu utilisé. </w:t>
      </w:r>
    </w:p>
    <w:p w:rsidR="008070B7" w:rsidRDefault="008070B7" w:rsidP="008070B7">
      <w:pPr>
        <w:pStyle w:val="RecNo"/>
        <w:rPr>
          <w:bCs/>
        </w:rPr>
      </w:pPr>
      <w:r>
        <w:rPr>
          <w:bCs/>
        </w:rPr>
        <w:lastRenderedPageBreak/>
        <w:t>RECOMMANDATION UIT-R M.541-9</w:t>
      </w:r>
    </w:p>
    <w:p w:rsidR="008070B7" w:rsidRDefault="008070B7" w:rsidP="008070B7">
      <w:pPr>
        <w:pStyle w:val="Rectitle"/>
        <w:rPr>
          <w:bCs/>
        </w:rPr>
      </w:pPr>
      <w:r>
        <w:rPr>
          <w:bCs/>
        </w:rPr>
        <w:t>Procédures d</w:t>
      </w:r>
      <w:r w:rsidR="00EB627B">
        <w:rPr>
          <w:bCs/>
        </w:rPr>
        <w:t>'</w:t>
      </w:r>
      <w:r>
        <w:rPr>
          <w:bCs/>
        </w:rPr>
        <w:t>exploitation des systèmes d</w:t>
      </w:r>
      <w:r w:rsidR="00EB627B">
        <w:rPr>
          <w:bCs/>
        </w:rPr>
        <w:t>'</w:t>
      </w:r>
      <w:r>
        <w:rPr>
          <w:bCs/>
        </w:rPr>
        <w:t xml:space="preserve">appel sélectif numérique </w:t>
      </w:r>
      <w:r>
        <w:rPr>
          <w:bCs/>
        </w:rPr>
        <w:br/>
        <w:t>à l</w:t>
      </w:r>
      <w:r w:rsidR="00EB627B">
        <w:rPr>
          <w:bCs/>
        </w:rPr>
        <w:t>'</w:t>
      </w:r>
      <w:r>
        <w:rPr>
          <w:bCs/>
        </w:rPr>
        <w:t xml:space="preserve">usage du service </w:t>
      </w:r>
      <w:r w:rsidRPr="002046C7">
        <w:t>mobile</w:t>
      </w:r>
      <w:r>
        <w:rPr>
          <w:bCs/>
        </w:rPr>
        <w:t xml:space="preserve"> maritime</w:t>
      </w:r>
    </w:p>
    <w:p w:rsidR="00080245" w:rsidRPr="00080245" w:rsidRDefault="00080245" w:rsidP="00080245">
      <w:pPr>
        <w:pStyle w:val="Questionref"/>
        <w:rPr>
          <w:bCs/>
        </w:rPr>
      </w:pPr>
      <w:r>
        <w:rPr>
          <w:bCs/>
        </w:rPr>
        <w:t>(Question UIT-R 9/8)</w:t>
      </w:r>
    </w:p>
    <w:p w:rsidR="008070B7" w:rsidRDefault="008070B7" w:rsidP="008070B7">
      <w:pPr>
        <w:pStyle w:val="Recdate"/>
      </w:pPr>
      <w:r>
        <w:t>(1978-1982-1986-1990-1992-1994-1995-1996-1997)</w:t>
      </w:r>
    </w:p>
    <w:p w:rsidR="008070B7" w:rsidRDefault="008070B7" w:rsidP="008070B7">
      <w:pPr>
        <w:pStyle w:val="Normalaftertitle"/>
      </w:pPr>
      <w:r>
        <w:t>Nécessaire pour l</w:t>
      </w:r>
      <w:r w:rsidR="00EB627B">
        <w:t>'</w:t>
      </w:r>
      <w:r>
        <w:t>OMI. Restera probablement nécessaire dans un avenir prévisible.</w:t>
      </w:r>
      <w:r w:rsidR="00B113A2">
        <w:t xml:space="preserve"> </w:t>
      </w:r>
    </w:p>
    <w:p w:rsidR="008070B7" w:rsidRDefault="008070B7" w:rsidP="008070B7">
      <w:pPr>
        <w:pStyle w:val="RecNo"/>
        <w:rPr>
          <w:bCs/>
          <w:iCs/>
        </w:rPr>
      </w:pPr>
      <w:r w:rsidRPr="002046C7">
        <w:rPr>
          <w:bCs/>
        </w:rPr>
        <w:t>RECOMMANDATION</w:t>
      </w:r>
      <w:r>
        <w:rPr>
          <w:bCs/>
          <w:iCs/>
        </w:rPr>
        <w:t xml:space="preserve"> UIT-R M.585-6</w:t>
      </w:r>
    </w:p>
    <w:p w:rsidR="008070B7" w:rsidRDefault="008070B7" w:rsidP="008070B7">
      <w:pPr>
        <w:pStyle w:val="Rectitle"/>
        <w:rPr>
          <w:b w:val="0"/>
          <w:bCs/>
          <w:iCs/>
        </w:rPr>
      </w:pPr>
      <w:r>
        <w:rPr>
          <w:bCs/>
          <w:iCs/>
        </w:rPr>
        <w:t xml:space="preserve">Assignations et </w:t>
      </w:r>
      <w:r w:rsidRPr="005139B9">
        <w:rPr>
          <w:bCs/>
        </w:rPr>
        <w:t>utilisation</w:t>
      </w:r>
      <w:r>
        <w:rPr>
          <w:bCs/>
          <w:iCs/>
        </w:rPr>
        <w:t xml:space="preserve"> des identités dans le service mobile maritime</w:t>
      </w:r>
    </w:p>
    <w:p w:rsidR="008070B7" w:rsidRDefault="008070B7" w:rsidP="008070B7">
      <w:pPr>
        <w:pStyle w:val="Recdate"/>
      </w:pPr>
      <w:r>
        <w:t xml:space="preserve">(1982-1986-1990-2003-2007-2009-2012) </w:t>
      </w:r>
    </w:p>
    <w:p w:rsidR="008070B7" w:rsidRPr="00080245" w:rsidRDefault="008070B7" w:rsidP="008070B7">
      <w:pPr>
        <w:tabs>
          <w:tab w:val="left" w:pos="708"/>
        </w:tabs>
        <w:spacing w:before="240"/>
        <w:rPr>
          <w:bCs/>
        </w:rPr>
      </w:pPr>
      <w:r w:rsidRPr="00080245">
        <w:rPr>
          <w:bCs/>
        </w:rPr>
        <w:t>Nécessaire pour la communauté maritime et utile pour l</w:t>
      </w:r>
      <w:r w:rsidR="00EB627B" w:rsidRPr="00080245">
        <w:rPr>
          <w:bCs/>
        </w:rPr>
        <w:t>'</w:t>
      </w:r>
      <w:r w:rsidRPr="00080245">
        <w:rPr>
          <w:bCs/>
        </w:rPr>
        <w:t>OMI.</w:t>
      </w:r>
    </w:p>
    <w:p w:rsidR="008070B7" w:rsidRDefault="008070B7" w:rsidP="008070B7">
      <w:pPr>
        <w:pStyle w:val="RecNo"/>
        <w:rPr>
          <w:bCs/>
        </w:rPr>
      </w:pPr>
      <w:r>
        <w:rPr>
          <w:bCs/>
        </w:rPr>
        <w:t>RECOMMANDATION UIT-R M.625-3</w:t>
      </w:r>
    </w:p>
    <w:p w:rsidR="008070B7" w:rsidRDefault="008070B7" w:rsidP="008070B7">
      <w:pPr>
        <w:pStyle w:val="Rectitle"/>
        <w:rPr>
          <w:b w:val="0"/>
          <w:bCs/>
        </w:rPr>
      </w:pPr>
      <w:r>
        <w:rPr>
          <w:bCs/>
        </w:rPr>
        <w:t>Equipements télégraphiques à impression directe utilisant l</w:t>
      </w:r>
      <w:r w:rsidR="00EB627B">
        <w:rPr>
          <w:bCs/>
        </w:rPr>
        <w:t>'</w:t>
      </w:r>
      <w:r>
        <w:rPr>
          <w:bCs/>
        </w:rPr>
        <w:t xml:space="preserve">identification </w:t>
      </w:r>
      <w:r>
        <w:rPr>
          <w:bCs/>
        </w:rPr>
        <w:br/>
        <w:t>automatique dans le service mobile maritime</w:t>
      </w:r>
      <w:r>
        <w:rPr>
          <w:bCs/>
          <w:vertAlign w:val="superscript"/>
        </w:rPr>
        <w:footnoteReference w:customMarkFollows="1" w:id="2"/>
        <w:t>**</w:t>
      </w:r>
    </w:p>
    <w:p w:rsidR="008070B7" w:rsidRDefault="008070B7" w:rsidP="008070B7">
      <w:pPr>
        <w:tabs>
          <w:tab w:val="left" w:pos="708"/>
        </w:tabs>
        <w:jc w:val="center"/>
        <w:rPr>
          <w:bCs/>
        </w:rPr>
      </w:pPr>
      <w:r>
        <w:rPr>
          <w:bCs/>
        </w:rPr>
        <w:t>(Question UIT-R 5/8)</w:t>
      </w:r>
    </w:p>
    <w:p w:rsidR="008070B7" w:rsidRDefault="008070B7" w:rsidP="008070B7">
      <w:pPr>
        <w:pStyle w:val="Recdate"/>
      </w:pPr>
      <w:r>
        <w:t>(1986-1990-1992-1995)</w:t>
      </w:r>
    </w:p>
    <w:p w:rsidR="008070B7" w:rsidRDefault="008070B7" w:rsidP="008070B7">
      <w:pPr>
        <w:pStyle w:val="Normalaftertitle"/>
      </w:pPr>
      <w:r>
        <w:t>Actuellement nécessaire pour l</w:t>
      </w:r>
      <w:r w:rsidR="00EB627B">
        <w:t>'</w:t>
      </w:r>
      <w:r>
        <w:t>OMI po</w:t>
      </w:r>
      <w:r w:rsidR="00765B7E">
        <w:t>ur étayer les prescriptions du C</w:t>
      </w:r>
      <w:r>
        <w:t>hapitre IV de la Convention SOLAS concernant l</w:t>
      </w:r>
      <w:r w:rsidR="00EB627B">
        <w:t>'</w:t>
      </w:r>
      <w:r>
        <w:t xml:space="preserve">emport de matériel IDBE, bien que ce système soit peu utilisé. </w:t>
      </w:r>
    </w:p>
    <w:p w:rsidR="008070B7" w:rsidRDefault="008070B7" w:rsidP="008070B7">
      <w:pPr>
        <w:pStyle w:val="RecNo"/>
        <w:rPr>
          <w:bCs/>
        </w:rPr>
      </w:pPr>
      <w:r>
        <w:rPr>
          <w:bCs/>
        </w:rPr>
        <w:t>RECOMMANDATION UIT-R M.633-4</w:t>
      </w:r>
    </w:p>
    <w:p w:rsidR="008070B7" w:rsidRDefault="008070B7" w:rsidP="008070B7">
      <w:pPr>
        <w:pStyle w:val="Rectitle"/>
        <w:rPr>
          <w:b w:val="0"/>
          <w:bCs/>
        </w:rPr>
      </w:pPr>
      <w:r>
        <w:rPr>
          <w:bCs/>
        </w:rPr>
        <w:t>Caractéristiques de transmission d</w:t>
      </w:r>
      <w:r w:rsidR="00EB627B">
        <w:rPr>
          <w:bCs/>
        </w:rPr>
        <w:t>'</w:t>
      </w:r>
      <w:r>
        <w:rPr>
          <w:bCs/>
        </w:rPr>
        <w:t>un système de radiobalises de localisation des sinistres par satellite (RLS par satellite) fonctionnant par l</w:t>
      </w:r>
      <w:r w:rsidR="00EB627B">
        <w:rPr>
          <w:bCs/>
        </w:rPr>
        <w:t>'</w:t>
      </w:r>
      <w:r>
        <w:rPr>
          <w:bCs/>
        </w:rPr>
        <w:t>intermédiaire d</w:t>
      </w:r>
      <w:r w:rsidR="00EB627B">
        <w:rPr>
          <w:bCs/>
        </w:rPr>
        <w:t>'</w:t>
      </w:r>
      <w:r>
        <w:rPr>
          <w:bCs/>
        </w:rPr>
        <w:t>un système à satellites dans la bande des 406 MHz</w:t>
      </w:r>
    </w:p>
    <w:p w:rsidR="008070B7" w:rsidRDefault="008070B7" w:rsidP="008070B7">
      <w:pPr>
        <w:pStyle w:val="Recdate"/>
      </w:pPr>
      <w:r>
        <w:t xml:space="preserve"> (1986-1990-2000-2004-2010)</w:t>
      </w:r>
    </w:p>
    <w:p w:rsidR="008070B7" w:rsidRDefault="008070B7" w:rsidP="008070B7">
      <w:pPr>
        <w:pStyle w:val="Normalaftertitle"/>
      </w:pPr>
      <w:r>
        <w:t>Utilisée par l</w:t>
      </w:r>
      <w:r w:rsidR="00EB627B">
        <w:t>'</w:t>
      </w:r>
      <w:r>
        <w:t>OMI à l</w:t>
      </w:r>
      <w:r w:rsidR="00EB627B">
        <w:t>'</w:t>
      </w:r>
      <w:r>
        <w:t>appui des normes de qualité de fonctionnement applicables aux RLS.</w:t>
      </w:r>
    </w:p>
    <w:p w:rsidR="008070B7" w:rsidRDefault="008070B7" w:rsidP="008070B7">
      <w:pPr>
        <w:pStyle w:val="RecNo"/>
        <w:rPr>
          <w:bCs/>
        </w:rPr>
      </w:pPr>
      <w:r>
        <w:rPr>
          <w:bCs/>
        </w:rPr>
        <w:lastRenderedPageBreak/>
        <w:t>RECOMMANDATION UIT-R M.690-1</w:t>
      </w:r>
    </w:p>
    <w:p w:rsidR="008070B7" w:rsidRDefault="008070B7" w:rsidP="008070B7">
      <w:pPr>
        <w:pStyle w:val="Rectitle"/>
        <w:rPr>
          <w:b w:val="0"/>
          <w:bCs/>
        </w:rPr>
      </w:pPr>
      <w:r>
        <w:rPr>
          <w:bCs/>
        </w:rPr>
        <w:t>Caractéristiques techniques des radiobalises de localisation des sinistres (RLS) fonctionnant sur les fréquences porteuses 121,5 MHz et 243 MHz</w:t>
      </w:r>
    </w:p>
    <w:p w:rsidR="008070B7" w:rsidRDefault="008070B7" w:rsidP="008070B7">
      <w:pPr>
        <w:tabs>
          <w:tab w:val="left" w:pos="708"/>
        </w:tabs>
        <w:jc w:val="center"/>
        <w:rPr>
          <w:bCs/>
        </w:rPr>
      </w:pPr>
      <w:r>
        <w:rPr>
          <w:bCs/>
        </w:rPr>
        <w:t>(Question UIT-R 31/8)</w:t>
      </w:r>
    </w:p>
    <w:p w:rsidR="008070B7" w:rsidRDefault="008070B7" w:rsidP="008070B7">
      <w:pPr>
        <w:pStyle w:val="Recdate"/>
      </w:pPr>
      <w:r>
        <w:t>(1990-1995)</w:t>
      </w:r>
    </w:p>
    <w:p w:rsidR="008070B7" w:rsidRDefault="008070B7" w:rsidP="008070B7">
      <w:pPr>
        <w:pStyle w:val="Normalaftertitle"/>
      </w:pPr>
      <w:r>
        <w:t>Nécessaire à l</w:t>
      </w:r>
      <w:r w:rsidR="00EB627B">
        <w:t>'</w:t>
      </w:r>
      <w:r>
        <w:t xml:space="preserve">OMI pour définir les caractéristiques du signal de radioralliement de la RLS par satellite prescrite par le chapitre IV de la Convention SOLAS. Sera probablement utilisée par la communauté maritime pendant quelque temps encore pour les RLS et les dispositifs signalant un homme à la mer. </w:t>
      </w:r>
    </w:p>
    <w:p w:rsidR="008070B7" w:rsidRDefault="008070B7" w:rsidP="008070B7">
      <w:pPr>
        <w:pStyle w:val="RecNo"/>
        <w:rPr>
          <w:bCs/>
        </w:rPr>
      </w:pPr>
      <w:r>
        <w:rPr>
          <w:bCs/>
        </w:rPr>
        <w:t>RECOMMANDATION UIT-R M.1084-4</w:t>
      </w:r>
    </w:p>
    <w:p w:rsidR="008070B7" w:rsidRDefault="008070B7" w:rsidP="008070B7">
      <w:pPr>
        <w:pStyle w:val="Rectitle"/>
        <w:rPr>
          <w:b w:val="0"/>
          <w:bCs/>
        </w:rPr>
      </w:pPr>
      <w:r>
        <w:rPr>
          <w:bCs/>
        </w:rPr>
        <w:t>Solutions intérimaires pour améliorer l</w:t>
      </w:r>
      <w:r w:rsidR="00EB627B">
        <w:rPr>
          <w:bCs/>
        </w:rPr>
        <w:t>'</w:t>
      </w:r>
      <w:r>
        <w:rPr>
          <w:bCs/>
        </w:rPr>
        <w:t>efficacité d</w:t>
      </w:r>
      <w:r w:rsidR="00EB627B">
        <w:rPr>
          <w:bCs/>
        </w:rPr>
        <w:t>'</w:t>
      </w:r>
      <w:r>
        <w:rPr>
          <w:bCs/>
        </w:rPr>
        <w:t xml:space="preserve">utilisation de la </w:t>
      </w:r>
      <w:r>
        <w:rPr>
          <w:bCs/>
        </w:rPr>
        <w:br/>
        <w:t>bande 156-174 MHz par les stations du service mobile maritime</w:t>
      </w:r>
    </w:p>
    <w:p w:rsidR="008070B7" w:rsidRDefault="008070B7" w:rsidP="008070B7">
      <w:pPr>
        <w:tabs>
          <w:tab w:val="left" w:pos="708"/>
        </w:tabs>
        <w:jc w:val="center"/>
        <w:rPr>
          <w:bCs/>
        </w:rPr>
      </w:pPr>
      <w:r>
        <w:rPr>
          <w:bCs/>
        </w:rPr>
        <w:t>(Question UIT-R 96/8)</w:t>
      </w:r>
    </w:p>
    <w:p w:rsidR="008070B7" w:rsidRDefault="008070B7" w:rsidP="008070B7">
      <w:pPr>
        <w:pStyle w:val="Recdate"/>
      </w:pPr>
      <w:r>
        <w:t>(1994-1995-1997-1998-2001)</w:t>
      </w:r>
    </w:p>
    <w:p w:rsidR="008070B7" w:rsidRDefault="008070B7" w:rsidP="008070B7">
      <w:pPr>
        <w:pStyle w:val="Normalaftertitle"/>
      </w:pPr>
      <w:r>
        <w:t>Utilisée par l</w:t>
      </w:r>
      <w:r w:rsidR="00EB627B">
        <w:t>'</w:t>
      </w:r>
      <w:r>
        <w:t>OMI pour la description des canaux en ondes métriques.</w:t>
      </w:r>
    </w:p>
    <w:p w:rsidR="008070B7" w:rsidRDefault="008070B7" w:rsidP="008070B7">
      <w:pPr>
        <w:pStyle w:val="RecNo"/>
        <w:rPr>
          <w:bCs/>
        </w:rPr>
      </w:pPr>
      <w:r>
        <w:rPr>
          <w:bCs/>
        </w:rPr>
        <w:t>RECOMMANDATION UIT-R M.1171</w:t>
      </w:r>
    </w:p>
    <w:p w:rsidR="008070B7" w:rsidRDefault="008070B7" w:rsidP="008070B7">
      <w:pPr>
        <w:pStyle w:val="Rectitle"/>
        <w:rPr>
          <w:b w:val="0"/>
          <w:bCs/>
        </w:rPr>
      </w:pPr>
      <w:r>
        <w:rPr>
          <w:bCs/>
        </w:rPr>
        <w:t>Procédures radiotéléphoniques dans le service mobile maritime</w:t>
      </w:r>
    </w:p>
    <w:p w:rsidR="008070B7" w:rsidRDefault="008070B7" w:rsidP="008070B7">
      <w:pPr>
        <w:pStyle w:val="Recdate"/>
      </w:pPr>
      <w:r>
        <w:t>(1995)</w:t>
      </w:r>
    </w:p>
    <w:p w:rsidR="008070B7" w:rsidRDefault="008070B7" w:rsidP="008070B7">
      <w:pPr>
        <w:pStyle w:val="Normalaftertitle"/>
      </w:pPr>
      <w:r>
        <w:t>Nécessaire pour l</w:t>
      </w:r>
      <w:r w:rsidR="00EB627B">
        <w:t>'</w:t>
      </w:r>
      <w:r>
        <w:t>OMI et la communauté maritime tant que les stations côtières offrent un service de correspondance publique. Ces stations sont toutefois de moins en moins nombreuses.</w:t>
      </w:r>
    </w:p>
    <w:p w:rsidR="008070B7" w:rsidRDefault="008070B7" w:rsidP="008070B7">
      <w:pPr>
        <w:pStyle w:val="RecNo"/>
        <w:rPr>
          <w:bCs/>
        </w:rPr>
      </w:pPr>
      <w:r>
        <w:rPr>
          <w:bCs/>
        </w:rPr>
        <w:t>RECOMMANDATION UIT-R M.1172</w:t>
      </w:r>
    </w:p>
    <w:p w:rsidR="008070B7" w:rsidRPr="00AD23F1" w:rsidRDefault="008070B7" w:rsidP="008070B7">
      <w:pPr>
        <w:pStyle w:val="Rectitle"/>
        <w:rPr>
          <w:bCs/>
        </w:rPr>
      </w:pPr>
      <w:r>
        <w:rPr>
          <w:bCs/>
        </w:rPr>
        <w:t>Abréviations et signaux divers à employer dans les radiocommunications</w:t>
      </w:r>
      <w:r>
        <w:rPr>
          <w:bCs/>
        </w:rPr>
        <w:br/>
        <w:t>du service mobile maritime</w:t>
      </w:r>
    </w:p>
    <w:p w:rsidR="008070B7" w:rsidRDefault="008070B7" w:rsidP="008070B7">
      <w:pPr>
        <w:pStyle w:val="Recdate"/>
      </w:pPr>
      <w:r>
        <w:t>(1995)</w:t>
      </w:r>
    </w:p>
    <w:p w:rsidR="008070B7" w:rsidRDefault="008070B7" w:rsidP="008070B7">
      <w:pPr>
        <w:pStyle w:val="Normalaftertitle"/>
      </w:pPr>
      <w:r>
        <w:t>N</w:t>
      </w:r>
      <w:r w:rsidR="00EB627B">
        <w:t>'</w:t>
      </w:r>
      <w:r>
        <w:t>est plus nécessaire pour l</w:t>
      </w:r>
      <w:r w:rsidR="00EB627B">
        <w:t>'</w:t>
      </w:r>
      <w:r>
        <w:t>OMI, qui utilise les Phrases normalisées pour les communications maritimes, mais reste nécessaire pour la communauté maritime.</w:t>
      </w:r>
    </w:p>
    <w:p w:rsidR="008070B7" w:rsidRDefault="008070B7" w:rsidP="008070B7">
      <w:pPr>
        <w:pStyle w:val="RecNo"/>
        <w:rPr>
          <w:bCs/>
        </w:rPr>
      </w:pPr>
      <w:r>
        <w:rPr>
          <w:bCs/>
        </w:rPr>
        <w:lastRenderedPageBreak/>
        <w:t>RECOMMANDATION UIT-R M.1173</w:t>
      </w:r>
    </w:p>
    <w:p w:rsidR="008070B7" w:rsidRDefault="008070B7" w:rsidP="008070B7">
      <w:pPr>
        <w:pStyle w:val="Rectitle"/>
        <w:rPr>
          <w:b w:val="0"/>
          <w:bCs/>
        </w:rPr>
      </w:pPr>
      <w:r>
        <w:rPr>
          <w:bCs/>
        </w:rPr>
        <w:t xml:space="preserve">Caractéristiques techniques des émetteurs à bande latérale unique utilisés dans le service mobile maritime pour la radiotéléphonie dans les bandes comprises </w:t>
      </w:r>
      <w:r>
        <w:rPr>
          <w:bCs/>
        </w:rPr>
        <w:br/>
        <w:t xml:space="preserve">entre 1 606,5 kHz (1 605 kHz Région 2) et 4 000 kHz et </w:t>
      </w:r>
      <w:r>
        <w:rPr>
          <w:bCs/>
        </w:rPr>
        <w:br/>
        <w:t>entre 4 000 kHz et 27 500 kHz</w:t>
      </w:r>
    </w:p>
    <w:p w:rsidR="008070B7" w:rsidRDefault="008070B7" w:rsidP="008070B7">
      <w:pPr>
        <w:pStyle w:val="Recdate"/>
      </w:pPr>
      <w:r>
        <w:t>(1995)</w:t>
      </w:r>
    </w:p>
    <w:p w:rsidR="008070B7" w:rsidRDefault="008070B7" w:rsidP="008070B7">
      <w:pPr>
        <w:pStyle w:val="Normalaftertitle"/>
      </w:pPr>
      <w:r>
        <w:t>Nécessaire pour l</w:t>
      </w:r>
      <w:r w:rsidR="00EB627B">
        <w:t>'</w:t>
      </w:r>
      <w:r>
        <w:t>OMI et la communauté maritime et probablement encore nécessaire dans un avenir prévisible.</w:t>
      </w:r>
    </w:p>
    <w:p w:rsidR="008070B7" w:rsidRDefault="008070B7" w:rsidP="008070B7">
      <w:pPr>
        <w:pStyle w:val="RecNo"/>
        <w:rPr>
          <w:bCs/>
        </w:rPr>
      </w:pPr>
      <w:r>
        <w:rPr>
          <w:bCs/>
        </w:rPr>
        <w:t>RECOMMANDATION UIT-R M.1174-2</w:t>
      </w:r>
    </w:p>
    <w:p w:rsidR="008070B7" w:rsidRDefault="008070B7" w:rsidP="008070B7">
      <w:pPr>
        <w:pStyle w:val="Rectitle"/>
        <w:rPr>
          <w:b w:val="0"/>
          <w:bCs/>
        </w:rPr>
      </w:pPr>
      <w:r>
        <w:rPr>
          <w:bCs/>
        </w:rPr>
        <w:t xml:space="preserve">Caractéristiques techniques des appareils utilisés sur les navires pour les communications de bord dans les bandes de fréquences </w:t>
      </w:r>
      <w:r>
        <w:rPr>
          <w:bCs/>
        </w:rPr>
        <w:br/>
        <w:t>comprises entre 450 et 470 MHz</w:t>
      </w:r>
    </w:p>
    <w:p w:rsidR="008070B7" w:rsidRDefault="008070B7" w:rsidP="008070B7">
      <w:pPr>
        <w:pStyle w:val="Recdate"/>
      </w:pPr>
      <w:r>
        <w:t>(1995-1998-2004)</w:t>
      </w:r>
    </w:p>
    <w:p w:rsidR="008070B7" w:rsidRDefault="008070B7" w:rsidP="008070B7">
      <w:pPr>
        <w:pStyle w:val="Normalaftertitle"/>
      </w:pPr>
      <w:r>
        <w:t>Nécessaire pour la communauté maritime et utile à l</w:t>
      </w:r>
      <w:r w:rsidR="00EB627B">
        <w:t>'</w:t>
      </w:r>
      <w:r>
        <w:t>OMI. Cette Recommandation se rapporte au point 1.15 de l</w:t>
      </w:r>
      <w:r w:rsidR="00EB627B">
        <w:t>'</w:t>
      </w:r>
      <w:r>
        <w:t>ordre du jour, pour lequel l</w:t>
      </w:r>
      <w:r w:rsidR="00EB627B">
        <w:t>'</w:t>
      </w:r>
      <w:r>
        <w:t>OMI a arrêté sa position.</w:t>
      </w:r>
    </w:p>
    <w:p w:rsidR="008070B7" w:rsidRDefault="008070B7" w:rsidP="008070B7">
      <w:pPr>
        <w:pStyle w:val="RecNo"/>
        <w:rPr>
          <w:bCs/>
        </w:rPr>
      </w:pPr>
      <w:r>
        <w:rPr>
          <w:bCs/>
        </w:rPr>
        <w:t>RECOMMANDATION UIT-R M.1638</w:t>
      </w:r>
    </w:p>
    <w:p w:rsidR="008070B7" w:rsidRDefault="008070B7" w:rsidP="008070B7">
      <w:pPr>
        <w:pStyle w:val="Rectitle"/>
        <w:rPr>
          <w:bCs/>
        </w:rPr>
      </w:pPr>
      <w:r>
        <w:rPr>
          <w:bCs/>
        </w:rPr>
        <w:t xml:space="preserve">Caractéristiques et critères de protection applicables aux études de partage des radars de radiolocalisation, de radionavigation aéronautique et de météorologie fonctionnant dans les bandes de fréquences </w:t>
      </w:r>
      <w:r>
        <w:rPr>
          <w:bCs/>
        </w:rPr>
        <w:br/>
        <w:t>comprises entre 5 250 et 5 850 MHz</w:t>
      </w:r>
    </w:p>
    <w:p w:rsidR="008070B7" w:rsidRDefault="008070B7" w:rsidP="008070B7">
      <w:pPr>
        <w:pStyle w:val="Recdate"/>
      </w:pPr>
      <w:r>
        <w:t>(2003)</w:t>
      </w:r>
    </w:p>
    <w:p w:rsidR="008070B7" w:rsidRDefault="008070B7" w:rsidP="008070B7">
      <w:pPr>
        <w:pStyle w:val="Normalaftertitle"/>
      </w:pPr>
      <w:r>
        <w:t>Pas nécessaire pour l</w:t>
      </w:r>
      <w:r w:rsidR="00EB627B">
        <w:t>'</w:t>
      </w:r>
      <w:r>
        <w:t>OMI mais peut l</w:t>
      </w:r>
      <w:r w:rsidR="00EB627B">
        <w:t>'</w:t>
      </w:r>
      <w:r>
        <w:t>être pour les membres de la communauté maritime qui utilisent des radars fonctionnant dans cette bande.</w:t>
      </w:r>
    </w:p>
    <w:p w:rsidR="008070B7" w:rsidRDefault="008070B7" w:rsidP="008070B7">
      <w:pPr>
        <w:tabs>
          <w:tab w:val="left" w:pos="708"/>
        </w:tabs>
        <w:jc w:val="center"/>
        <w:rPr>
          <w:b/>
          <w:bCs/>
        </w:rPr>
      </w:pPr>
    </w:p>
    <w:p w:rsidR="008070B7" w:rsidRDefault="008070B7" w:rsidP="008070B7">
      <w:pPr>
        <w:tabs>
          <w:tab w:val="left" w:pos="708"/>
        </w:tabs>
        <w:jc w:val="center"/>
        <w:rPr>
          <w:bCs/>
        </w:rPr>
      </w:pPr>
      <w:r>
        <w:rPr>
          <w:bCs/>
        </w:rPr>
        <w:br w:type="page"/>
      </w:r>
    </w:p>
    <w:p w:rsidR="008070B7" w:rsidRDefault="008070B7" w:rsidP="008070B7">
      <w:pPr>
        <w:pStyle w:val="AnnexNo"/>
      </w:pPr>
      <w:r>
        <w:lastRenderedPageBreak/>
        <w:t>ANNEXE 2</w:t>
      </w:r>
    </w:p>
    <w:p w:rsidR="008070B7" w:rsidRDefault="008070B7" w:rsidP="008070B7">
      <w:pPr>
        <w:pStyle w:val="ResNo"/>
      </w:pPr>
      <w:r>
        <w:t>RÉSOLUTION 13 (Rév.CMR-97)</w:t>
      </w:r>
    </w:p>
    <w:p w:rsidR="008070B7" w:rsidRDefault="008070B7" w:rsidP="008070B7">
      <w:pPr>
        <w:pStyle w:val="Restitle"/>
        <w:rPr>
          <w:b w:val="0"/>
          <w:bCs/>
        </w:rPr>
      </w:pPr>
      <w:r>
        <w:rPr>
          <w:bCs/>
        </w:rPr>
        <w:t>Formation des indicatifs d</w:t>
      </w:r>
      <w:r w:rsidR="00EB627B">
        <w:rPr>
          <w:bCs/>
        </w:rPr>
        <w:t>'</w:t>
      </w:r>
      <w:r>
        <w:rPr>
          <w:bCs/>
        </w:rPr>
        <w:t xml:space="preserve">appel et attribution de nouvelles </w:t>
      </w:r>
      <w:r>
        <w:rPr>
          <w:bCs/>
        </w:rPr>
        <w:br/>
        <w:t>séries internationales</w:t>
      </w:r>
    </w:p>
    <w:p w:rsidR="008070B7" w:rsidRDefault="008070B7" w:rsidP="008070B7">
      <w:pPr>
        <w:pStyle w:val="Normalaftertitle"/>
      </w:pPr>
      <w:r>
        <w:t>A conserver.</w:t>
      </w:r>
    </w:p>
    <w:p w:rsidR="008070B7" w:rsidRDefault="008070B7" w:rsidP="008070B7">
      <w:pPr>
        <w:pStyle w:val="ResNo"/>
        <w:rPr>
          <w:bCs/>
        </w:rPr>
      </w:pPr>
      <w:r w:rsidRPr="006A7701">
        <w:t>RÉSOLUTION</w:t>
      </w:r>
      <w:r>
        <w:rPr>
          <w:bCs/>
        </w:rPr>
        <w:t xml:space="preserve"> 18 (Rév.CMR-12)</w:t>
      </w:r>
    </w:p>
    <w:p w:rsidR="008070B7" w:rsidRDefault="008070B7" w:rsidP="008070B7">
      <w:pPr>
        <w:pStyle w:val="Restitle"/>
        <w:rPr>
          <w:bCs/>
        </w:rPr>
      </w:pPr>
      <w:r>
        <w:rPr>
          <w:bCs/>
        </w:rPr>
        <w:t>Procédure d</w:t>
      </w:r>
      <w:r w:rsidR="00EB627B">
        <w:rPr>
          <w:bCs/>
        </w:rPr>
        <w:t>'</w:t>
      </w:r>
      <w:r>
        <w:rPr>
          <w:bCs/>
        </w:rPr>
        <w:t>identification et d</w:t>
      </w:r>
      <w:r w:rsidR="00EB627B">
        <w:rPr>
          <w:bCs/>
        </w:rPr>
        <w:t>'</w:t>
      </w:r>
      <w:r>
        <w:rPr>
          <w:bCs/>
        </w:rPr>
        <w:t xml:space="preserve">annonce de la position des navires et des </w:t>
      </w:r>
      <w:r>
        <w:rPr>
          <w:bCs/>
        </w:rPr>
        <w:br/>
        <w:t>aéronefs des Etats non parties à un conflit armé</w:t>
      </w:r>
    </w:p>
    <w:p w:rsidR="008070B7" w:rsidRDefault="008070B7" w:rsidP="008070B7">
      <w:pPr>
        <w:pStyle w:val="Normalaftertitle"/>
      </w:pPr>
      <w:r>
        <w:t>A conserver.</w:t>
      </w:r>
    </w:p>
    <w:p w:rsidR="008070B7" w:rsidRDefault="008070B7" w:rsidP="008070B7">
      <w:pPr>
        <w:pStyle w:val="ResNo"/>
        <w:rPr>
          <w:bCs/>
        </w:rPr>
      </w:pPr>
      <w:r w:rsidRPr="006A7701">
        <w:t>RÉSOLUTION</w:t>
      </w:r>
      <w:r>
        <w:rPr>
          <w:bCs/>
        </w:rPr>
        <w:t xml:space="preserve"> 205 (Rév.CMR-12)</w:t>
      </w:r>
    </w:p>
    <w:p w:rsidR="008070B7" w:rsidRDefault="008070B7" w:rsidP="00080245">
      <w:pPr>
        <w:pStyle w:val="Restitle"/>
        <w:rPr>
          <w:b w:val="0"/>
          <w:bCs/>
        </w:rPr>
      </w:pPr>
      <w:r>
        <w:rPr>
          <w:bCs/>
        </w:rPr>
        <w:t>Protection de la bande 406-406,1 MHz attribuée au</w:t>
      </w:r>
      <w:r w:rsidR="00B113A2">
        <w:rPr>
          <w:bCs/>
        </w:rPr>
        <w:t xml:space="preserve"> </w:t>
      </w:r>
      <w:r>
        <w:rPr>
          <w:bCs/>
        </w:rPr>
        <w:t>service mobile par satellite</w:t>
      </w:r>
    </w:p>
    <w:p w:rsidR="008070B7" w:rsidRDefault="008070B7" w:rsidP="008070B7">
      <w:pPr>
        <w:pStyle w:val="Normalaftertitle"/>
      </w:pPr>
      <w:r>
        <w:t>Fait l</w:t>
      </w:r>
      <w:r w:rsidR="00EB627B">
        <w:t>'</w:t>
      </w:r>
      <w:r>
        <w:t>objet du point 9.1.1 de l</w:t>
      </w:r>
      <w:r w:rsidR="00EB627B">
        <w:t>'</w:t>
      </w:r>
      <w:r>
        <w:t>ordre du jour, question 9.1.1.</w:t>
      </w:r>
    </w:p>
    <w:p w:rsidR="008070B7" w:rsidRDefault="008070B7" w:rsidP="008070B7">
      <w:pPr>
        <w:pStyle w:val="ResNo"/>
        <w:rPr>
          <w:bCs/>
        </w:rPr>
      </w:pPr>
      <w:r w:rsidRPr="006A7701">
        <w:t>RÉSOLUTION 207 (Rév.CMR-03)</w:t>
      </w:r>
    </w:p>
    <w:p w:rsidR="008070B7" w:rsidRDefault="008070B7" w:rsidP="008070B7">
      <w:pPr>
        <w:pStyle w:val="Restitle"/>
        <w:rPr>
          <w:bCs/>
        </w:rPr>
      </w:pPr>
      <w:r>
        <w:rPr>
          <w:bCs/>
        </w:rPr>
        <w:t>Mesures permettant de traiter l</w:t>
      </w:r>
      <w:r w:rsidR="00EB627B">
        <w:rPr>
          <w:bCs/>
        </w:rPr>
        <w:t>'</w:t>
      </w:r>
      <w:r>
        <w:rPr>
          <w:bCs/>
        </w:rPr>
        <w:t>utilisation non autorisée de fréquences dans les bandes attribuées au service mobile maritime et au service mobile aéronautique (R) et les brouillages causés à ces fréquences</w:t>
      </w:r>
    </w:p>
    <w:p w:rsidR="008070B7" w:rsidRDefault="008070B7" w:rsidP="008070B7">
      <w:pPr>
        <w:pStyle w:val="Normalaftertitle"/>
      </w:pPr>
      <w:r>
        <w:t>A conserver.</w:t>
      </w:r>
    </w:p>
    <w:p w:rsidR="008070B7" w:rsidRDefault="008070B7" w:rsidP="008070B7">
      <w:pPr>
        <w:pStyle w:val="ResNo"/>
        <w:rPr>
          <w:bCs/>
        </w:rPr>
      </w:pPr>
      <w:r w:rsidRPr="006A7701">
        <w:t>RÉSOLUTION</w:t>
      </w:r>
      <w:r>
        <w:rPr>
          <w:bCs/>
        </w:rPr>
        <w:t xml:space="preserve"> 222 (Rév.CMR-12)</w:t>
      </w:r>
    </w:p>
    <w:p w:rsidR="008070B7" w:rsidRDefault="008070B7" w:rsidP="008070B7">
      <w:pPr>
        <w:pStyle w:val="Restitle"/>
        <w:rPr>
          <w:b w:val="0"/>
          <w:bCs/>
        </w:rPr>
      </w:pPr>
      <w:r>
        <w:rPr>
          <w:bCs/>
        </w:rPr>
        <w:t>Utilisation des bandes</w:t>
      </w:r>
      <w:r w:rsidR="00B113A2">
        <w:rPr>
          <w:bCs/>
        </w:rPr>
        <w:t xml:space="preserve"> </w:t>
      </w:r>
      <w:r>
        <w:rPr>
          <w:bCs/>
        </w:rPr>
        <w:t>1 525-1 559 MHz et 1 626,5-1 660,5 MHz</w:t>
      </w:r>
      <w:r>
        <w:rPr>
          <w:b w:val="0"/>
          <w:bCs/>
        </w:rPr>
        <w:t xml:space="preserve"> </w:t>
      </w:r>
      <w:r>
        <w:rPr>
          <w:bCs/>
        </w:rPr>
        <w:t>par le service mobile par satellite et procédures visant à assurer l</w:t>
      </w:r>
      <w:r w:rsidR="00EB627B">
        <w:rPr>
          <w:bCs/>
        </w:rPr>
        <w:t>'</w:t>
      </w:r>
      <w:r>
        <w:rPr>
          <w:bCs/>
        </w:rPr>
        <w:t>accès au spectre à long terme pour le service mobile aéronautique par satellite (R)</w:t>
      </w:r>
    </w:p>
    <w:p w:rsidR="008070B7" w:rsidRDefault="008070B7" w:rsidP="008070B7">
      <w:pPr>
        <w:pStyle w:val="Normalaftertitle"/>
      </w:pPr>
      <w:r>
        <w:t>A conserver.</w:t>
      </w:r>
    </w:p>
    <w:p w:rsidR="008070B7" w:rsidRDefault="008070B7" w:rsidP="008070B7">
      <w:pPr>
        <w:pStyle w:val="ResNo"/>
        <w:rPr>
          <w:bCs/>
        </w:rPr>
      </w:pPr>
      <w:r w:rsidRPr="006A7701">
        <w:t>RÉSOLUTION</w:t>
      </w:r>
      <w:r>
        <w:rPr>
          <w:bCs/>
        </w:rPr>
        <w:t xml:space="preserve"> 331 (Rév.CMR-12)</w:t>
      </w:r>
    </w:p>
    <w:p w:rsidR="008070B7" w:rsidRDefault="008070B7" w:rsidP="008070B7">
      <w:pPr>
        <w:pStyle w:val="Restitle"/>
        <w:rPr>
          <w:b w:val="0"/>
          <w:bCs/>
        </w:rPr>
      </w:pPr>
      <w:r>
        <w:rPr>
          <w:bCs/>
        </w:rPr>
        <w:t>Exploitation du Système mondial de détresse et de sécurité en mer</w:t>
      </w:r>
    </w:p>
    <w:p w:rsidR="008070B7" w:rsidRDefault="008070B7" w:rsidP="008070B7">
      <w:pPr>
        <w:pStyle w:val="Normalaftertitle"/>
      </w:pPr>
      <w:r>
        <w:t>A conserver.</w:t>
      </w:r>
    </w:p>
    <w:p w:rsidR="008070B7" w:rsidRDefault="008070B7" w:rsidP="008070B7">
      <w:pPr>
        <w:pStyle w:val="ResNo"/>
        <w:rPr>
          <w:bCs/>
        </w:rPr>
      </w:pPr>
      <w:r w:rsidRPr="006A7701">
        <w:lastRenderedPageBreak/>
        <w:t>RÉSOLUTION 339 (Rév.CMR-07)</w:t>
      </w:r>
    </w:p>
    <w:p w:rsidR="008070B7" w:rsidRDefault="008070B7" w:rsidP="008070B7">
      <w:pPr>
        <w:pStyle w:val="Restitle"/>
        <w:rPr>
          <w:b w:val="0"/>
          <w:bCs/>
        </w:rPr>
      </w:pPr>
      <w:r>
        <w:rPr>
          <w:bCs/>
        </w:rPr>
        <w:t>Coordination des services NAVTEX</w:t>
      </w:r>
    </w:p>
    <w:p w:rsidR="008070B7" w:rsidRDefault="008070B7" w:rsidP="008070B7">
      <w:pPr>
        <w:pStyle w:val="Normalaftertitle"/>
      </w:pPr>
      <w:r>
        <w:t>A conserver.</w:t>
      </w:r>
    </w:p>
    <w:p w:rsidR="008070B7" w:rsidRDefault="008070B7" w:rsidP="008070B7">
      <w:pPr>
        <w:pStyle w:val="ResNo"/>
        <w:rPr>
          <w:bCs/>
        </w:rPr>
      </w:pPr>
      <w:r>
        <w:rPr>
          <w:bCs/>
        </w:rPr>
        <w:t>RÉSOLUTION 343 (</w:t>
      </w:r>
      <w:r w:rsidRPr="006A7701">
        <w:t>Rév</w:t>
      </w:r>
      <w:r>
        <w:rPr>
          <w:bCs/>
        </w:rPr>
        <w:t>.CMR-12)</w:t>
      </w:r>
    </w:p>
    <w:p w:rsidR="008070B7" w:rsidRDefault="008070B7" w:rsidP="008070B7">
      <w:pPr>
        <w:pStyle w:val="Restitle"/>
        <w:rPr>
          <w:b w:val="0"/>
          <w:bCs/>
        </w:rPr>
      </w:pPr>
      <w:r>
        <w:rPr>
          <w:bCs/>
        </w:rPr>
        <w:t xml:space="preserve">Certificats pour le personnel des stations de navire et des stations terriennes de navire pour lesquelles une </w:t>
      </w:r>
      <w:r w:rsidRPr="00AD23F1">
        <w:rPr>
          <w:b w:val="0"/>
          <w:bCs/>
        </w:rPr>
        <w:t>installation</w:t>
      </w:r>
      <w:r>
        <w:rPr>
          <w:bCs/>
        </w:rPr>
        <w:t xml:space="preserve"> radioélectrique n</w:t>
      </w:r>
      <w:r w:rsidR="00EB627B">
        <w:rPr>
          <w:bCs/>
        </w:rPr>
        <w:t>'</w:t>
      </w:r>
      <w:r>
        <w:rPr>
          <w:bCs/>
        </w:rPr>
        <w:t>est pas obligatoire</w:t>
      </w:r>
    </w:p>
    <w:p w:rsidR="008070B7" w:rsidRDefault="008070B7" w:rsidP="008070B7">
      <w:pPr>
        <w:pStyle w:val="Normalaftertitle"/>
      </w:pPr>
      <w:r>
        <w:t>A conserver pour garantir une exploitation commune pour les navires visés par la Convention et ceux qui ne le sont pas.</w:t>
      </w:r>
    </w:p>
    <w:p w:rsidR="008070B7" w:rsidRDefault="008070B7" w:rsidP="008070B7">
      <w:pPr>
        <w:pStyle w:val="ResNo"/>
        <w:rPr>
          <w:bCs/>
        </w:rPr>
      </w:pPr>
      <w:r w:rsidRPr="006A7701">
        <w:t>RÉSOLUTION</w:t>
      </w:r>
      <w:r>
        <w:rPr>
          <w:bCs/>
        </w:rPr>
        <w:t xml:space="preserve"> 344 (Rév.CMR-12)</w:t>
      </w:r>
    </w:p>
    <w:p w:rsidR="008070B7" w:rsidRDefault="008070B7" w:rsidP="008070B7">
      <w:pPr>
        <w:pStyle w:val="Restitle"/>
        <w:rPr>
          <w:b w:val="0"/>
          <w:bCs/>
        </w:rPr>
      </w:pPr>
      <w:r>
        <w:rPr>
          <w:bCs/>
        </w:rPr>
        <w:t xml:space="preserve">Gestion des </w:t>
      </w:r>
      <w:r w:rsidRPr="00AD23F1">
        <w:rPr>
          <w:b w:val="0"/>
          <w:bCs/>
        </w:rPr>
        <w:t>ressources</w:t>
      </w:r>
      <w:r>
        <w:rPr>
          <w:bCs/>
        </w:rPr>
        <w:t xml:space="preserve"> de numérotage que constituent les identités</w:t>
      </w:r>
      <w:r w:rsidRPr="00725961">
        <w:rPr>
          <w:color w:val="000000"/>
        </w:rPr>
        <w:t xml:space="preserve"> </w:t>
      </w:r>
      <w:r>
        <w:rPr>
          <w:color w:val="000000"/>
        </w:rPr>
        <w:t>dans le service mobile maritime</w:t>
      </w:r>
      <w:r w:rsidR="00B113A2">
        <w:rPr>
          <w:bCs/>
        </w:rPr>
        <w:t xml:space="preserve"> </w:t>
      </w:r>
    </w:p>
    <w:p w:rsidR="008070B7" w:rsidRDefault="008070B7" w:rsidP="008070B7">
      <w:pPr>
        <w:pStyle w:val="Normalaftertitle"/>
      </w:pPr>
      <w:r>
        <w:t>A conserver.</w:t>
      </w:r>
    </w:p>
    <w:p w:rsidR="008070B7" w:rsidRDefault="008070B7" w:rsidP="008070B7">
      <w:pPr>
        <w:pStyle w:val="ResNo"/>
        <w:rPr>
          <w:bCs/>
        </w:rPr>
      </w:pPr>
      <w:r w:rsidRPr="006A7701">
        <w:t>RÉSOLUTION</w:t>
      </w:r>
      <w:r>
        <w:rPr>
          <w:bCs/>
        </w:rPr>
        <w:t xml:space="preserve"> 349 (Rév.CMR-12)</w:t>
      </w:r>
    </w:p>
    <w:p w:rsidR="008070B7" w:rsidRDefault="008070B7" w:rsidP="008070B7">
      <w:pPr>
        <w:pStyle w:val="Restitle"/>
        <w:rPr>
          <w:bCs/>
        </w:rPr>
      </w:pPr>
      <w:r>
        <w:rPr>
          <w:bCs/>
        </w:rPr>
        <w:t>Procédures d</w:t>
      </w:r>
      <w:r w:rsidR="00EB627B">
        <w:rPr>
          <w:bCs/>
        </w:rPr>
        <w:t>'</w:t>
      </w:r>
      <w:r>
        <w:rPr>
          <w:bCs/>
        </w:rPr>
        <w:t>exploitation relatives à l</w:t>
      </w:r>
      <w:r w:rsidR="00EB627B">
        <w:rPr>
          <w:bCs/>
        </w:rPr>
        <w:t>'</w:t>
      </w:r>
      <w:r>
        <w:rPr>
          <w:bCs/>
        </w:rPr>
        <w:t>annulation des fausses alertes de détresse</w:t>
      </w:r>
      <w:r>
        <w:rPr>
          <w:bCs/>
        </w:rPr>
        <w:br/>
        <w:t xml:space="preserve">dans le Système mondial de détresse et de </w:t>
      </w:r>
      <w:r w:rsidRPr="00AD23F1">
        <w:rPr>
          <w:b w:val="0"/>
          <w:bCs/>
        </w:rPr>
        <w:t>sécurité</w:t>
      </w:r>
      <w:r>
        <w:rPr>
          <w:bCs/>
        </w:rPr>
        <w:t xml:space="preserve"> en mer</w:t>
      </w:r>
    </w:p>
    <w:p w:rsidR="008070B7" w:rsidRDefault="008070B7" w:rsidP="008070B7">
      <w:pPr>
        <w:pStyle w:val="Normalaftertitle"/>
      </w:pPr>
      <w:r>
        <w:t>A conserver.</w:t>
      </w:r>
    </w:p>
    <w:p w:rsidR="008070B7" w:rsidRDefault="008070B7" w:rsidP="008070B7">
      <w:pPr>
        <w:pStyle w:val="ResNo"/>
        <w:rPr>
          <w:bCs/>
        </w:rPr>
      </w:pPr>
      <w:r w:rsidRPr="006A7701">
        <w:t>RÉSOLUTION</w:t>
      </w:r>
      <w:r>
        <w:rPr>
          <w:bCs/>
        </w:rPr>
        <w:t xml:space="preserve"> 352 (CMR-03)</w:t>
      </w:r>
    </w:p>
    <w:p w:rsidR="008070B7" w:rsidRDefault="008070B7" w:rsidP="008070B7">
      <w:pPr>
        <w:pStyle w:val="Restitle"/>
        <w:rPr>
          <w:bCs/>
        </w:rPr>
      </w:pPr>
      <w:r>
        <w:rPr>
          <w:bCs/>
        </w:rPr>
        <w:t xml:space="preserve">Utilisation des fréquences porteuses 12 290 kHz et 16 420 kHz pour les appels liés à la sécurité à destination ou en provenance des centres de </w:t>
      </w:r>
      <w:r>
        <w:rPr>
          <w:bCs/>
        </w:rPr>
        <w:br/>
        <w:t>coordination des opérations de sauvetage</w:t>
      </w:r>
    </w:p>
    <w:p w:rsidR="008070B7" w:rsidRDefault="008070B7" w:rsidP="008070B7">
      <w:pPr>
        <w:pStyle w:val="Normalaftertitle"/>
      </w:pPr>
      <w:r>
        <w:t>A conserver.</w:t>
      </w:r>
    </w:p>
    <w:p w:rsidR="008070B7" w:rsidRDefault="008070B7" w:rsidP="008070B7">
      <w:pPr>
        <w:pStyle w:val="ResNo"/>
        <w:rPr>
          <w:bCs/>
        </w:rPr>
      </w:pPr>
      <w:r w:rsidRPr="006A7701">
        <w:t>RÉSOLUTION</w:t>
      </w:r>
      <w:r>
        <w:rPr>
          <w:bCs/>
        </w:rPr>
        <w:t xml:space="preserve"> 354 (CMR-07)</w:t>
      </w:r>
    </w:p>
    <w:p w:rsidR="008070B7" w:rsidRDefault="008070B7" w:rsidP="008070B7">
      <w:pPr>
        <w:pStyle w:val="Restitle"/>
        <w:rPr>
          <w:b w:val="0"/>
          <w:bCs/>
        </w:rPr>
      </w:pPr>
      <w:r>
        <w:rPr>
          <w:bCs/>
        </w:rPr>
        <w:t xml:space="preserve">Procédures de détresse et de sécurité en radiotéléphonie </w:t>
      </w:r>
      <w:r>
        <w:rPr>
          <w:bCs/>
        </w:rPr>
        <w:br/>
        <w:t>sur la fréquence 2 182 kHz</w:t>
      </w:r>
    </w:p>
    <w:p w:rsidR="008070B7" w:rsidRDefault="008070B7" w:rsidP="008070B7">
      <w:pPr>
        <w:pStyle w:val="Normalaftertitle"/>
      </w:pPr>
      <w:r>
        <w:t>A conserver.</w:t>
      </w:r>
    </w:p>
    <w:p w:rsidR="008070B7" w:rsidRDefault="008070B7" w:rsidP="008070B7">
      <w:pPr>
        <w:pStyle w:val="ResNo"/>
        <w:rPr>
          <w:bCs/>
        </w:rPr>
      </w:pPr>
      <w:r>
        <w:rPr>
          <w:bCs/>
        </w:rPr>
        <w:lastRenderedPageBreak/>
        <w:t>RÉSOLUTION 356 (CMR-07)</w:t>
      </w:r>
    </w:p>
    <w:p w:rsidR="008070B7" w:rsidRDefault="008070B7" w:rsidP="008070B7">
      <w:pPr>
        <w:pStyle w:val="Restitle"/>
        <w:rPr>
          <w:b w:val="0"/>
          <w:bCs/>
        </w:rPr>
      </w:pPr>
      <w:r>
        <w:rPr>
          <w:bCs/>
        </w:rPr>
        <w:t>Enregistrement auprès de l</w:t>
      </w:r>
      <w:r w:rsidR="00EB627B">
        <w:rPr>
          <w:bCs/>
        </w:rPr>
        <w:t>'</w:t>
      </w:r>
      <w:r>
        <w:rPr>
          <w:bCs/>
        </w:rPr>
        <w:t>UIT d</w:t>
      </w:r>
      <w:r w:rsidR="00EB627B">
        <w:rPr>
          <w:bCs/>
        </w:rPr>
        <w:t>'</w:t>
      </w:r>
      <w:r>
        <w:rPr>
          <w:bCs/>
        </w:rPr>
        <w:t>informations relatives au service maritime</w:t>
      </w:r>
    </w:p>
    <w:p w:rsidR="008070B7" w:rsidRDefault="008070B7" w:rsidP="008070B7">
      <w:pPr>
        <w:pStyle w:val="Normalaftertitle"/>
      </w:pPr>
      <w:r>
        <w:t>A conserver.</w:t>
      </w:r>
    </w:p>
    <w:p w:rsidR="008070B7" w:rsidRDefault="008070B7" w:rsidP="008070B7">
      <w:pPr>
        <w:pStyle w:val="ResNo"/>
        <w:rPr>
          <w:bCs/>
        </w:rPr>
      </w:pPr>
      <w:r>
        <w:rPr>
          <w:bCs/>
        </w:rPr>
        <w:t>RÉSOLUTION 358 (CMR-12)</w:t>
      </w:r>
    </w:p>
    <w:p w:rsidR="008070B7" w:rsidRDefault="008070B7" w:rsidP="008070B7">
      <w:pPr>
        <w:pStyle w:val="Restitle"/>
        <w:rPr>
          <w:b w:val="0"/>
          <w:bCs/>
        </w:rPr>
      </w:pPr>
      <w:r>
        <w:rPr>
          <w:bCs/>
        </w:rPr>
        <w:t>Examen de l</w:t>
      </w:r>
      <w:r w:rsidR="00EB627B">
        <w:rPr>
          <w:bCs/>
        </w:rPr>
        <w:t>'</w:t>
      </w:r>
      <w:r>
        <w:rPr>
          <w:bCs/>
        </w:rPr>
        <w:t>amélioration et du développement des stations de communication de bord du service mobile maritime dans les bandes d</w:t>
      </w:r>
      <w:r w:rsidR="00EB627B">
        <w:rPr>
          <w:bCs/>
        </w:rPr>
        <w:t>'</w:t>
      </w:r>
      <w:r>
        <w:rPr>
          <w:bCs/>
        </w:rPr>
        <w:t>ondes décimétriques</w:t>
      </w:r>
    </w:p>
    <w:p w:rsidR="008070B7" w:rsidRDefault="008070B7" w:rsidP="008070B7">
      <w:pPr>
        <w:pStyle w:val="Normalaftertitle"/>
      </w:pPr>
      <w:r>
        <w:t>Fait l</w:t>
      </w:r>
      <w:r w:rsidR="00EB627B">
        <w:t>'</w:t>
      </w:r>
      <w:r>
        <w:t>objet du point 1.15 de l</w:t>
      </w:r>
      <w:r w:rsidR="00EB627B">
        <w:t>'</w:t>
      </w:r>
      <w:r>
        <w:t>ordre du jour.</w:t>
      </w:r>
    </w:p>
    <w:p w:rsidR="008070B7" w:rsidRDefault="008070B7" w:rsidP="008070B7">
      <w:pPr>
        <w:pStyle w:val="RecNo"/>
        <w:rPr>
          <w:bCs/>
        </w:rPr>
      </w:pPr>
      <w:r w:rsidRPr="00E17C02">
        <w:t>RÉSOLUTION</w:t>
      </w:r>
      <w:r>
        <w:rPr>
          <w:bCs/>
        </w:rPr>
        <w:t xml:space="preserve"> 359 (CMR-12)</w:t>
      </w:r>
    </w:p>
    <w:p w:rsidR="008070B7" w:rsidRDefault="008070B7" w:rsidP="008070B7">
      <w:pPr>
        <w:pStyle w:val="Restitle"/>
        <w:rPr>
          <w:b w:val="0"/>
          <w:bCs/>
        </w:rPr>
      </w:pPr>
      <w:r>
        <w:rPr>
          <w:bCs/>
        </w:rPr>
        <w:t xml:space="preserve">Examen de dispositions réglementaires relatives à la modernisation </w:t>
      </w:r>
      <w:r>
        <w:rPr>
          <w:bCs/>
        </w:rPr>
        <w:br/>
        <w:t>du Système mondial de détresse et de sécurité en mer et d</w:t>
      </w:r>
      <w:r w:rsidR="00EB627B">
        <w:rPr>
          <w:bCs/>
        </w:rPr>
        <w:t>'</w:t>
      </w:r>
      <w:r>
        <w:rPr>
          <w:bCs/>
        </w:rPr>
        <w:t xml:space="preserve">études </w:t>
      </w:r>
      <w:r>
        <w:rPr>
          <w:bCs/>
        </w:rPr>
        <w:br/>
        <w:t>portant sur la navigation électronique</w:t>
      </w:r>
    </w:p>
    <w:p w:rsidR="008070B7" w:rsidRDefault="008070B7" w:rsidP="008070B7">
      <w:pPr>
        <w:pStyle w:val="Normalaftertitle"/>
      </w:pPr>
      <w:r>
        <w:t>Fait l</w:t>
      </w:r>
      <w:r w:rsidR="00EB627B">
        <w:t>'</w:t>
      </w:r>
      <w:r>
        <w:t>objet du point 1.10 de l</w:t>
      </w:r>
      <w:r w:rsidR="00EB627B">
        <w:t>'</w:t>
      </w:r>
      <w:r>
        <w:t>ordre du jour.</w:t>
      </w:r>
    </w:p>
    <w:p w:rsidR="008070B7" w:rsidRDefault="008070B7" w:rsidP="008070B7">
      <w:pPr>
        <w:pStyle w:val="ResNo"/>
        <w:rPr>
          <w:bCs/>
        </w:rPr>
      </w:pPr>
      <w:r>
        <w:rPr>
          <w:bCs/>
        </w:rPr>
        <w:t>RÉSOLUTION 360 (CMR-12)</w:t>
      </w:r>
    </w:p>
    <w:p w:rsidR="008070B7" w:rsidRDefault="008070B7" w:rsidP="008070B7">
      <w:pPr>
        <w:pStyle w:val="Restitle"/>
        <w:rPr>
          <w:b w:val="0"/>
          <w:bCs/>
        </w:rPr>
      </w:pPr>
      <w:r>
        <w:rPr>
          <w:bCs/>
        </w:rPr>
        <w:t>Examen des dispositions réglementaires et des attributions de fréquence propres à améliorer les applications des techniques du système d</w:t>
      </w:r>
      <w:r w:rsidR="00EB627B">
        <w:rPr>
          <w:bCs/>
        </w:rPr>
        <w:t>'</w:t>
      </w:r>
      <w:r>
        <w:rPr>
          <w:bCs/>
        </w:rPr>
        <w:t>identification automatique et les radiocommunications maritimes</w:t>
      </w:r>
    </w:p>
    <w:p w:rsidR="008070B7" w:rsidRDefault="008070B7" w:rsidP="008070B7">
      <w:pPr>
        <w:pStyle w:val="Normalaftertitle"/>
      </w:pPr>
      <w:r>
        <w:t>Fait l</w:t>
      </w:r>
      <w:r w:rsidR="00EB627B">
        <w:t>'</w:t>
      </w:r>
      <w:r>
        <w:t>objet du point 1.16 de l</w:t>
      </w:r>
      <w:r w:rsidR="00EB627B">
        <w:t>'</w:t>
      </w:r>
      <w:r>
        <w:t>ordre du jour.</w:t>
      </w:r>
    </w:p>
    <w:p w:rsidR="008070B7" w:rsidRDefault="008070B7" w:rsidP="008070B7">
      <w:pPr>
        <w:pStyle w:val="ResNo"/>
        <w:rPr>
          <w:bCs/>
        </w:rPr>
      </w:pPr>
      <w:r>
        <w:rPr>
          <w:bCs/>
        </w:rPr>
        <w:t>RÉSOLUTION 758 (CMR-12)</w:t>
      </w:r>
    </w:p>
    <w:p w:rsidR="008070B7" w:rsidRDefault="008070B7" w:rsidP="008070B7">
      <w:pPr>
        <w:pStyle w:val="Restitle"/>
        <w:rPr>
          <w:bCs/>
        </w:rPr>
      </w:pPr>
      <w:r>
        <w:rPr>
          <w:bCs/>
        </w:rPr>
        <w:t xml:space="preserve">Attribution au service fixe par satellite et au service mobile maritime </w:t>
      </w:r>
      <w:r>
        <w:rPr>
          <w:bCs/>
        </w:rPr>
        <w:br/>
        <w:t>par satellite dans la gamme 7/8 GHz</w:t>
      </w:r>
    </w:p>
    <w:p w:rsidR="008070B7" w:rsidRDefault="008070B7" w:rsidP="008070B7">
      <w:pPr>
        <w:pStyle w:val="Normalaftertitle"/>
      </w:pPr>
      <w:r>
        <w:t>Fait l</w:t>
      </w:r>
      <w:r w:rsidR="00EB627B">
        <w:t>'</w:t>
      </w:r>
      <w:r>
        <w:t>objet du point 1.9.2 de l</w:t>
      </w:r>
      <w:r w:rsidR="00EB627B">
        <w:t>'</w:t>
      </w:r>
      <w:r>
        <w:t>ordre du jour.</w:t>
      </w:r>
    </w:p>
    <w:p w:rsidR="008070B7" w:rsidRDefault="008070B7" w:rsidP="008070B7">
      <w:pPr>
        <w:pStyle w:val="ResNo"/>
        <w:rPr>
          <w:bCs/>
        </w:rPr>
      </w:pPr>
      <w:r>
        <w:rPr>
          <w:bCs/>
        </w:rPr>
        <w:t>RÉSOLUTION 909 (CMR-12)</w:t>
      </w:r>
    </w:p>
    <w:p w:rsidR="008070B7" w:rsidRDefault="008070B7" w:rsidP="008070B7">
      <w:pPr>
        <w:tabs>
          <w:tab w:val="left" w:pos="708"/>
        </w:tabs>
        <w:jc w:val="center"/>
        <w:rPr>
          <w:bCs/>
        </w:rPr>
      </w:pPr>
      <w:r>
        <w:rPr>
          <w:b/>
          <w:bCs/>
        </w:rPr>
        <w:t xml:space="preserve">Dispositions relatives aux stations terriennes placées à bord de navires qui sont exploitées dans des réseaux du service fixe par satellite dans les bandes 5 925-6 425 MHz et </w:t>
      </w:r>
      <w:r>
        <w:rPr>
          <w:b/>
          <w:bCs/>
        </w:rPr>
        <w:br/>
        <w:t>14-14,5 GHz pour les liaisons montantes</w:t>
      </w:r>
    </w:p>
    <w:p w:rsidR="008070B7" w:rsidRDefault="008070B7" w:rsidP="008070B7">
      <w:pPr>
        <w:pStyle w:val="Normalaftertitle"/>
      </w:pPr>
      <w:r>
        <w:t>Fait l</w:t>
      </w:r>
      <w:r w:rsidR="00EB627B">
        <w:t>'</w:t>
      </w:r>
      <w:r>
        <w:t>objet du point 1.8 de l</w:t>
      </w:r>
      <w:r w:rsidR="00EB627B">
        <w:t>'</w:t>
      </w:r>
      <w:r>
        <w:t>ordre du jour.</w:t>
      </w:r>
    </w:p>
    <w:p w:rsidR="008070B7" w:rsidRDefault="008070B7" w:rsidP="008070B7">
      <w:pPr>
        <w:pStyle w:val="ResNo"/>
        <w:rPr>
          <w:bCs/>
        </w:rPr>
      </w:pPr>
      <w:r>
        <w:rPr>
          <w:bCs/>
        </w:rPr>
        <w:lastRenderedPageBreak/>
        <w:t>RÉSOLUTION 612 (Rév.CMR-12)</w:t>
      </w:r>
    </w:p>
    <w:p w:rsidR="008070B7" w:rsidRDefault="008070B7" w:rsidP="008070B7">
      <w:pPr>
        <w:pStyle w:val="Restitle"/>
      </w:pPr>
      <w:r>
        <w:t xml:space="preserve">Utilisation du service de radiolocalisation entre 3 et 50 MHz pour </w:t>
      </w:r>
      <w:r>
        <w:br/>
        <w:t>l</w:t>
      </w:r>
      <w:r w:rsidR="00EB627B">
        <w:t>'</w:t>
      </w:r>
      <w:r>
        <w:t>exploitation de radars océanographiques</w:t>
      </w:r>
      <w:r w:rsidRPr="00FA5BCA">
        <w:rPr>
          <w:color w:val="000000"/>
        </w:rPr>
        <w:t xml:space="preserve"> </w:t>
      </w:r>
      <w:r>
        <w:rPr>
          <w:color w:val="000000"/>
        </w:rPr>
        <w:t>à ondes décamétriques</w:t>
      </w:r>
      <w:r>
        <w:t xml:space="preserve"> </w:t>
      </w:r>
    </w:p>
    <w:p w:rsidR="008070B7" w:rsidRDefault="008070B7" w:rsidP="008070B7">
      <w:pPr>
        <w:pStyle w:val="Normalaftertitle"/>
      </w:pPr>
      <w:r>
        <w:t>A conserver.</w:t>
      </w:r>
    </w:p>
    <w:p w:rsidR="008070B7" w:rsidRDefault="008070B7" w:rsidP="008070B7">
      <w:pPr>
        <w:pStyle w:val="RecNo"/>
      </w:pPr>
      <w:r>
        <w:t>RECOMMANDATION 7 (Rév.CMR-97)</w:t>
      </w:r>
    </w:p>
    <w:p w:rsidR="008070B7" w:rsidRDefault="008070B7" w:rsidP="008070B7">
      <w:pPr>
        <w:pStyle w:val="Rectitle"/>
        <w:rPr>
          <w:bCs/>
        </w:rPr>
      </w:pPr>
      <w:r>
        <w:rPr>
          <w:bCs/>
        </w:rPr>
        <w:t>Adoption de modèles normalisés de licences délivrées aux stations de navire et aux stations terriennes de navire, aux stations d</w:t>
      </w:r>
      <w:r w:rsidR="00EB627B">
        <w:rPr>
          <w:bCs/>
        </w:rPr>
        <w:t>'</w:t>
      </w:r>
      <w:r>
        <w:rPr>
          <w:bCs/>
        </w:rPr>
        <w:t>aéronef et aux stations terriennes d</w:t>
      </w:r>
      <w:r w:rsidR="00EB627B">
        <w:rPr>
          <w:bCs/>
        </w:rPr>
        <w:t>'</w:t>
      </w:r>
      <w:r>
        <w:rPr>
          <w:bCs/>
        </w:rPr>
        <w:t>aéronef</w:t>
      </w:r>
    </w:p>
    <w:p w:rsidR="008070B7" w:rsidRDefault="008070B7" w:rsidP="008070B7">
      <w:pPr>
        <w:pStyle w:val="Normalaftertitle"/>
      </w:pPr>
      <w:r>
        <w:t>A conserver.</w:t>
      </w:r>
    </w:p>
    <w:p w:rsidR="008070B7" w:rsidRDefault="008070B7" w:rsidP="008070B7">
      <w:pPr>
        <w:pStyle w:val="RecNo"/>
        <w:rPr>
          <w:bCs/>
        </w:rPr>
      </w:pPr>
      <w:r w:rsidRPr="00AD23F1">
        <w:t>RECOMMANDATION</w:t>
      </w:r>
      <w:r>
        <w:rPr>
          <w:bCs/>
        </w:rPr>
        <w:t xml:space="preserve"> 37 (CMR-03)</w:t>
      </w:r>
    </w:p>
    <w:p w:rsidR="008070B7" w:rsidRDefault="008070B7" w:rsidP="008070B7">
      <w:pPr>
        <w:pStyle w:val="Rectitle"/>
        <w:rPr>
          <w:b w:val="0"/>
          <w:bCs/>
        </w:rPr>
      </w:pPr>
      <w:r>
        <w:rPr>
          <w:bCs/>
        </w:rPr>
        <w:t>Procédures d</w:t>
      </w:r>
      <w:r w:rsidR="00EB627B">
        <w:rPr>
          <w:bCs/>
        </w:rPr>
        <w:t>'</w:t>
      </w:r>
      <w:r>
        <w:rPr>
          <w:bCs/>
        </w:rPr>
        <w:t>exploitation des stations terriennes à bord de navires (ESV)</w:t>
      </w:r>
    </w:p>
    <w:p w:rsidR="008070B7" w:rsidRDefault="008070B7" w:rsidP="008070B7">
      <w:pPr>
        <w:pStyle w:val="Normalaftertitle"/>
      </w:pPr>
      <w:r>
        <w:t>Fait l</w:t>
      </w:r>
      <w:r w:rsidR="00EB627B">
        <w:t>'</w:t>
      </w:r>
      <w:r>
        <w:t>objet du point 1.8 de l</w:t>
      </w:r>
      <w:r w:rsidR="00EB627B">
        <w:t>'</w:t>
      </w:r>
      <w:r>
        <w:t>ordre du jour.</w:t>
      </w:r>
    </w:p>
    <w:p w:rsidR="008070B7" w:rsidRDefault="008070B7" w:rsidP="008070B7">
      <w:pPr>
        <w:pStyle w:val="RecNo"/>
        <w:rPr>
          <w:bCs/>
        </w:rPr>
      </w:pPr>
      <w:r w:rsidRPr="00AD23F1">
        <w:t>RECOMMANDATION</w:t>
      </w:r>
      <w:r>
        <w:rPr>
          <w:bCs/>
        </w:rPr>
        <w:t xml:space="preserve"> 316 (Rév.MOB-87)</w:t>
      </w:r>
    </w:p>
    <w:p w:rsidR="008070B7" w:rsidRDefault="008070B7" w:rsidP="008070B7">
      <w:pPr>
        <w:pStyle w:val="Rectitle"/>
      </w:pPr>
      <w:r>
        <w:t>Utilisation de stations terriennes de navire à l</w:t>
      </w:r>
      <w:r w:rsidR="00EB627B">
        <w:t>'</w:t>
      </w:r>
      <w:r>
        <w:t xml:space="preserve">intérieur des eaux portuaires </w:t>
      </w:r>
      <w:r>
        <w:br/>
        <w:t>et des autres eaux soumises à la juridiction nationale</w:t>
      </w:r>
    </w:p>
    <w:p w:rsidR="008070B7" w:rsidRDefault="008070B7" w:rsidP="008070B7">
      <w:pPr>
        <w:pStyle w:val="Normalaftertitle"/>
      </w:pPr>
      <w:r>
        <w:t>A conserver.</w:t>
      </w:r>
    </w:p>
    <w:p w:rsidR="008070B7" w:rsidRPr="00C200EA" w:rsidRDefault="008070B7" w:rsidP="008070B7"/>
    <w:p w:rsidR="004F1F8E" w:rsidRPr="00CE6A1C" w:rsidRDefault="008070B7" w:rsidP="000F2971">
      <w:pPr>
        <w:jc w:val="center"/>
      </w:pPr>
      <w:r w:rsidRPr="00C200EA">
        <w:t>______________</w:t>
      </w:r>
    </w:p>
    <w:sectPr w:rsidR="004F1F8E" w:rsidRPr="00CE6A1C" w:rsidSect="000F2971">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27B" w:rsidRDefault="00EB627B">
      <w:r>
        <w:separator/>
      </w:r>
    </w:p>
  </w:endnote>
  <w:endnote w:type="continuationSeparator" w:id="0">
    <w:p w:rsidR="00EB627B" w:rsidRDefault="00EB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7B" w:rsidRPr="000F2971" w:rsidRDefault="00EB627B">
    <w:pPr>
      <w:rPr>
        <w:lang w:val="es-ES_tradnl"/>
      </w:rPr>
    </w:pPr>
    <w:r>
      <w:fldChar w:fldCharType="begin"/>
    </w:r>
    <w:r w:rsidRPr="000F2971">
      <w:rPr>
        <w:lang w:val="es-ES_tradnl"/>
      </w:rPr>
      <w:instrText xml:space="preserve"> FILENAME \p  \* MERGEFORMAT </w:instrText>
    </w:r>
    <w:r>
      <w:fldChar w:fldCharType="separate"/>
    </w:r>
    <w:r w:rsidR="00EE407E">
      <w:rPr>
        <w:noProof/>
        <w:lang w:val="es-ES_tradnl"/>
      </w:rPr>
      <w:t>P:\FRA\ITU-R\CONF-R\CMR15\000\013F.docx</w:t>
    </w:r>
    <w:r>
      <w:fldChar w:fldCharType="end"/>
    </w:r>
    <w:r w:rsidRPr="000F2971">
      <w:rPr>
        <w:lang w:val="es-ES_tradnl"/>
      </w:rPr>
      <w:tab/>
    </w:r>
    <w:r>
      <w:fldChar w:fldCharType="begin"/>
    </w:r>
    <w:r>
      <w:instrText xml:space="preserve"> SAVEDATE \@ DD.MM.YY </w:instrText>
    </w:r>
    <w:r>
      <w:fldChar w:fldCharType="separate"/>
    </w:r>
    <w:r w:rsidR="00EE407E">
      <w:rPr>
        <w:noProof/>
      </w:rPr>
      <w:t>15.07.15</w:t>
    </w:r>
    <w:r>
      <w:fldChar w:fldCharType="end"/>
    </w:r>
    <w:r w:rsidRPr="000F2971">
      <w:rPr>
        <w:lang w:val="es-ES_tradnl"/>
      </w:rPr>
      <w:tab/>
    </w:r>
    <w:r>
      <w:fldChar w:fldCharType="begin"/>
    </w:r>
    <w:r>
      <w:instrText xml:space="preserve"> PRINTDATE \@ DD.MM.YY </w:instrText>
    </w:r>
    <w:r>
      <w:fldChar w:fldCharType="separate"/>
    </w:r>
    <w:r w:rsidR="00EE407E">
      <w:rPr>
        <w:noProof/>
      </w:rPr>
      <w:t>15.07.15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7B" w:rsidRPr="008070B7" w:rsidRDefault="00EB627B">
    <w:pPr>
      <w:pStyle w:val="Footer"/>
      <w:rPr>
        <w:lang w:val="es-ES_tradnl"/>
      </w:rPr>
    </w:pPr>
    <w:r>
      <w:fldChar w:fldCharType="begin"/>
    </w:r>
    <w:r w:rsidRPr="008070B7">
      <w:rPr>
        <w:lang w:val="es-ES_tradnl"/>
      </w:rPr>
      <w:instrText xml:space="preserve"> FILENAME \p  \* MERGEFORMAT </w:instrText>
    </w:r>
    <w:r>
      <w:fldChar w:fldCharType="separate"/>
    </w:r>
    <w:r w:rsidR="00EE407E">
      <w:rPr>
        <w:lang w:val="es-ES_tradnl"/>
      </w:rPr>
      <w:t>P:\FRA\ITU-R\CONF-R\CMR15\000\013F.docx</w:t>
    </w:r>
    <w:r>
      <w:fldChar w:fldCharType="end"/>
    </w:r>
    <w:r w:rsidRPr="008070B7">
      <w:rPr>
        <w:lang w:val="es-ES_tradnl"/>
      </w:rPr>
      <w:t xml:space="preserve"> (383514)</w:t>
    </w:r>
    <w:r w:rsidRPr="008070B7">
      <w:rPr>
        <w:lang w:val="es-ES_tradnl"/>
      </w:rPr>
      <w:tab/>
    </w:r>
    <w:r>
      <w:fldChar w:fldCharType="begin"/>
    </w:r>
    <w:r>
      <w:instrText xml:space="preserve"> SAVEDATE \@ DD.MM.YY </w:instrText>
    </w:r>
    <w:r>
      <w:fldChar w:fldCharType="separate"/>
    </w:r>
    <w:r w:rsidR="00EE407E">
      <w:t>15.07.15</w:t>
    </w:r>
    <w:r>
      <w:fldChar w:fldCharType="end"/>
    </w:r>
    <w:r w:rsidRPr="008070B7">
      <w:rPr>
        <w:lang w:val="es-ES_tradnl"/>
      </w:rPr>
      <w:tab/>
    </w:r>
    <w:r>
      <w:fldChar w:fldCharType="begin"/>
    </w:r>
    <w:r>
      <w:instrText xml:space="preserve"> PRINTDATE \@ DD.MM.YY </w:instrText>
    </w:r>
    <w:r>
      <w:fldChar w:fldCharType="separate"/>
    </w:r>
    <w:r w:rsidR="00EE407E">
      <w:t>15.07.15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7B" w:rsidRPr="008070B7" w:rsidRDefault="00EB627B" w:rsidP="008070B7">
    <w:pPr>
      <w:pStyle w:val="Footer"/>
      <w:rPr>
        <w:lang w:val="es-ES_tradnl"/>
      </w:rPr>
    </w:pPr>
    <w:r>
      <w:fldChar w:fldCharType="begin"/>
    </w:r>
    <w:r w:rsidRPr="008070B7">
      <w:rPr>
        <w:lang w:val="es-ES_tradnl"/>
      </w:rPr>
      <w:instrText xml:space="preserve"> FILENAME \p  \* MERGEFORMAT </w:instrText>
    </w:r>
    <w:r>
      <w:fldChar w:fldCharType="separate"/>
    </w:r>
    <w:r w:rsidR="00EE407E">
      <w:rPr>
        <w:lang w:val="es-ES_tradnl"/>
      </w:rPr>
      <w:t>P:\FRA\ITU-R\CONF-R\CMR15\000\013F.docx</w:t>
    </w:r>
    <w:r>
      <w:fldChar w:fldCharType="end"/>
    </w:r>
    <w:r w:rsidRPr="008070B7">
      <w:rPr>
        <w:lang w:val="es-ES_tradnl"/>
      </w:rPr>
      <w:t xml:space="preserve"> (383514)</w:t>
    </w:r>
    <w:r w:rsidRPr="008070B7">
      <w:rPr>
        <w:lang w:val="es-ES_tradnl"/>
      </w:rPr>
      <w:tab/>
    </w:r>
    <w:r>
      <w:fldChar w:fldCharType="begin"/>
    </w:r>
    <w:r>
      <w:instrText xml:space="preserve"> SAVEDATE \@ DD.MM.YY </w:instrText>
    </w:r>
    <w:r>
      <w:fldChar w:fldCharType="separate"/>
    </w:r>
    <w:r w:rsidR="00EE407E">
      <w:t>15.07.15</w:t>
    </w:r>
    <w:r>
      <w:fldChar w:fldCharType="end"/>
    </w:r>
    <w:r w:rsidRPr="008070B7">
      <w:rPr>
        <w:lang w:val="es-ES_tradnl"/>
      </w:rPr>
      <w:tab/>
    </w:r>
    <w:r>
      <w:fldChar w:fldCharType="begin"/>
    </w:r>
    <w:r>
      <w:instrText xml:space="preserve"> PRINTDATE \@ DD.MM.YY </w:instrText>
    </w:r>
    <w:r>
      <w:fldChar w:fldCharType="separate"/>
    </w:r>
    <w:r w:rsidR="00EE407E">
      <w:t>15.07.15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27B" w:rsidRDefault="00EB627B">
      <w:r>
        <w:rPr>
          <w:b/>
        </w:rPr>
        <w:t>_______________</w:t>
      </w:r>
    </w:p>
  </w:footnote>
  <w:footnote w:type="continuationSeparator" w:id="0">
    <w:p w:rsidR="00EB627B" w:rsidRDefault="00EB627B">
      <w:r>
        <w:continuationSeparator/>
      </w:r>
    </w:p>
  </w:footnote>
  <w:footnote w:id="1">
    <w:p w:rsidR="00080245" w:rsidRPr="00080245" w:rsidRDefault="00080245" w:rsidP="00080245">
      <w:pPr>
        <w:pStyle w:val="FootnoteText"/>
        <w:rPr>
          <w:lang w:val="fr-CH"/>
        </w:rPr>
      </w:pPr>
      <w:r w:rsidRPr="00080245">
        <w:rPr>
          <w:rStyle w:val="FootnoteReference"/>
          <w:lang w:val="fr-CH"/>
        </w:rPr>
        <w:t>**</w:t>
      </w:r>
      <w:r>
        <w:rPr>
          <w:lang w:val="fr-CH"/>
        </w:rPr>
        <w:tab/>
      </w:r>
      <w:r w:rsidRPr="00D30753">
        <w:t xml:space="preserve">La présente Recommandation est maintenue pour renseigner sur les équipements existants, mais elle sera probablement supprimée ultérieurement. Les nouveaux équipements devraient être conformes à la Recommandation UIT-R M.625 qui traite de l'échange de signaux d'identification en vue de l'utilisation des signaux d'identification à </w:t>
      </w:r>
      <w:r>
        <w:t>neuf</w:t>
      </w:r>
      <w:r w:rsidRPr="00D30753">
        <w:t xml:space="preserve"> chiffres du service mobile maritime et de la compatibilité avec les équipements actuels dont la fabrication est conforme à la présente Recommandation</w:t>
      </w:r>
      <w:r>
        <w:t>.</w:t>
      </w:r>
    </w:p>
    <w:p w:rsidR="00080245" w:rsidRPr="00080245" w:rsidRDefault="00080245" w:rsidP="00080245">
      <w:pPr>
        <w:pStyle w:val="Note"/>
        <w:rPr>
          <w:lang w:val="fr-CH"/>
        </w:rPr>
      </w:pPr>
      <w:r w:rsidRPr="00080245">
        <w:rPr>
          <w:lang w:val="fr-CH"/>
        </w:rPr>
        <w:tab/>
      </w:r>
      <w:r w:rsidRPr="002046C7">
        <w:rPr>
          <w:i/>
          <w:iCs/>
        </w:rPr>
        <w:t>Note du Secrétariat</w:t>
      </w:r>
      <w:r w:rsidRPr="002046C7">
        <w:t>: Dans cette Recommandation, les références au Règlement des radiocommunications (RR) renvoient au RR révisé par la Conférence mondiale des radiocommunications de 1995. Ces dispositions du RR entreront en vigueur le 1er juin 1998. Le cas échéant, les références entre crochets correspondent à celles du RR actuellement en vigueur.</w:t>
      </w:r>
    </w:p>
  </w:footnote>
  <w:footnote w:id="2">
    <w:p w:rsidR="00EB627B" w:rsidRPr="005D1E05" w:rsidRDefault="00EB627B" w:rsidP="008070B7">
      <w:pPr>
        <w:pStyle w:val="FootnoteText"/>
        <w:rPr>
          <w:lang w:val="fr-CH"/>
        </w:rPr>
      </w:pPr>
      <w:r w:rsidRPr="005D1E05">
        <w:rPr>
          <w:rStyle w:val="FootnoteReference"/>
          <w:lang w:val="fr-CH"/>
        </w:rPr>
        <w:t>**</w:t>
      </w:r>
      <w:r>
        <w:rPr>
          <w:lang w:val="fr-CH"/>
        </w:rPr>
        <w:t xml:space="preserve"> </w:t>
      </w:r>
      <w:r>
        <w:rPr>
          <w:lang w:val="fr-CH"/>
        </w:rPr>
        <w:tab/>
      </w:r>
      <w:r w:rsidRPr="005D1E05">
        <w:rPr>
          <w:color w:val="000000"/>
          <w:lang w:val="fr-CH"/>
        </w:rPr>
        <w:t>Les nouveaux équipements devraient être conformes à la présente Recommandation, qui traite notamment de la compatibilité avec les équipements existants dont la fabrication est conforme à la Recommandation UIT</w:t>
      </w:r>
      <w:r w:rsidRPr="005D1E05">
        <w:rPr>
          <w:color w:val="000000"/>
          <w:lang w:val="fr-CH"/>
        </w:rPr>
        <w:noBreakHyphen/>
        <w:t>R M.476.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7B" w:rsidRDefault="00EB627B" w:rsidP="004F1F8E">
    <w:pPr>
      <w:pStyle w:val="Header"/>
    </w:pPr>
    <w:r>
      <w:fldChar w:fldCharType="begin"/>
    </w:r>
    <w:r>
      <w:instrText xml:space="preserve"> PAGE </w:instrText>
    </w:r>
    <w:r>
      <w:fldChar w:fldCharType="separate"/>
    </w:r>
    <w:r w:rsidR="00EE407E">
      <w:rPr>
        <w:noProof/>
      </w:rPr>
      <w:t>17</w:t>
    </w:r>
    <w:r>
      <w:fldChar w:fldCharType="end"/>
    </w:r>
  </w:p>
  <w:p w:rsidR="00EB627B" w:rsidRDefault="00EB627B" w:rsidP="00CE2C8D">
    <w:pPr>
      <w:pStyle w:val="Header"/>
    </w:pPr>
    <w:r>
      <w:t>CMR15/13-F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15F6AD9"/>
    <w:multiLevelType w:val="hybridMultilevel"/>
    <w:tmpl w:val="3C501C42"/>
    <w:lvl w:ilvl="0" w:tplc="5BFA0188">
      <w:start w:val="1"/>
      <w:numFmt w:val="decimal"/>
      <w:lvlText w:val="%1"/>
      <w:lvlJc w:val="left"/>
      <w:pPr>
        <w:ind w:left="1407" w:hanging="705"/>
      </w:pPr>
      <w:rPr>
        <w:rFonts w:hint="default"/>
      </w:rPr>
    </w:lvl>
    <w:lvl w:ilvl="1" w:tplc="040C0019" w:tentative="1">
      <w:start w:val="1"/>
      <w:numFmt w:val="lowerLetter"/>
      <w:lvlText w:val="%2."/>
      <w:lvlJc w:val="left"/>
      <w:pPr>
        <w:ind w:left="1782" w:hanging="360"/>
      </w:pPr>
    </w:lvl>
    <w:lvl w:ilvl="2" w:tplc="040C001B" w:tentative="1">
      <w:start w:val="1"/>
      <w:numFmt w:val="lowerRoman"/>
      <w:lvlText w:val="%3."/>
      <w:lvlJc w:val="right"/>
      <w:pPr>
        <w:ind w:left="2502" w:hanging="180"/>
      </w:pPr>
    </w:lvl>
    <w:lvl w:ilvl="3" w:tplc="040C000F" w:tentative="1">
      <w:start w:val="1"/>
      <w:numFmt w:val="decimal"/>
      <w:lvlText w:val="%4."/>
      <w:lvlJc w:val="left"/>
      <w:pPr>
        <w:ind w:left="3222" w:hanging="360"/>
      </w:pPr>
    </w:lvl>
    <w:lvl w:ilvl="4" w:tplc="040C0019" w:tentative="1">
      <w:start w:val="1"/>
      <w:numFmt w:val="lowerLetter"/>
      <w:lvlText w:val="%5."/>
      <w:lvlJc w:val="left"/>
      <w:pPr>
        <w:ind w:left="3942" w:hanging="360"/>
      </w:pPr>
    </w:lvl>
    <w:lvl w:ilvl="5" w:tplc="040C001B" w:tentative="1">
      <w:start w:val="1"/>
      <w:numFmt w:val="lowerRoman"/>
      <w:lvlText w:val="%6."/>
      <w:lvlJc w:val="right"/>
      <w:pPr>
        <w:ind w:left="4662" w:hanging="180"/>
      </w:pPr>
    </w:lvl>
    <w:lvl w:ilvl="6" w:tplc="040C000F" w:tentative="1">
      <w:start w:val="1"/>
      <w:numFmt w:val="decimal"/>
      <w:lvlText w:val="%7."/>
      <w:lvlJc w:val="left"/>
      <w:pPr>
        <w:ind w:left="5382" w:hanging="360"/>
      </w:pPr>
    </w:lvl>
    <w:lvl w:ilvl="7" w:tplc="040C0019" w:tentative="1">
      <w:start w:val="1"/>
      <w:numFmt w:val="lowerLetter"/>
      <w:lvlText w:val="%8."/>
      <w:lvlJc w:val="left"/>
      <w:pPr>
        <w:ind w:left="6102" w:hanging="360"/>
      </w:pPr>
    </w:lvl>
    <w:lvl w:ilvl="8" w:tplc="040C001B" w:tentative="1">
      <w:start w:val="1"/>
      <w:numFmt w:val="lowerRoman"/>
      <w:lvlText w:val="%9."/>
      <w:lvlJc w:val="right"/>
      <w:pPr>
        <w:ind w:left="6822" w:hanging="180"/>
      </w:pPr>
    </w:lvl>
  </w:abstractNum>
  <w:abstractNum w:abstractNumId="3" w15:restartNumberingAfterBreak="0">
    <w:nsid w:val="76A60CDE"/>
    <w:multiLevelType w:val="hybridMultilevel"/>
    <w:tmpl w:val="E8C8FEA8"/>
    <w:lvl w:ilvl="0" w:tplc="6284F760">
      <w:start w:val="1"/>
      <w:numFmt w:val="decimal"/>
      <w:lvlText w:val="%1."/>
      <w:lvlJc w:val="left"/>
      <w:pPr>
        <w:ind w:left="1062" w:hanging="360"/>
      </w:pPr>
      <w:rPr>
        <w:rFonts w:hint="default"/>
      </w:rPr>
    </w:lvl>
    <w:lvl w:ilvl="1" w:tplc="040C0019" w:tentative="1">
      <w:start w:val="1"/>
      <w:numFmt w:val="lowerLetter"/>
      <w:lvlText w:val="%2."/>
      <w:lvlJc w:val="left"/>
      <w:pPr>
        <w:ind w:left="1782" w:hanging="360"/>
      </w:pPr>
    </w:lvl>
    <w:lvl w:ilvl="2" w:tplc="040C001B" w:tentative="1">
      <w:start w:val="1"/>
      <w:numFmt w:val="lowerRoman"/>
      <w:lvlText w:val="%3."/>
      <w:lvlJc w:val="right"/>
      <w:pPr>
        <w:ind w:left="2502" w:hanging="180"/>
      </w:pPr>
    </w:lvl>
    <w:lvl w:ilvl="3" w:tplc="040C000F" w:tentative="1">
      <w:start w:val="1"/>
      <w:numFmt w:val="decimal"/>
      <w:lvlText w:val="%4."/>
      <w:lvlJc w:val="left"/>
      <w:pPr>
        <w:ind w:left="3222" w:hanging="360"/>
      </w:pPr>
    </w:lvl>
    <w:lvl w:ilvl="4" w:tplc="040C0019" w:tentative="1">
      <w:start w:val="1"/>
      <w:numFmt w:val="lowerLetter"/>
      <w:lvlText w:val="%5."/>
      <w:lvlJc w:val="left"/>
      <w:pPr>
        <w:ind w:left="3942" w:hanging="360"/>
      </w:pPr>
    </w:lvl>
    <w:lvl w:ilvl="5" w:tplc="040C001B" w:tentative="1">
      <w:start w:val="1"/>
      <w:numFmt w:val="lowerRoman"/>
      <w:lvlText w:val="%6."/>
      <w:lvlJc w:val="right"/>
      <w:pPr>
        <w:ind w:left="4662" w:hanging="180"/>
      </w:pPr>
    </w:lvl>
    <w:lvl w:ilvl="6" w:tplc="040C000F" w:tentative="1">
      <w:start w:val="1"/>
      <w:numFmt w:val="decimal"/>
      <w:lvlText w:val="%7."/>
      <w:lvlJc w:val="left"/>
      <w:pPr>
        <w:ind w:left="5382" w:hanging="360"/>
      </w:pPr>
    </w:lvl>
    <w:lvl w:ilvl="7" w:tplc="040C0019" w:tentative="1">
      <w:start w:val="1"/>
      <w:numFmt w:val="lowerLetter"/>
      <w:lvlText w:val="%8."/>
      <w:lvlJc w:val="left"/>
      <w:pPr>
        <w:ind w:left="6102" w:hanging="360"/>
      </w:pPr>
    </w:lvl>
    <w:lvl w:ilvl="8" w:tplc="040C001B" w:tentative="1">
      <w:start w:val="1"/>
      <w:numFmt w:val="lowerRoman"/>
      <w:lvlText w:val="%9."/>
      <w:lvlJc w:val="right"/>
      <w:pPr>
        <w:ind w:left="6822"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07B"/>
    <w:rsid w:val="00016648"/>
    <w:rsid w:val="0003522F"/>
    <w:rsid w:val="00080245"/>
    <w:rsid w:val="00080E2C"/>
    <w:rsid w:val="000A4755"/>
    <w:rsid w:val="000B2E0C"/>
    <w:rsid w:val="000B3D0C"/>
    <w:rsid w:val="000F2971"/>
    <w:rsid w:val="001167B9"/>
    <w:rsid w:val="001267A0"/>
    <w:rsid w:val="00160C64"/>
    <w:rsid w:val="0019352B"/>
    <w:rsid w:val="001960D0"/>
    <w:rsid w:val="00232FD2"/>
    <w:rsid w:val="002A4622"/>
    <w:rsid w:val="002B17E5"/>
    <w:rsid w:val="002C0EBF"/>
    <w:rsid w:val="002C5FCD"/>
    <w:rsid w:val="00315AFE"/>
    <w:rsid w:val="003606A6"/>
    <w:rsid w:val="0036650C"/>
    <w:rsid w:val="003A583E"/>
    <w:rsid w:val="003E112B"/>
    <w:rsid w:val="00466211"/>
    <w:rsid w:val="004D01FC"/>
    <w:rsid w:val="004E28C3"/>
    <w:rsid w:val="004F1F8E"/>
    <w:rsid w:val="00584FF8"/>
    <w:rsid w:val="00586CF2"/>
    <w:rsid w:val="005C3768"/>
    <w:rsid w:val="005C6C3F"/>
    <w:rsid w:val="00613635"/>
    <w:rsid w:val="0062093D"/>
    <w:rsid w:val="00637ECF"/>
    <w:rsid w:val="00647B59"/>
    <w:rsid w:val="00701BAE"/>
    <w:rsid w:val="00730E95"/>
    <w:rsid w:val="00765B7E"/>
    <w:rsid w:val="00774362"/>
    <w:rsid w:val="007A04E8"/>
    <w:rsid w:val="008070B7"/>
    <w:rsid w:val="008A3120"/>
    <w:rsid w:val="008C000E"/>
    <w:rsid w:val="008D41BE"/>
    <w:rsid w:val="008D58D3"/>
    <w:rsid w:val="00923064"/>
    <w:rsid w:val="00936D25"/>
    <w:rsid w:val="00941EA5"/>
    <w:rsid w:val="00966C16"/>
    <w:rsid w:val="0098732F"/>
    <w:rsid w:val="009C7E7C"/>
    <w:rsid w:val="00A00473"/>
    <w:rsid w:val="00A03C9B"/>
    <w:rsid w:val="00A606C3"/>
    <w:rsid w:val="00A83B09"/>
    <w:rsid w:val="00A84541"/>
    <w:rsid w:val="00AE36A0"/>
    <w:rsid w:val="00B00294"/>
    <w:rsid w:val="00B113A2"/>
    <w:rsid w:val="00B64FD0"/>
    <w:rsid w:val="00BF26E7"/>
    <w:rsid w:val="00C01C69"/>
    <w:rsid w:val="00C814B9"/>
    <w:rsid w:val="00CD516F"/>
    <w:rsid w:val="00CE2C8D"/>
    <w:rsid w:val="00CE6A1C"/>
    <w:rsid w:val="00D119A7"/>
    <w:rsid w:val="00D25FBA"/>
    <w:rsid w:val="00D66EAC"/>
    <w:rsid w:val="00D730DF"/>
    <w:rsid w:val="00D772F0"/>
    <w:rsid w:val="00D77BDC"/>
    <w:rsid w:val="00DC402B"/>
    <w:rsid w:val="00DC707B"/>
    <w:rsid w:val="00DE0932"/>
    <w:rsid w:val="00E049F1"/>
    <w:rsid w:val="00E37A25"/>
    <w:rsid w:val="00E70A31"/>
    <w:rsid w:val="00E977A2"/>
    <w:rsid w:val="00EA3F38"/>
    <w:rsid w:val="00EA5AB6"/>
    <w:rsid w:val="00EB627B"/>
    <w:rsid w:val="00EC7615"/>
    <w:rsid w:val="00ED16AA"/>
    <w:rsid w:val="00EE407E"/>
    <w:rsid w:val="00EF662E"/>
    <w:rsid w:val="00F148F1"/>
    <w:rsid w:val="00F9722E"/>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594DAA1-A93B-4063-96EE-F3B85B24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4_G"/>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DNV"/>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link w:val="Title1Char"/>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link w:val="Title3Char"/>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link w:val="RecNoChar"/>
    <w:rsid w:val="00D25FBA"/>
    <w:pPr>
      <w:keepNext/>
      <w:keepLines/>
      <w:spacing w:before="480"/>
      <w:jc w:val="center"/>
    </w:pPr>
    <w:rPr>
      <w:caps/>
      <w:sz w:val="28"/>
    </w:rPr>
  </w:style>
  <w:style w:type="paragraph" w:customStyle="1" w:styleId="Rectitle">
    <w:name w:val="Rec_title"/>
    <w:basedOn w:val="RecNo"/>
    <w:next w:val="Normal"/>
    <w:link w:val="RectitleChar"/>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Normalaftertitle0">
    <w:name w:val="Normal_after_title"/>
    <w:basedOn w:val="Normal"/>
    <w:next w:val="Normal"/>
    <w:link w:val="NormalaftertitleChar0"/>
    <w:rsid w:val="008070B7"/>
    <w:pPr>
      <w:spacing w:before="360"/>
    </w:pPr>
  </w:style>
  <w:style w:type="paragraph" w:customStyle="1" w:styleId="ASN1">
    <w:name w:val="ASN.1"/>
    <w:basedOn w:val="Normal"/>
    <w:rsid w:val="008070B7"/>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Partref">
    <w:name w:val="Part_ref"/>
    <w:basedOn w:val="Annexref"/>
    <w:next w:val="Parttitle"/>
    <w:rsid w:val="008070B7"/>
  </w:style>
  <w:style w:type="paragraph" w:customStyle="1" w:styleId="Recref">
    <w:name w:val="Rec_ref"/>
    <w:basedOn w:val="Rectitle"/>
    <w:next w:val="Recdate"/>
    <w:rsid w:val="008070B7"/>
    <w:pPr>
      <w:spacing w:before="120"/>
    </w:pPr>
    <w:rPr>
      <w:rFonts w:ascii="Times New Roman" w:hAnsi="Times New Roman"/>
      <w:b w:val="0"/>
      <w:sz w:val="24"/>
    </w:rPr>
  </w:style>
  <w:style w:type="paragraph" w:customStyle="1" w:styleId="Questionref">
    <w:name w:val="Question_ref"/>
    <w:basedOn w:val="Recref"/>
    <w:next w:val="Questiondate"/>
    <w:rsid w:val="008070B7"/>
  </w:style>
  <w:style w:type="paragraph" w:customStyle="1" w:styleId="Resref">
    <w:name w:val="Res_ref"/>
    <w:basedOn w:val="Recref"/>
    <w:next w:val="Resdate"/>
    <w:rsid w:val="008070B7"/>
  </w:style>
  <w:style w:type="paragraph" w:customStyle="1" w:styleId="Tableref">
    <w:name w:val="Table_ref"/>
    <w:basedOn w:val="Normal"/>
    <w:next w:val="Tabletitle"/>
    <w:rsid w:val="008070B7"/>
    <w:pPr>
      <w:keepNext/>
      <w:spacing w:before="560"/>
      <w:jc w:val="center"/>
    </w:pPr>
    <w:rPr>
      <w:sz w:val="20"/>
    </w:rPr>
  </w:style>
  <w:style w:type="paragraph" w:customStyle="1" w:styleId="Formal">
    <w:name w:val="Formal"/>
    <w:basedOn w:val="ASN1"/>
    <w:rsid w:val="008070B7"/>
    <w:rPr>
      <w:b w:val="0"/>
    </w:rPr>
  </w:style>
  <w:style w:type="paragraph" w:customStyle="1" w:styleId="FooterQP">
    <w:name w:val="Footer_QP"/>
    <w:basedOn w:val="Normal"/>
    <w:rsid w:val="008070B7"/>
    <w:pPr>
      <w:tabs>
        <w:tab w:val="left" w:pos="907"/>
        <w:tab w:val="right" w:pos="8789"/>
        <w:tab w:val="right" w:pos="9639"/>
      </w:tabs>
      <w:spacing w:before="0"/>
    </w:pPr>
    <w:rPr>
      <w:b/>
      <w:sz w:val="22"/>
    </w:rPr>
  </w:style>
  <w:style w:type="paragraph" w:styleId="BodyText">
    <w:name w:val="Body Text"/>
    <w:basedOn w:val="Normal"/>
    <w:link w:val="BodyTextChar"/>
    <w:rsid w:val="008070B7"/>
    <w:pPr>
      <w:framePr w:hSpace="1701" w:wrap="notBeside" w:vAnchor="page" w:hAnchor="text" w:y="852"/>
      <w:jc w:val="center"/>
    </w:pPr>
    <w:rPr>
      <w:b/>
      <w:smallCaps/>
    </w:rPr>
  </w:style>
  <w:style w:type="character" w:customStyle="1" w:styleId="BodyTextChar">
    <w:name w:val="Body Text Char"/>
    <w:basedOn w:val="DefaultParagraphFont"/>
    <w:link w:val="BodyText"/>
    <w:rsid w:val="008070B7"/>
    <w:rPr>
      <w:rFonts w:ascii="Times New Roman" w:hAnsi="Times New Roman"/>
      <w:b/>
      <w:smallCaps/>
      <w:sz w:val="24"/>
      <w:lang w:val="fr-FR" w:eastAsia="en-US"/>
    </w:rPr>
  </w:style>
  <w:style w:type="paragraph" w:customStyle="1" w:styleId="Char">
    <w:name w:val="Char"/>
    <w:basedOn w:val="Normal"/>
    <w:rsid w:val="008070B7"/>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styleId="BalloonText">
    <w:name w:val="Balloon Text"/>
    <w:basedOn w:val="Normal"/>
    <w:link w:val="BalloonTextChar"/>
    <w:rsid w:val="008070B7"/>
    <w:pPr>
      <w:spacing w:before="0"/>
    </w:pPr>
    <w:rPr>
      <w:rFonts w:ascii="Tahoma" w:hAnsi="Tahoma" w:cs="Tahoma"/>
      <w:sz w:val="16"/>
      <w:szCs w:val="16"/>
    </w:rPr>
  </w:style>
  <w:style w:type="character" w:customStyle="1" w:styleId="BalloonTextChar">
    <w:name w:val="Balloon Text Char"/>
    <w:basedOn w:val="DefaultParagraphFont"/>
    <w:link w:val="BalloonText"/>
    <w:rsid w:val="008070B7"/>
    <w:rPr>
      <w:rFonts w:ascii="Tahoma" w:hAnsi="Tahoma" w:cs="Tahoma"/>
      <w:sz w:val="16"/>
      <w:szCs w:val="16"/>
      <w:lang w:val="fr-FR" w:eastAsia="en-US"/>
    </w:rPr>
  </w:style>
  <w:style w:type="character" w:customStyle="1" w:styleId="NormalaftertitleChar">
    <w:name w:val="Normal after title Char"/>
    <w:basedOn w:val="DefaultParagraphFont"/>
    <w:link w:val="Normalaftertitle"/>
    <w:rsid w:val="008070B7"/>
    <w:rPr>
      <w:rFonts w:ascii="Times New Roman" w:hAnsi="Times New Roman"/>
      <w:sz w:val="24"/>
      <w:lang w:val="fr-FR" w:eastAsia="en-US"/>
    </w:rPr>
  </w:style>
  <w:style w:type="character" w:customStyle="1" w:styleId="Title3Char">
    <w:name w:val="Title 3 Char"/>
    <w:basedOn w:val="DefaultParagraphFont"/>
    <w:link w:val="Title3"/>
    <w:locked/>
    <w:rsid w:val="008070B7"/>
    <w:rPr>
      <w:rFonts w:ascii="Times New Roman" w:hAnsi="Times New Roman"/>
      <w:sz w:val="28"/>
      <w:lang w:val="fr-FR" w:eastAsia="en-US"/>
    </w:rPr>
  </w:style>
  <w:style w:type="character" w:customStyle="1" w:styleId="Title1Char">
    <w:name w:val="Title 1 Char"/>
    <w:basedOn w:val="DefaultParagraphFont"/>
    <w:link w:val="Title1"/>
    <w:locked/>
    <w:rsid w:val="008070B7"/>
    <w:rPr>
      <w:rFonts w:ascii="Times New Roman" w:hAnsi="Times New Roman"/>
      <w:caps/>
      <w:sz w:val="28"/>
      <w:lang w:val="fr-FR" w:eastAsia="en-US"/>
    </w:rPr>
  </w:style>
  <w:style w:type="character" w:customStyle="1" w:styleId="NormalaftertitleChar0">
    <w:name w:val="Normal_after_title Char"/>
    <w:basedOn w:val="DefaultParagraphFont"/>
    <w:link w:val="Normalaftertitle0"/>
    <w:rsid w:val="008070B7"/>
    <w:rPr>
      <w:rFonts w:ascii="Times New Roman" w:hAnsi="Times New Roman"/>
      <w:sz w:val="24"/>
      <w:lang w:val="fr-FR"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
    <w:basedOn w:val="DefaultParagraphFont"/>
    <w:link w:val="FootnoteText"/>
    <w:locked/>
    <w:rsid w:val="008070B7"/>
    <w:rPr>
      <w:rFonts w:ascii="Times New Roman" w:hAnsi="Times New Roman"/>
      <w:sz w:val="24"/>
      <w:lang w:val="fr-FR" w:eastAsia="en-US"/>
    </w:rPr>
  </w:style>
  <w:style w:type="character" w:customStyle="1" w:styleId="enumlev1Char">
    <w:name w:val="enumlev1 Char"/>
    <w:basedOn w:val="DefaultParagraphFont"/>
    <w:link w:val="enumlev1"/>
    <w:rsid w:val="008070B7"/>
    <w:rPr>
      <w:rFonts w:ascii="Times New Roman" w:hAnsi="Times New Roman"/>
      <w:sz w:val="24"/>
      <w:lang w:val="fr-FR" w:eastAsia="en-US"/>
    </w:rPr>
  </w:style>
  <w:style w:type="paragraph" w:customStyle="1" w:styleId="RecNoBR">
    <w:name w:val="Rec_No_BR"/>
    <w:basedOn w:val="Normal"/>
    <w:next w:val="Rectitle"/>
    <w:rsid w:val="008070B7"/>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character" w:customStyle="1" w:styleId="href">
    <w:name w:val="href"/>
    <w:basedOn w:val="DefaultParagraphFont"/>
    <w:rsid w:val="008070B7"/>
  </w:style>
  <w:style w:type="character" w:customStyle="1" w:styleId="RectitleChar">
    <w:name w:val="Rec_title Char"/>
    <w:basedOn w:val="DefaultParagraphFont"/>
    <w:link w:val="Rectitle"/>
    <w:rsid w:val="008070B7"/>
    <w:rPr>
      <w:rFonts w:ascii="Times New Roman Bold" w:hAnsi="Times New Roman Bold"/>
      <w:b/>
      <w:sz w:val="28"/>
      <w:lang w:val="fr-FR" w:eastAsia="en-US"/>
    </w:rPr>
  </w:style>
  <w:style w:type="character" w:customStyle="1" w:styleId="ResNoChar">
    <w:name w:val="Res_No Char"/>
    <w:basedOn w:val="DefaultParagraphFont"/>
    <w:link w:val="ResNo"/>
    <w:rsid w:val="008070B7"/>
    <w:rPr>
      <w:rFonts w:ascii="Times New Roman" w:hAnsi="Times New Roman"/>
      <w:caps/>
      <w:sz w:val="28"/>
      <w:lang w:val="fr-FR" w:eastAsia="en-US"/>
    </w:rPr>
  </w:style>
  <w:style w:type="character" w:customStyle="1" w:styleId="RecNoChar">
    <w:name w:val="Rec_No Char"/>
    <w:basedOn w:val="DefaultParagraphFont"/>
    <w:link w:val="RecNo"/>
    <w:rsid w:val="008070B7"/>
    <w:rPr>
      <w:rFonts w:ascii="Times New Roman" w:hAnsi="Times New Roman"/>
      <w:caps/>
      <w:sz w:val="28"/>
      <w:lang w:val="fr-FR" w:eastAsia="en-US"/>
    </w:rPr>
  </w:style>
  <w:style w:type="paragraph" w:customStyle="1" w:styleId="Committee">
    <w:name w:val="Committee"/>
    <w:basedOn w:val="Normal"/>
    <w:qFormat/>
    <w:rsid w:val="008070B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8070B7"/>
    <w:rPr>
      <w:lang w:val="fr-CH"/>
    </w:rPr>
  </w:style>
  <w:style w:type="paragraph" w:styleId="Revision">
    <w:name w:val="Revision"/>
    <w:hidden/>
    <w:uiPriority w:val="99"/>
    <w:semiHidden/>
    <w:rsid w:val="008070B7"/>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E9113-57BA-4A58-A9C2-C41588FA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PF_WRC15.dotm</Template>
  <TotalTime>57</TotalTime>
  <Pages>17</Pages>
  <Words>4729</Words>
  <Characters>26732</Characters>
  <Application>Microsoft Office Word</Application>
  <DocSecurity>0</DocSecurity>
  <Lines>536</Lines>
  <Paragraphs>248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31350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Royer, Veronique</dc:creator>
  <cp:keywords/>
  <cp:lastModifiedBy>Royer, Veronique</cp:lastModifiedBy>
  <cp:revision>5</cp:revision>
  <cp:lastPrinted>2015-07-15T14:16:00Z</cp:lastPrinted>
  <dcterms:created xsi:type="dcterms:W3CDTF">2015-07-15T13:13:00Z</dcterms:created>
  <dcterms:modified xsi:type="dcterms:W3CDTF">2015-07-15T14:19:00Z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