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75"/>
        <w:tblW w:w="10031" w:type="dxa"/>
        <w:tblLayout w:type="fixed"/>
        <w:tblLook w:val="0000" w:firstRow="0" w:lastRow="0" w:firstColumn="0" w:lastColumn="0" w:noHBand="0" w:noVBand="0"/>
      </w:tblPr>
      <w:tblGrid>
        <w:gridCol w:w="6911"/>
        <w:gridCol w:w="3120"/>
      </w:tblGrid>
      <w:tr w:rsidR="00DC707B" w:rsidTr="000F2971">
        <w:trPr>
          <w:cantSplit/>
        </w:trPr>
        <w:tc>
          <w:tcPr>
            <w:tcW w:w="6911" w:type="dxa"/>
          </w:tcPr>
          <w:p w:rsidR="00DC707B" w:rsidRPr="00DF23FC" w:rsidRDefault="00DC707B" w:rsidP="005D756B">
            <w:pPr>
              <w:spacing w:before="400" w:after="48"/>
              <w:rPr>
                <w:rFonts w:ascii="Verdana" w:hAnsi="Verdana"/>
                <w:position w:val="6"/>
              </w:rPr>
            </w:pPr>
            <w:bookmarkStart w:id="0" w:name="_GoBack"/>
            <w:bookmarkEnd w:id="0"/>
            <w:r>
              <w:rPr>
                <w:rFonts w:ascii="Verdana" w:hAnsi="Verdana"/>
                <w:b/>
                <w:bCs/>
                <w:sz w:val="20"/>
                <w:lang w:val="fr-CH"/>
              </w:rPr>
              <w:t>Conférence mondiale des radiocommunications (CMR-15)</w:t>
            </w:r>
            <w:r>
              <w:rPr>
                <w:rFonts w:ascii="Verdana" w:hAnsi="Verdana" w:cs="Times"/>
                <w:b/>
                <w:position w:val="6"/>
                <w:sz w:val="20"/>
                <w:vertAlign w:val="subscript"/>
              </w:rPr>
              <w:br/>
            </w:r>
            <w:r>
              <w:rPr>
                <w:rFonts w:ascii="Verdana" w:hAnsi="Verdana" w:cs="Times"/>
                <w:b/>
                <w:sz w:val="18"/>
                <w:szCs w:val="18"/>
              </w:rPr>
              <w:t>Genève, 2-27 novembre 2015</w:t>
            </w:r>
          </w:p>
        </w:tc>
        <w:tc>
          <w:tcPr>
            <w:tcW w:w="3120" w:type="dxa"/>
          </w:tcPr>
          <w:p w:rsidR="00DC707B" w:rsidRDefault="00DC707B" w:rsidP="005D756B">
            <w:pPr>
              <w:spacing w:before="0"/>
              <w:jc w:val="right"/>
            </w:pPr>
            <w:bookmarkStart w:id="1" w:name="ditulogo"/>
            <w:bookmarkEnd w:id="1"/>
            <w:r>
              <w:rPr>
                <w:noProof/>
                <w:lang w:val="en-GB" w:eastAsia="zh-CN"/>
              </w:rPr>
              <w:drawing>
                <wp:inline distT="0" distB="0" distL="0" distR="0" wp14:anchorId="1F42BB6D" wp14:editId="5E1D160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C707B" w:rsidRPr="00617BE4" w:rsidTr="000F2971">
        <w:trPr>
          <w:cantSplit/>
        </w:trPr>
        <w:tc>
          <w:tcPr>
            <w:tcW w:w="6911" w:type="dxa"/>
            <w:tcBorders>
              <w:bottom w:val="single" w:sz="12" w:space="0" w:color="auto"/>
            </w:tcBorders>
          </w:tcPr>
          <w:p w:rsidR="00DC707B" w:rsidRPr="00617BE4" w:rsidRDefault="00DC707B" w:rsidP="005D756B">
            <w:pPr>
              <w:spacing w:before="0" w:after="48"/>
              <w:rPr>
                <w:b/>
                <w:smallCaps/>
                <w:szCs w:val="24"/>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DC707B" w:rsidRPr="00617BE4" w:rsidRDefault="00DC707B" w:rsidP="005D756B">
            <w:pPr>
              <w:spacing w:before="0"/>
              <w:rPr>
                <w:rFonts w:ascii="Verdana" w:hAnsi="Verdana"/>
                <w:szCs w:val="24"/>
              </w:rPr>
            </w:pPr>
          </w:p>
        </w:tc>
      </w:tr>
      <w:tr w:rsidR="00DC707B" w:rsidRPr="00C324A8" w:rsidTr="000F2971">
        <w:trPr>
          <w:cantSplit/>
        </w:trPr>
        <w:tc>
          <w:tcPr>
            <w:tcW w:w="6911" w:type="dxa"/>
            <w:tcBorders>
              <w:top w:val="single" w:sz="12" w:space="0" w:color="auto"/>
            </w:tcBorders>
          </w:tcPr>
          <w:p w:rsidR="00DC707B" w:rsidRPr="00C324A8" w:rsidRDefault="00DC707B" w:rsidP="005D756B">
            <w:pPr>
              <w:spacing w:before="0" w:after="48"/>
              <w:rPr>
                <w:rFonts w:ascii="Verdana" w:hAnsi="Verdana"/>
                <w:b/>
                <w:smallCaps/>
                <w:sz w:val="20"/>
              </w:rPr>
            </w:pPr>
          </w:p>
        </w:tc>
        <w:tc>
          <w:tcPr>
            <w:tcW w:w="3120" w:type="dxa"/>
            <w:tcBorders>
              <w:top w:val="single" w:sz="12" w:space="0" w:color="auto"/>
            </w:tcBorders>
          </w:tcPr>
          <w:p w:rsidR="00DC707B" w:rsidRPr="00C324A8" w:rsidRDefault="00DC707B" w:rsidP="005D756B">
            <w:pPr>
              <w:spacing w:before="0"/>
              <w:rPr>
                <w:rFonts w:ascii="Verdana" w:hAnsi="Verdana"/>
                <w:sz w:val="20"/>
              </w:rPr>
            </w:pPr>
          </w:p>
        </w:tc>
      </w:tr>
      <w:tr w:rsidR="00DC707B" w:rsidRPr="00C324A8" w:rsidTr="000F2971">
        <w:trPr>
          <w:cantSplit/>
          <w:trHeight w:val="23"/>
        </w:trPr>
        <w:tc>
          <w:tcPr>
            <w:tcW w:w="6911" w:type="dxa"/>
            <w:vMerge w:val="restart"/>
          </w:tcPr>
          <w:p w:rsidR="00DC707B" w:rsidRPr="00DC707B" w:rsidRDefault="00DC707B" w:rsidP="005D756B">
            <w:pPr>
              <w:tabs>
                <w:tab w:val="left" w:pos="851"/>
              </w:tabs>
              <w:spacing w:before="0"/>
              <w:rPr>
                <w:rFonts w:ascii="Verdana" w:hAnsi="Verdana"/>
                <w:sz w:val="20"/>
              </w:rPr>
            </w:pPr>
            <w:bookmarkStart w:id="3" w:name="dnum" w:colFirst="1" w:colLast="1"/>
            <w:bookmarkStart w:id="4" w:name="dmeeting" w:colFirst="0" w:colLast="0"/>
            <w:bookmarkEnd w:id="2"/>
            <w:r>
              <w:rPr>
                <w:rFonts w:ascii="Verdana" w:hAnsi="Verdana"/>
                <w:b/>
                <w:sz w:val="20"/>
              </w:rPr>
              <w:t>SÉANCE PLÉNIÈRE</w:t>
            </w:r>
          </w:p>
        </w:tc>
        <w:tc>
          <w:tcPr>
            <w:tcW w:w="3120" w:type="dxa"/>
          </w:tcPr>
          <w:p w:rsidR="00DC707B" w:rsidRPr="00DC707B" w:rsidRDefault="00FA064C" w:rsidP="005D756B">
            <w:pPr>
              <w:tabs>
                <w:tab w:val="left" w:pos="851"/>
              </w:tabs>
              <w:spacing w:before="0"/>
              <w:rPr>
                <w:rFonts w:ascii="Verdana" w:hAnsi="Verdana"/>
                <w:sz w:val="20"/>
              </w:rPr>
            </w:pPr>
            <w:r>
              <w:rPr>
                <w:rFonts w:ascii="Verdana" w:hAnsi="Verdana"/>
                <w:b/>
                <w:sz w:val="20"/>
              </w:rPr>
              <w:t>Addendum 1 au</w:t>
            </w:r>
            <w:r>
              <w:rPr>
                <w:rFonts w:ascii="Verdana" w:hAnsi="Verdana"/>
                <w:b/>
                <w:sz w:val="20"/>
              </w:rPr>
              <w:br/>
            </w:r>
            <w:r w:rsidR="00DC707B">
              <w:rPr>
                <w:rFonts w:ascii="Verdana" w:hAnsi="Verdana"/>
                <w:b/>
                <w:sz w:val="20"/>
              </w:rPr>
              <w:t>Document 13-F</w:t>
            </w:r>
          </w:p>
        </w:tc>
      </w:tr>
      <w:tr w:rsidR="00DC707B" w:rsidRPr="00C324A8" w:rsidTr="000F2971">
        <w:trPr>
          <w:cantSplit/>
          <w:trHeight w:val="23"/>
        </w:trPr>
        <w:tc>
          <w:tcPr>
            <w:tcW w:w="6911" w:type="dxa"/>
            <w:vMerge/>
          </w:tcPr>
          <w:p w:rsidR="00DC707B" w:rsidRPr="00C324A8" w:rsidRDefault="00DC707B" w:rsidP="005D756B">
            <w:pPr>
              <w:tabs>
                <w:tab w:val="left" w:pos="851"/>
              </w:tabs>
              <w:rPr>
                <w:rFonts w:ascii="Verdana" w:hAnsi="Verdana"/>
                <w:b/>
                <w:sz w:val="20"/>
              </w:rPr>
            </w:pPr>
            <w:bookmarkStart w:id="5" w:name="ddate" w:colFirst="1" w:colLast="1"/>
            <w:bookmarkEnd w:id="3"/>
            <w:bookmarkEnd w:id="4"/>
          </w:p>
        </w:tc>
        <w:tc>
          <w:tcPr>
            <w:tcW w:w="3120" w:type="dxa"/>
          </w:tcPr>
          <w:p w:rsidR="00DC707B" w:rsidRPr="00DC707B" w:rsidRDefault="00FA064C" w:rsidP="005D756B">
            <w:pPr>
              <w:tabs>
                <w:tab w:val="left" w:pos="993"/>
              </w:tabs>
              <w:spacing w:before="0"/>
              <w:rPr>
                <w:rFonts w:ascii="Verdana" w:hAnsi="Verdana"/>
                <w:sz w:val="20"/>
              </w:rPr>
            </w:pPr>
            <w:r>
              <w:rPr>
                <w:rFonts w:ascii="Verdana" w:hAnsi="Verdana"/>
                <w:b/>
                <w:sz w:val="20"/>
              </w:rPr>
              <w:t>13 octobre</w:t>
            </w:r>
            <w:r w:rsidR="00DC707B">
              <w:rPr>
                <w:rFonts w:ascii="Verdana" w:hAnsi="Verdana"/>
                <w:b/>
                <w:sz w:val="20"/>
              </w:rPr>
              <w:t xml:space="preserve"> 2015</w:t>
            </w:r>
          </w:p>
        </w:tc>
      </w:tr>
      <w:tr w:rsidR="00DC707B" w:rsidRPr="00C324A8" w:rsidTr="000F2971">
        <w:trPr>
          <w:cantSplit/>
          <w:trHeight w:val="23"/>
        </w:trPr>
        <w:tc>
          <w:tcPr>
            <w:tcW w:w="6911" w:type="dxa"/>
            <w:vMerge/>
          </w:tcPr>
          <w:p w:rsidR="00DC707B" w:rsidRPr="00C324A8" w:rsidRDefault="00DC707B" w:rsidP="005D756B">
            <w:pPr>
              <w:tabs>
                <w:tab w:val="left" w:pos="851"/>
              </w:tabs>
              <w:rPr>
                <w:rFonts w:ascii="Verdana" w:hAnsi="Verdana"/>
                <w:b/>
                <w:sz w:val="20"/>
              </w:rPr>
            </w:pPr>
            <w:bookmarkStart w:id="6" w:name="dorlang" w:colFirst="1" w:colLast="1"/>
            <w:bookmarkEnd w:id="5"/>
          </w:p>
        </w:tc>
        <w:tc>
          <w:tcPr>
            <w:tcW w:w="3120" w:type="dxa"/>
          </w:tcPr>
          <w:p w:rsidR="00DC707B" w:rsidRPr="00DC707B" w:rsidRDefault="00DC707B" w:rsidP="005D756B">
            <w:pPr>
              <w:tabs>
                <w:tab w:val="left" w:pos="993"/>
              </w:tabs>
              <w:spacing w:before="0" w:after="120"/>
              <w:rPr>
                <w:rFonts w:ascii="Verdana" w:hAnsi="Verdana"/>
                <w:sz w:val="20"/>
              </w:rPr>
            </w:pPr>
            <w:r>
              <w:rPr>
                <w:rFonts w:ascii="Verdana" w:hAnsi="Verdana"/>
                <w:b/>
                <w:sz w:val="20"/>
              </w:rPr>
              <w:t>Original: anglais</w:t>
            </w:r>
          </w:p>
        </w:tc>
      </w:tr>
      <w:tr w:rsidR="00DC707B" w:rsidTr="000F2971">
        <w:trPr>
          <w:cantSplit/>
        </w:trPr>
        <w:tc>
          <w:tcPr>
            <w:tcW w:w="10031" w:type="dxa"/>
            <w:gridSpan w:val="2"/>
          </w:tcPr>
          <w:p w:rsidR="00DC707B" w:rsidRDefault="00DC707B" w:rsidP="005D756B">
            <w:pPr>
              <w:pStyle w:val="Source"/>
            </w:pPr>
            <w:bookmarkStart w:id="7" w:name="dsource" w:colFirst="0" w:colLast="0"/>
            <w:bookmarkEnd w:id="6"/>
            <w:r>
              <w:t>Note du Secrétaire général</w:t>
            </w:r>
          </w:p>
        </w:tc>
      </w:tr>
      <w:tr w:rsidR="00DC707B" w:rsidTr="000F2971">
        <w:trPr>
          <w:cantSplit/>
        </w:trPr>
        <w:tc>
          <w:tcPr>
            <w:tcW w:w="10031" w:type="dxa"/>
            <w:gridSpan w:val="2"/>
          </w:tcPr>
          <w:p w:rsidR="00DC707B" w:rsidRDefault="00DC707B" w:rsidP="005D756B">
            <w:pPr>
              <w:pStyle w:val="Title1"/>
            </w:pPr>
            <w:bookmarkStart w:id="8" w:name="dtitle1" w:colFirst="0" w:colLast="0"/>
            <w:bookmarkEnd w:id="7"/>
            <w:r>
              <w:t>Position de l</w:t>
            </w:r>
            <w:r w:rsidR="00EB627B">
              <w:t>'</w:t>
            </w:r>
            <w:r>
              <w:t>OMI</w:t>
            </w:r>
            <w:r w:rsidR="008070B7" w:rsidRPr="00C200EA">
              <w:t xml:space="preserve"> sur les points DE l</w:t>
            </w:r>
            <w:r w:rsidR="00EB627B">
              <w:t>'</w:t>
            </w:r>
            <w:r w:rsidR="008070B7" w:rsidRPr="00C200EA">
              <w:t>ordre du jour de la cmr-1</w:t>
            </w:r>
            <w:r w:rsidR="008070B7">
              <w:t>5</w:t>
            </w:r>
            <w:r w:rsidR="008070B7" w:rsidRPr="00C200EA">
              <w:t xml:space="preserve"> qui concernent les questions ayant trait </w:t>
            </w:r>
            <w:r w:rsidR="008070B7">
              <w:br/>
            </w:r>
            <w:r w:rsidR="008070B7" w:rsidRPr="00C200EA">
              <w:t>aux services maritimes</w:t>
            </w:r>
          </w:p>
        </w:tc>
      </w:tr>
      <w:tr w:rsidR="00DC707B" w:rsidTr="000F2971">
        <w:trPr>
          <w:cantSplit/>
        </w:trPr>
        <w:tc>
          <w:tcPr>
            <w:tcW w:w="10031" w:type="dxa"/>
            <w:gridSpan w:val="2"/>
          </w:tcPr>
          <w:p w:rsidR="00DC707B" w:rsidRDefault="00DC707B" w:rsidP="005D756B">
            <w:pPr>
              <w:pStyle w:val="Title2"/>
            </w:pPr>
            <w:bookmarkStart w:id="9" w:name="dtitle2" w:colFirst="0" w:colLast="0"/>
            <w:bookmarkEnd w:id="8"/>
          </w:p>
        </w:tc>
      </w:tr>
      <w:tr w:rsidR="00DC707B" w:rsidTr="000F2971">
        <w:trPr>
          <w:cantSplit/>
        </w:trPr>
        <w:tc>
          <w:tcPr>
            <w:tcW w:w="10031" w:type="dxa"/>
            <w:gridSpan w:val="2"/>
          </w:tcPr>
          <w:p w:rsidR="00DC707B" w:rsidRDefault="00DC707B" w:rsidP="005D756B">
            <w:pPr>
              <w:pStyle w:val="Title3"/>
            </w:pPr>
            <w:bookmarkStart w:id="10" w:name="dtitle3" w:colFirst="0" w:colLast="0"/>
            <w:bookmarkEnd w:id="9"/>
          </w:p>
        </w:tc>
      </w:tr>
    </w:tbl>
    <w:bookmarkEnd w:id="10"/>
    <w:p w:rsidR="008070B7" w:rsidRPr="00AA3751" w:rsidRDefault="008070B7" w:rsidP="005D756B">
      <w:pPr>
        <w:spacing w:before="480"/>
      </w:pPr>
      <w:r w:rsidRPr="00AA3751">
        <w:t>A la demande de l</w:t>
      </w:r>
      <w:r w:rsidR="00EB627B">
        <w:t>'</w:t>
      </w:r>
      <w:r w:rsidRPr="00AA3751">
        <w:t>Organisation maritime internationale (OMI), j</w:t>
      </w:r>
      <w:r w:rsidR="00EB627B">
        <w:t>'</w:t>
      </w:r>
      <w:r w:rsidRPr="00AA3751">
        <w:t>ai l</w:t>
      </w:r>
      <w:r w:rsidR="00EB627B">
        <w:t>'</w:t>
      </w:r>
      <w:r w:rsidRPr="00AA3751">
        <w:t>honneur de porter à l</w:t>
      </w:r>
      <w:r w:rsidR="00EB627B">
        <w:t>'</w:t>
      </w:r>
      <w:r w:rsidRPr="00AA3751">
        <w:t>attention de la Conférence le document d</w:t>
      </w:r>
      <w:r w:rsidR="00EB627B">
        <w:t>'</w:t>
      </w:r>
      <w:r w:rsidRPr="00AA3751">
        <w:t>information joint en Annexe.</w:t>
      </w:r>
    </w:p>
    <w:p w:rsidR="008070B7" w:rsidRPr="00C200EA" w:rsidRDefault="008070B7" w:rsidP="005D756B">
      <w:pPr>
        <w:tabs>
          <w:tab w:val="center" w:pos="7088"/>
        </w:tabs>
        <w:spacing w:before="840"/>
        <w:rPr>
          <w:b/>
        </w:rPr>
      </w:pPr>
      <w:r>
        <w:rPr>
          <w:bCs/>
        </w:rPr>
        <w:tab/>
      </w:r>
      <w:r>
        <w:rPr>
          <w:bCs/>
        </w:rPr>
        <w:tab/>
      </w:r>
      <w:r>
        <w:rPr>
          <w:bCs/>
        </w:rPr>
        <w:tab/>
      </w:r>
      <w:r>
        <w:rPr>
          <w:bCs/>
        </w:rPr>
        <w:tab/>
      </w:r>
      <w:r w:rsidRPr="00F96CD3">
        <w:rPr>
          <w:bCs/>
        </w:rPr>
        <w:t>Houlin ZHAO</w:t>
      </w:r>
      <w:r>
        <w:rPr>
          <w:bCs/>
        </w:rPr>
        <w:br/>
      </w:r>
      <w:r>
        <w:rPr>
          <w:szCs w:val="24"/>
        </w:rPr>
        <w:tab/>
      </w:r>
      <w:r>
        <w:rPr>
          <w:szCs w:val="24"/>
        </w:rPr>
        <w:tab/>
      </w:r>
      <w:r>
        <w:rPr>
          <w:szCs w:val="24"/>
        </w:rPr>
        <w:tab/>
      </w:r>
      <w:r>
        <w:rPr>
          <w:szCs w:val="24"/>
        </w:rPr>
        <w:tab/>
      </w:r>
      <w:r w:rsidRPr="00936D25">
        <w:rPr>
          <w:szCs w:val="24"/>
        </w:rPr>
        <w:t>Secrétaire général</w:t>
      </w:r>
    </w:p>
    <w:p w:rsidR="008070B7" w:rsidRDefault="008070B7" w:rsidP="000A4AE8">
      <w:r>
        <w:br w:type="page"/>
      </w:r>
    </w:p>
    <w:p w:rsidR="00072B71" w:rsidRDefault="00072B71" w:rsidP="000A4AE8">
      <w:pPr>
        <w:rPr>
          <w:bCs/>
        </w:rPr>
      </w:pPr>
      <w:r>
        <w:rPr>
          <w:bCs/>
        </w:rPr>
        <w:lastRenderedPageBreak/>
        <w:t xml:space="preserve">Le Document 13 de la CMR-15 contient la position de l’OMI </w:t>
      </w:r>
      <w:r w:rsidRPr="00C200EA">
        <w:t xml:space="preserve">sur les points </w:t>
      </w:r>
      <w:r>
        <w:t>de</w:t>
      </w:r>
      <w:r w:rsidRPr="00C200EA">
        <w:t xml:space="preserve"> l</w:t>
      </w:r>
      <w:r>
        <w:t>'</w:t>
      </w:r>
      <w:r w:rsidRPr="00C200EA">
        <w:t xml:space="preserve">ordre du jour de la </w:t>
      </w:r>
      <w:r>
        <w:t>CMR</w:t>
      </w:r>
      <w:r w:rsidRPr="00C200EA">
        <w:t>-1</w:t>
      </w:r>
      <w:r>
        <w:t>5</w:t>
      </w:r>
      <w:r w:rsidRPr="00C200EA">
        <w:t xml:space="preserve"> qui concernent les questions ayant trait aux services maritimes</w:t>
      </w:r>
      <w:r>
        <w:t xml:space="preserve">. Comme indiqué à la page 8 </w:t>
      </w:r>
      <w:r w:rsidR="005D756B">
        <w:t>de ce document</w:t>
      </w:r>
      <w:r>
        <w:t xml:space="preserve">, le </w:t>
      </w:r>
      <w:r>
        <w:rPr>
          <w:color w:val="000000"/>
        </w:rPr>
        <w:t>Groupe mixte d'experts OMI/UIT</w:t>
      </w:r>
      <w:r>
        <w:rPr>
          <w:bCs/>
        </w:rPr>
        <w:t xml:space="preserve"> sur les questions de radiocommunication maritime, à la réunion qu'il a tenue du 5 au 9 octobre 2015, a examiné les questions relatives au point 10 de l'ordre du jour de la CMR-15. En conséquence, l’OMI </w:t>
      </w:r>
      <w:r w:rsidR="005D756B">
        <w:rPr>
          <w:bCs/>
        </w:rPr>
        <w:t>fait savoir à</w:t>
      </w:r>
      <w:r>
        <w:rPr>
          <w:bCs/>
        </w:rPr>
        <w:t xml:space="preserve"> la Conférence </w:t>
      </w:r>
      <w:r w:rsidR="005D756B">
        <w:rPr>
          <w:bCs/>
        </w:rPr>
        <w:t>q</w:t>
      </w:r>
      <w:r>
        <w:rPr>
          <w:bCs/>
        </w:rPr>
        <w:t>ue les informations relatives au point 10 de l’ordre du jour figurant dans le Document 13 de la CMR-15 devraient être remplacées par le texte suivant.</w:t>
      </w:r>
    </w:p>
    <w:p w:rsidR="008070B7" w:rsidRPr="00B363B4" w:rsidRDefault="008070B7" w:rsidP="005D756B">
      <w:pPr>
        <w:pStyle w:val="Headingb"/>
      </w:pPr>
      <w:r w:rsidRPr="00B363B4">
        <w:t>Point 10 de l</w:t>
      </w:r>
      <w:r w:rsidR="00EB627B">
        <w:t>'</w:t>
      </w:r>
      <w:r w:rsidRPr="00B363B4">
        <w:t>ordre du jour</w:t>
      </w:r>
    </w:p>
    <w:p w:rsidR="008070B7" w:rsidRPr="00B113A2" w:rsidRDefault="008070B7" w:rsidP="000A4AE8">
      <w:r w:rsidRPr="00B113A2">
        <w:t>10</w:t>
      </w:r>
      <w:r w:rsidRPr="00B113A2">
        <w:tab/>
        <w:t>recommander au Conseil des points à inscrire à l</w:t>
      </w:r>
      <w:r w:rsidR="00EB627B">
        <w:t>'</w:t>
      </w:r>
      <w:r w:rsidRPr="00B113A2">
        <w:t>ordre du jour de la CMR suivante et exposer ses vues sur l</w:t>
      </w:r>
      <w:r w:rsidR="00EB627B">
        <w:t>'</w:t>
      </w:r>
      <w:r w:rsidRPr="00B113A2">
        <w:t>ordre du jour préliminaire de la conférence ultérieure ainsi que sur des points éventuels à inscrire à l</w:t>
      </w:r>
      <w:r w:rsidR="00EB627B">
        <w:t>'</w:t>
      </w:r>
      <w:r w:rsidRPr="00B113A2">
        <w:t>ordre du jour de conférences futures, conformément à l</w:t>
      </w:r>
      <w:r w:rsidR="00EB627B">
        <w:t>'</w:t>
      </w:r>
      <w:r w:rsidRPr="00B113A2">
        <w:t>article 7 de la Convention;</w:t>
      </w:r>
    </w:p>
    <w:p w:rsidR="008070B7" w:rsidRPr="00B363B4" w:rsidRDefault="00B113A2" w:rsidP="005D756B">
      <w:pPr>
        <w:pStyle w:val="Headingb"/>
      </w:pPr>
      <w:r>
        <w:tab/>
      </w:r>
      <w:r w:rsidR="008070B7">
        <w:t>Rappel</w:t>
      </w:r>
    </w:p>
    <w:p w:rsidR="008070B7" w:rsidRPr="00B363B4" w:rsidRDefault="00B113A2" w:rsidP="005D756B">
      <w:pPr>
        <w:ind w:left="1134" w:hanging="1134"/>
        <w:rPr>
          <w:bCs/>
        </w:rPr>
      </w:pPr>
      <w:r>
        <w:rPr>
          <w:bCs/>
        </w:rPr>
        <w:tab/>
      </w:r>
      <w:r w:rsidR="008070B7">
        <w:rPr>
          <w:bCs/>
        </w:rPr>
        <w:t>Conformément à l</w:t>
      </w:r>
      <w:r w:rsidR="008070B7" w:rsidRPr="00B363B4">
        <w:rPr>
          <w:bCs/>
        </w:rPr>
        <w:t xml:space="preserve">a Résolution </w:t>
      </w:r>
      <w:r w:rsidR="008070B7" w:rsidRPr="000A4AE8">
        <w:rPr>
          <w:b/>
        </w:rPr>
        <w:t>808 (CMR</w:t>
      </w:r>
      <w:r w:rsidR="005D756B" w:rsidRPr="000A4AE8">
        <w:rPr>
          <w:b/>
        </w:rPr>
        <w:t>-</w:t>
      </w:r>
      <w:r w:rsidR="008070B7" w:rsidRPr="000A4AE8">
        <w:rPr>
          <w:b/>
        </w:rPr>
        <w:t>12)</w:t>
      </w:r>
      <w:r w:rsidR="008070B7" w:rsidRPr="00B363B4">
        <w:rPr>
          <w:bCs/>
        </w:rPr>
        <w:t>, qui contient l</w:t>
      </w:r>
      <w:r w:rsidR="00EB627B">
        <w:rPr>
          <w:bCs/>
        </w:rPr>
        <w:t>'</w:t>
      </w:r>
      <w:r w:rsidR="008070B7" w:rsidRPr="00B363B4">
        <w:rPr>
          <w:bCs/>
        </w:rPr>
        <w:t>ordre du jour préliminaire de la CMR</w:t>
      </w:r>
      <w:r w:rsidR="005D756B">
        <w:rPr>
          <w:bCs/>
        </w:rPr>
        <w:t>-</w:t>
      </w:r>
      <w:r w:rsidR="008070B7" w:rsidRPr="00B363B4">
        <w:rPr>
          <w:bCs/>
        </w:rPr>
        <w:t xml:space="preserve">18, </w:t>
      </w:r>
      <w:r w:rsidR="008070B7">
        <w:rPr>
          <w:bCs/>
        </w:rPr>
        <w:t xml:space="preserve">le </w:t>
      </w:r>
      <w:r w:rsidR="008070B7" w:rsidRPr="00B363B4">
        <w:rPr>
          <w:bCs/>
        </w:rPr>
        <w:t>point 2.1</w:t>
      </w:r>
      <w:r w:rsidR="008070B7">
        <w:rPr>
          <w:bCs/>
        </w:rPr>
        <w:t xml:space="preserve"> ci</w:t>
      </w:r>
      <w:r w:rsidR="008070B7">
        <w:rPr>
          <w:bCs/>
        </w:rPr>
        <w:noBreakHyphen/>
        <w:t>après, «</w:t>
      </w:r>
      <w:r w:rsidR="008070B7" w:rsidRPr="00B363B4">
        <w:rPr>
          <w:bCs/>
        </w:rPr>
        <w:t xml:space="preserve">Examiner les mesures réglementaires, y compris des attributions de fréquences, en vue de permettre la modernisation du SMDSM et la mise en </w:t>
      </w:r>
      <w:r>
        <w:rPr>
          <w:rFonts w:cs="Arial"/>
          <w:bCs/>
        </w:rPr>
        <w:t>oe</w:t>
      </w:r>
      <w:r w:rsidR="008070B7" w:rsidRPr="00B363B4">
        <w:rPr>
          <w:bCs/>
        </w:rPr>
        <w:t>uvre de l</w:t>
      </w:r>
      <w:r w:rsidR="008070B7">
        <w:rPr>
          <w:bCs/>
        </w:rPr>
        <w:t xml:space="preserve">a </w:t>
      </w:r>
      <w:r w:rsidR="008070B7" w:rsidRPr="00B363B4">
        <w:rPr>
          <w:bCs/>
        </w:rPr>
        <w:t>navigation</w:t>
      </w:r>
      <w:r w:rsidR="008070B7">
        <w:rPr>
          <w:bCs/>
        </w:rPr>
        <w:t xml:space="preserve"> électronique</w:t>
      </w:r>
      <w:r w:rsidR="008070B7" w:rsidRPr="00B363B4">
        <w:rPr>
          <w:bCs/>
        </w:rPr>
        <w:t xml:space="preserve">, conformément à la Résolution </w:t>
      </w:r>
      <w:r w:rsidR="008070B7" w:rsidRPr="003646FA">
        <w:rPr>
          <w:b/>
        </w:rPr>
        <w:t>359</w:t>
      </w:r>
      <w:r w:rsidR="008070B7" w:rsidRPr="000A4AE8">
        <w:rPr>
          <w:b/>
        </w:rPr>
        <w:t xml:space="preserve"> (CMR</w:t>
      </w:r>
      <w:r w:rsidR="005D756B" w:rsidRPr="000A4AE8">
        <w:rPr>
          <w:b/>
        </w:rPr>
        <w:t>-</w:t>
      </w:r>
      <w:r w:rsidR="008070B7" w:rsidRPr="000A4AE8">
        <w:rPr>
          <w:b/>
        </w:rPr>
        <w:t>12)</w:t>
      </w:r>
      <w:r w:rsidR="008070B7" w:rsidRPr="00E17C02">
        <w:rPr>
          <w:bCs/>
        </w:rPr>
        <w:t>»</w:t>
      </w:r>
      <w:r w:rsidR="008070B7">
        <w:rPr>
          <w:bCs/>
        </w:rPr>
        <w:t xml:space="preserve"> devrait être inscrit à l</w:t>
      </w:r>
      <w:r w:rsidR="00EB627B">
        <w:rPr>
          <w:bCs/>
        </w:rPr>
        <w:t>'</w:t>
      </w:r>
      <w:r w:rsidR="008070B7">
        <w:rPr>
          <w:bCs/>
        </w:rPr>
        <w:t>ordre du jour préliminaire de cette conférence</w:t>
      </w:r>
      <w:r w:rsidR="008070B7" w:rsidRPr="00B363B4">
        <w:rPr>
          <w:bCs/>
        </w:rPr>
        <w:t>.</w:t>
      </w:r>
    </w:p>
    <w:p w:rsidR="008070B7" w:rsidRDefault="00B113A2" w:rsidP="005D756B">
      <w:pPr>
        <w:ind w:left="1134" w:hanging="1134"/>
        <w:rPr>
          <w:color w:val="000000"/>
        </w:rPr>
      </w:pPr>
      <w:r>
        <w:rPr>
          <w:bCs/>
        </w:rPr>
        <w:tab/>
      </w:r>
      <w:r w:rsidR="008070B7">
        <w:rPr>
          <w:bCs/>
        </w:rPr>
        <w:t>En raison de la complexité des travaux relatifs à l</w:t>
      </w:r>
      <w:r w:rsidR="00EB627B">
        <w:rPr>
          <w:bCs/>
        </w:rPr>
        <w:t>'</w:t>
      </w:r>
      <w:r w:rsidR="008070B7">
        <w:rPr>
          <w:bCs/>
        </w:rPr>
        <w:t xml:space="preserve">examen du SMDSM, </w:t>
      </w:r>
      <w:r w:rsidR="008070B7" w:rsidRPr="00B363B4">
        <w:t>l</w:t>
      </w:r>
      <w:r w:rsidR="00EB627B">
        <w:t>'</w:t>
      </w:r>
      <w:r w:rsidR="008070B7" w:rsidRPr="00B363B4">
        <w:t>OMI</w:t>
      </w:r>
      <w:r w:rsidR="008070B7">
        <w:rPr>
          <w:bCs/>
        </w:rPr>
        <w:t xml:space="preserve"> projette d</w:t>
      </w:r>
      <w:r w:rsidR="00EB627B">
        <w:rPr>
          <w:bCs/>
        </w:rPr>
        <w:t>'</w:t>
      </w:r>
      <w:r w:rsidR="008070B7">
        <w:rPr>
          <w:bCs/>
        </w:rPr>
        <w:t>achever le plan de modernisation de ce système en 2018. La première étape des</w:t>
      </w:r>
      <w:r>
        <w:rPr>
          <w:bCs/>
        </w:rPr>
        <w:t xml:space="preserve"> </w:t>
      </w:r>
      <w:r w:rsidR="008070B7">
        <w:rPr>
          <w:bCs/>
        </w:rPr>
        <w:t>travaux complémentaires qui seront effectués en ce qui concerne</w:t>
      </w:r>
      <w:r>
        <w:rPr>
          <w:bCs/>
        </w:rPr>
        <w:t xml:space="preserve"> </w:t>
      </w:r>
      <w:r w:rsidR="008070B7">
        <w:rPr>
          <w:bCs/>
        </w:rPr>
        <w:t xml:space="preserve">la mise en </w:t>
      </w:r>
      <w:r>
        <w:rPr>
          <w:bCs/>
        </w:rPr>
        <w:t>oe</w:t>
      </w:r>
      <w:r w:rsidR="008070B7">
        <w:rPr>
          <w:bCs/>
        </w:rPr>
        <w:t>uvre de la</w:t>
      </w:r>
      <w:r>
        <w:rPr>
          <w:color w:val="000000"/>
        </w:rPr>
        <w:t xml:space="preserve"> </w:t>
      </w:r>
      <w:r w:rsidR="008070B7">
        <w:rPr>
          <w:color w:val="000000"/>
        </w:rPr>
        <w:t>navigation électronique devrait être mené</w:t>
      </w:r>
      <w:r w:rsidR="00080245">
        <w:rPr>
          <w:color w:val="000000"/>
        </w:rPr>
        <w:t>e</w:t>
      </w:r>
      <w:r>
        <w:rPr>
          <w:color w:val="000000"/>
        </w:rPr>
        <w:t xml:space="preserve"> à bien pendant la période 2016-</w:t>
      </w:r>
      <w:r w:rsidR="008070B7">
        <w:rPr>
          <w:color w:val="000000"/>
        </w:rPr>
        <w:t xml:space="preserve">2019. </w:t>
      </w:r>
    </w:p>
    <w:p w:rsidR="008070B7" w:rsidRDefault="00EB627B" w:rsidP="005D756B">
      <w:pPr>
        <w:ind w:left="1134" w:hanging="1134"/>
        <w:rPr>
          <w:bCs/>
        </w:rPr>
      </w:pPr>
      <w:r>
        <w:rPr>
          <w:color w:val="000000"/>
        </w:rPr>
        <w:tab/>
      </w:r>
      <w:r w:rsidR="008070B7">
        <w:rPr>
          <w:color w:val="000000"/>
        </w:rPr>
        <w:t>Bien que cette question ne se rapporte pas directement à la modernisation du</w:t>
      </w:r>
      <w:r w:rsidR="008070B7" w:rsidRPr="00C44BC3">
        <w:rPr>
          <w:bCs/>
        </w:rPr>
        <w:t xml:space="preserve"> </w:t>
      </w:r>
      <w:r w:rsidR="008070B7">
        <w:rPr>
          <w:bCs/>
        </w:rPr>
        <w:t>SMDSM,</w:t>
      </w:r>
      <w:r w:rsidR="008070B7" w:rsidRPr="00C44BC3">
        <w:t xml:space="preserve"> </w:t>
      </w:r>
      <w:r w:rsidR="008070B7" w:rsidRPr="00B363B4">
        <w:t>l</w:t>
      </w:r>
      <w:r>
        <w:t>'</w:t>
      </w:r>
      <w:r w:rsidR="008070B7" w:rsidRPr="00B363B4">
        <w:t>OMI</w:t>
      </w:r>
      <w:r w:rsidR="008070B7">
        <w:t xml:space="preserve"> a été saisi</w:t>
      </w:r>
      <w:r w:rsidR="00080245">
        <w:t>e</w:t>
      </w:r>
      <w:r w:rsidR="008070B7">
        <w:t xml:space="preserve"> d</w:t>
      </w:r>
      <w:r>
        <w:t>'</w:t>
      </w:r>
      <w:r w:rsidR="008070B7">
        <w:t>une demande d</w:t>
      </w:r>
      <w:r>
        <w:t>'</w:t>
      </w:r>
      <w:r w:rsidR="008070B7">
        <w:t>agrément</w:t>
      </w:r>
      <w:r w:rsidR="00B113A2">
        <w:t xml:space="preserve"> </w:t>
      </w:r>
      <w:r w:rsidR="008070B7">
        <w:t>d</w:t>
      </w:r>
      <w:r>
        <w:t>'</w:t>
      </w:r>
      <w:r w:rsidR="008070B7">
        <w:t>un nouveau prestataire de services</w:t>
      </w:r>
      <w:r w:rsidR="006F2567">
        <w:t xml:space="preserve"> mobiles</w:t>
      </w:r>
      <w:r w:rsidR="008070B7">
        <w:t xml:space="preserve"> par satellite dans le</w:t>
      </w:r>
      <w:r w:rsidR="008070B7" w:rsidRPr="00C44BC3">
        <w:rPr>
          <w:bCs/>
        </w:rPr>
        <w:t xml:space="preserve"> </w:t>
      </w:r>
      <w:r w:rsidR="008070B7">
        <w:rPr>
          <w:bCs/>
        </w:rPr>
        <w:t>cadre du SMDSM. Si un</w:t>
      </w:r>
      <w:r w:rsidR="00B113A2">
        <w:rPr>
          <w:bCs/>
        </w:rPr>
        <w:t xml:space="preserve"> </w:t>
      </w:r>
      <w:r w:rsidR="008070B7">
        <w:rPr>
          <w:bCs/>
        </w:rPr>
        <w:t>nouveau prestataire de services</w:t>
      </w:r>
      <w:r w:rsidR="006F2567">
        <w:rPr>
          <w:bCs/>
        </w:rPr>
        <w:t xml:space="preserve"> mobile</w:t>
      </w:r>
      <w:r w:rsidR="005D756B">
        <w:rPr>
          <w:bCs/>
        </w:rPr>
        <w:t>s</w:t>
      </w:r>
      <w:r w:rsidR="008070B7">
        <w:rPr>
          <w:bCs/>
        </w:rPr>
        <w:t xml:space="preserve"> par satellite est reconnu dans le cadre du</w:t>
      </w:r>
      <w:r w:rsidR="008070B7" w:rsidRPr="00C44BC3">
        <w:rPr>
          <w:bCs/>
        </w:rPr>
        <w:t xml:space="preserve"> </w:t>
      </w:r>
      <w:r w:rsidR="008070B7">
        <w:rPr>
          <w:bCs/>
        </w:rPr>
        <w:t>SMDSM, il sera peut-être nécessaire que l</w:t>
      </w:r>
      <w:r>
        <w:rPr>
          <w:bCs/>
        </w:rPr>
        <w:t>'</w:t>
      </w:r>
      <w:r w:rsidR="008070B7">
        <w:rPr>
          <w:bCs/>
        </w:rPr>
        <w:t>UIT envisage de prendre des mesures réglementaires en conséquence.</w:t>
      </w:r>
    </w:p>
    <w:p w:rsidR="000541EA" w:rsidRDefault="000541EA" w:rsidP="005D756B">
      <w:pPr>
        <w:ind w:left="1134" w:hanging="1134"/>
      </w:pPr>
      <w:r>
        <w:rPr>
          <w:bCs/>
        </w:rPr>
        <w:tab/>
        <w:t>L’OMI reconnaît</w:t>
      </w:r>
      <w:r>
        <w:t xml:space="preserve"> que des dispositifs utilisant des technologies de type AIS pour la sécurité maritime sont disponibles sur le marché, et leur nombre devrait croître dans l’avenir. Il est en outre reconnu que la majorité de ces nouveaux dispositifs fonctionnent sur les voies AIS 1 et AIS 2 et, dans une certaine mesure, </w:t>
      </w:r>
      <w:r w:rsidR="005D756B">
        <w:t>utilisent</w:t>
      </w:r>
      <w:r>
        <w:t xml:space="preserve"> les ressources d’</w:t>
      </w:r>
      <w:r w:rsidRPr="000541EA">
        <w:t>identités du service mobile maritime</w:t>
      </w:r>
      <w:r>
        <w:t xml:space="preserve"> (MMSI) prévu</w:t>
      </w:r>
      <w:r w:rsidR="005D756B">
        <w:t>es pour les stations de navire</w:t>
      </w:r>
      <w:r>
        <w:t xml:space="preserve"> ou les auxiliaires de la navigation.</w:t>
      </w:r>
    </w:p>
    <w:p w:rsidR="000541EA" w:rsidRDefault="000541EA" w:rsidP="005D756B">
      <w:pPr>
        <w:ind w:left="1134" w:hanging="1134"/>
        <w:rPr>
          <w:bCs/>
        </w:rPr>
      </w:pPr>
      <w:r>
        <w:rPr>
          <w:bCs/>
        </w:rPr>
        <w:tab/>
        <w:t xml:space="preserve">Le système AIS a pour objet d’identifier les navires, </w:t>
      </w:r>
      <w:r w:rsidR="005D756B">
        <w:rPr>
          <w:bCs/>
        </w:rPr>
        <w:t>de faciliter le suivi</w:t>
      </w:r>
      <w:r>
        <w:rPr>
          <w:bCs/>
        </w:rPr>
        <w:t xml:space="preserve"> de cibles, de fournir une assistance pour les opérations de recherche e</w:t>
      </w:r>
      <w:r w:rsidR="005D756B">
        <w:rPr>
          <w:bCs/>
        </w:rPr>
        <w:t xml:space="preserve">t de sauvetage, de simplifier les </w:t>
      </w:r>
      <w:r>
        <w:rPr>
          <w:bCs/>
        </w:rPr>
        <w:t>échange</w:t>
      </w:r>
      <w:r w:rsidR="005D756B">
        <w:rPr>
          <w:bCs/>
        </w:rPr>
        <w:t>s</w:t>
      </w:r>
      <w:r>
        <w:rPr>
          <w:bCs/>
        </w:rPr>
        <w:t xml:space="preserve"> d’informations et de fournir des renseignements supplémentaires afin de connaître plus facilement la situation.</w:t>
      </w:r>
    </w:p>
    <w:p w:rsidR="000541EA" w:rsidRPr="000541EA" w:rsidRDefault="000541EA" w:rsidP="005D756B">
      <w:pPr>
        <w:ind w:left="1134" w:hanging="1134"/>
        <w:rPr>
          <w:bCs/>
        </w:rPr>
      </w:pPr>
      <w:r>
        <w:rPr>
          <w:bCs/>
        </w:rPr>
        <w:tab/>
        <w:t xml:space="preserve">L’OMI reconnaît par ailleurs que les dispositifs </w:t>
      </w:r>
      <w:r w:rsidR="005D756B">
        <w:rPr>
          <w:bCs/>
        </w:rPr>
        <w:t>de radiocommunications</w:t>
      </w:r>
      <w:r>
        <w:rPr>
          <w:bCs/>
        </w:rPr>
        <w:t xml:space="preserve"> maritimes fonctionnant sans autorisation national</w:t>
      </w:r>
      <w:r w:rsidR="005D756B">
        <w:rPr>
          <w:bCs/>
        </w:rPr>
        <w:t>e</w:t>
      </w:r>
      <w:r>
        <w:rPr>
          <w:bCs/>
        </w:rPr>
        <w:t xml:space="preserve"> ou connectés de manière non réglementaire aux navires ou </w:t>
      </w:r>
      <w:r w:rsidR="005D756B">
        <w:rPr>
          <w:bCs/>
        </w:rPr>
        <w:t xml:space="preserve">aux stations côtières, </w:t>
      </w:r>
      <w:r>
        <w:rPr>
          <w:bCs/>
        </w:rPr>
        <w:t>utilise</w:t>
      </w:r>
      <w:r w:rsidR="005D756B">
        <w:rPr>
          <w:bCs/>
        </w:rPr>
        <w:t>nt non seulement</w:t>
      </w:r>
      <w:r>
        <w:rPr>
          <w:bCs/>
        </w:rPr>
        <w:t xml:space="preserve"> la technologie AIS,</w:t>
      </w:r>
      <w:r w:rsidR="00305ABE">
        <w:rPr>
          <w:bCs/>
        </w:rPr>
        <w:t xml:space="preserve"> </w:t>
      </w:r>
      <w:r w:rsidR="005D756B">
        <w:rPr>
          <w:bCs/>
        </w:rPr>
        <w:t>mais aussi la</w:t>
      </w:r>
      <w:r>
        <w:rPr>
          <w:bCs/>
        </w:rPr>
        <w:t xml:space="preserve"> technologie ASN ou</w:t>
      </w:r>
      <w:r w:rsidR="00305ABE">
        <w:rPr>
          <w:bCs/>
        </w:rPr>
        <w:t xml:space="preserve"> une technologie permettant d’émettre des messages prononcés par une voix de synthèse</w:t>
      </w:r>
      <w:r w:rsidR="005D756B">
        <w:rPr>
          <w:bCs/>
        </w:rPr>
        <w:t>, voire</w:t>
      </w:r>
      <w:r w:rsidR="00305ABE">
        <w:rPr>
          <w:bCs/>
        </w:rPr>
        <w:t xml:space="preserve"> une combinaison de ces deux technologies. L’utilisation </w:t>
      </w:r>
      <w:r w:rsidR="005D756B">
        <w:rPr>
          <w:bCs/>
        </w:rPr>
        <w:t>hors cadre réglementaire</w:t>
      </w:r>
      <w:r w:rsidR="00305ABE">
        <w:rPr>
          <w:bCs/>
        </w:rPr>
        <w:t xml:space="preserve"> des fréquences de l’Appendice 18 du Règlement des radiocommunications e</w:t>
      </w:r>
      <w:r w:rsidR="005D756B">
        <w:rPr>
          <w:bCs/>
        </w:rPr>
        <w:t>t du numérotage (Recommandation</w:t>
      </w:r>
      <w:r w:rsidR="00305ABE">
        <w:rPr>
          <w:bCs/>
        </w:rPr>
        <w:t xml:space="preserve"> UIT-R M.585) par ces dispositifs </w:t>
      </w:r>
      <w:r w:rsidR="005D756B">
        <w:rPr>
          <w:bCs/>
        </w:rPr>
        <w:t>de radiocommunications</w:t>
      </w:r>
      <w:r w:rsidR="00305ABE">
        <w:rPr>
          <w:bCs/>
        </w:rPr>
        <w:t xml:space="preserve"> maritimes</w:t>
      </w:r>
      <w:r w:rsidR="000A4AE8">
        <w:rPr>
          <w:bCs/>
        </w:rPr>
        <w:t xml:space="preserve"> a</w:t>
      </w:r>
      <w:r w:rsidR="00305ABE">
        <w:rPr>
          <w:bCs/>
        </w:rPr>
        <w:t xml:space="preserve"> </w:t>
      </w:r>
      <w:r w:rsidR="005D756B">
        <w:rPr>
          <w:bCs/>
        </w:rPr>
        <w:t>entraîné</w:t>
      </w:r>
      <w:r w:rsidR="00305ABE">
        <w:rPr>
          <w:bCs/>
        </w:rPr>
        <w:t xml:space="preserve"> une certaine confusion et a déjà </w:t>
      </w:r>
      <w:r w:rsidR="005D756B">
        <w:rPr>
          <w:bCs/>
        </w:rPr>
        <w:t>été la cause de</w:t>
      </w:r>
      <w:r w:rsidR="00305ABE">
        <w:rPr>
          <w:bCs/>
        </w:rPr>
        <w:t xml:space="preserve"> brouillages dans le service mobile maritime.</w:t>
      </w:r>
    </w:p>
    <w:p w:rsidR="008070B7" w:rsidRPr="00B363B4" w:rsidRDefault="00765B7E" w:rsidP="005D756B">
      <w:pPr>
        <w:pStyle w:val="Headingb"/>
      </w:pPr>
      <w:r>
        <w:lastRenderedPageBreak/>
        <w:tab/>
      </w:r>
      <w:r w:rsidR="000541EA">
        <w:t>P</w:t>
      </w:r>
      <w:r w:rsidR="008070B7" w:rsidRPr="00B363B4">
        <w:t>osition de l</w:t>
      </w:r>
      <w:r w:rsidR="00EB627B">
        <w:t>'</w:t>
      </w:r>
      <w:r w:rsidR="008070B7" w:rsidRPr="00B363B4">
        <w:t>OMI</w:t>
      </w:r>
    </w:p>
    <w:p w:rsidR="00305ABE" w:rsidRDefault="00765B7E" w:rsidP="005D756B">
      <w:pPr>
        <w:rPr>
          <w:bCs/>
        </w:rPr>
      </w:pPr>
      <w:r>
        <w:rPr>
          <w:bCs/>
        </w:rPr>
        <w:tab/>
      </w:r>
      <w:r w:rsidR="00305ABE">
        <w:rPr>
          <w:bCs/>
        </w:rPr>
        <w:t>L’OMI est favorable à l’examen des points de l’ordre du jour concernant :</w:t>
      </w:r>
    </w:p>
    <w:p w:rsidR="00305ABE" w:rsidRDefault="00305ABE" w:rsidP="000A4AE8">
      <w:pPr>
        <w:pStyle w:val="enumlev2"/>
      </w:pPr>
      <w:r>
        <w:t>1)</w:t>
      </w:r>
      <w:r>
        <w:tab/>
        <w:t xml:space="preserve">l’examen du SMDSM et la mise en œuvre de la navigation électronique, compte tenu du calendrier indiqué dans la partie Rappel </w:t>
      </w:r>
      <w:r w:rsidR="005D756B">
        <w:t>ci-dessus</w:t>
      </w:r>
      <w:r>
        <w:t>;</w:t>
      </w:r>
    </w:p>
    <w:p w:rsidR="00305ABE" w:rsidRPr="000A4AE8" w:rsidRDefault="00305ABE" w:rsidP="000A4AE8">
      <w:pPr>
        <w:pStyle w:val="enumlev2"/>
      </w:pPr>
      <w:r w:rsidRPr="000A4AE8">
        <w:t>2)</w:t>
      </w:r>
      <w:r w:rsidRPr="000A4AE8">
        <w:tab/>
        <w:t xml:space="preserve">les </w:t>
      </w:r>
      <w:r w:rsidR="005D756B" w:rsidRPr="000A4AE8">
        <w:t>répercussion</w:t>
      </w:r>
      <w:r w:rsidRPr="000A4AE8">
        <w:t>s</w:t>
      </w:r>
      <w:r w:rsidR="005D756B" w:rsidRPr="000A4AE8">
        <w:t xml:space="preserve"> réglementaires</w:t>
      </w:r>
      <w:r w:rsidRPr="000A4AE8">
        <w:t xml:space="preserve"> de la reconnaissance par l’OMI d’un nouveau prestataire de service</w:t>
      </w:r>
      <w:r w:rsidR="005D756B" w:rsidRPr="000A4AE8">
        <w:t>s</w:t>
      </w:r>
      <w:r w:rsidRPr="000A4AE8">
        <w:t xml:space="preserve"> mobile</w:t>
      </w:r>
      <w:r w:rsidR="005D756B" w:rsidRPr="000A4AE8">
        <w:t>s</w:t>
      </w:r>
      <w:r w:rsidRPr="000A4AE8">
        <w:t xml:space="preserve"> par satellite dans le cadre du SMDSM;</w:t>
      </w:r>
    </w:p>
    <w:p w:rsidR="00305ABE" w:rsidRPr="000A4AE8" w:rsidRDefault="00305ABE" w:rsidP="000A4AE8">
      <w:pPr>
        <w:pStyle w:val="enumlev2"/>
      </w:pPr>
      <w:r w:rsidRPr="000A4AE8">
        <w:t>3)</w:t>
      </w:r>
      <w:r w:rsidRPr="000A4AE8">
        <w:tab/>
        <w:t xml:space="preserve">la protection de l'objectif opérationnel du système AIS </w:t>
      </w:r>
      <w:r w:rsidR="005D756B" w:rsidRPr="000A4AE8">
        <w:t>qui est la</w:t>
      </w:r>
      <w:r w:rsidRPr="000A4AE8">
        <w:t xml:space="preserve"> fonction </w:t>
      </w:r>
      <w:r w:rsidR="005D756B" w:rsidRPr="000A4AE8">
        <w:t>essentielle devant être prise en charge</w:t>
      </w:r>
      <w:r w:rsidRPr="000A4AE8">
        <w:t xml:space="preserve"> sur les voies AIS 1 et AIS 2 existantes et les dispositions réglementaires applicables </w:t>
      </w:r>
      <w:r w:rsidR="005D756B" w:rsidRPr="000A4AE8">
        <w:t>à l'exploitation des</w:t>
      </w:r>
      <w:r w:rsidRPr="000A4AE8">
        <w:t xml:space="preserve"> nouveaux dispositifs utilisant la technologie AIS; et</w:t>
      </w:r>
    </w:p>
    <w:p w:rsidR="008070B7" w:rsidRPr="00C200EA" w:rsidRDefault="00305ABE" w:rsidP="000A4AE8">
      <w:pPr>
        <w:pStyle w:val="enumlev2"/>
      </w:pPr>
      <w:r w:rsidRPr="000A4AE8">
        <w:t>4)</w:t>
      </w:r>
      <w:r w:rsidRPr="000A4AE8">
        <w:tab/>
        <w:t xml:space="preserve">les incidences de l’utilisation </w:t>
      </w:r>
      <w:r w:rsidR="00E51670" w:rsidRPr="000A4AE8">
        <w:t>hors cadre réglementaire</w:t>
      </w:r>
      <w:r w:rsidRPr="000A4AE8">
        <w:t xml:space="preserve"> des fréquences et des</w:t>
      </w:r>
      <w:r w:rsidR="007C6AB5" w:rsidRPr="000A4AE8">
        <w:t xml:space="preserve"> systèmes de numérotage par les dispositifs </w:t>
      </w:r>
      <w:r w:rsidR="00E51670" w:rsidRPr="000A4AE8">
        <w:t>de radiocommunications</w:t>
      </w:r>
      <w:r w:rsidR="007C6AB5" w:rsidRPr="000A4AE8">
        <w:t xml:space="preserve"> maritimes fonctionnant sans autorisation nationale ou connectés de manière non réglementaire aux navires </w:t>
      </w:r>
      <w:r w:rsidR="00E51670" w:rsidRPr="000A4AE8">
        <w:t xml:space="preserve">et </w:t>
      </w:r>
      <w:r w:rsidR="007C6AB5" w:rsidRPr="000A4AE8">
        <w:t>aux stations côtières, afin de garantir la sécurité de la navigation et l’intégrité du SMDSM.</w:t>
      </w:r>
    </w:p>
    <w:p w:rsidR="004F1F8E" w:rsidRPr="00CE6A1C" w:rsidRDefault="008070B7" w:rsidP="005D756B">
      <w:pPr>
        <w:jc w:val="center"/>
      </w:pPr>
      <w:r w:rsidRPr="00C200EA">
        <w:t>______________</w:t>
      </w:r>
    </w:p>
    <w:sectPr w:rsidR="004F1F8E" w:rsidRPr="00CE6A1C" w:rsidSect="000F2971">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7B" w:rsidRDefault="00EB627B">
      <w:r>
        <w:separator/>
      </w:r>
    </w:p>
  </w:endnote>
  <w:endnote w:type="continuationSeparator" w:id="0">
    <w:p w:rsidR="00EB627B" w:rsidRDefault="00EB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7B" w:rsidRPr="000F2971" w:rsidRDefault="00EB627B">
    <w:pPr>
      <w:rPr>
        <w:lang w:val="es-ES_tradnl"/>
      </w:rPr>
    </w:pPr>
    <w:r>
      <w:fldChar w:fldCharType="begin"/>
    </w:r>
    <w:r w:rsidRPr="000F2971">
      <w:rPr>
        <w:lang w:val="es-ES_tradnl"/>
      </w:rPr>
      <w:instrText xml:space="preserve"> FILENAME \p  \* MERGEFORMAT </w:instrText>
    </w:r>
    <w:r>
      <w:fldChar w:fldCharType="separate"/>
    </w:r>
    <w:r w:rsidR="00F2044A">
      <w:rPr>
        <w:noProof/>
        <w:lang w:val="es-ES_tradnl"/>
      </w:rPr>
      <w:t>P:\FRA\ITU-R\CONF-R\CMR15\000\013ADD01F.docx</w:t>
    </w:r>
    <w:r>
      <w:fldChar w:fldCharType="end"/>
    </w:r>
    <w:r w:rsidRPr="000F2971">
      <w:rPr>
        <w:lang w:val="es-ES_tradnl"/>
      </w:rPr>
      <w:tab/>
    </w:r>
    <w:r>
      <w:fldChar w:fldCharType="begin"/>
    </w:r>
    <w:r>
      <w:instrText xml:space="preserve"> SAVEDATE \@ DD.MM.YY </w:instrText>
    </w:r>
    <w:r>
      <w:fldChar w:fldCharType="separate"/>
    </w:r>
    <w:r w:rsidR="00F2044A">
      <w:rPr>
        <w:noProof/>
      </w:rPr>
      <w:t>20.10.15</w:t>
    </w:r>
    <w:r>
      <w:fldChar w:fldCharType="end"/>
    </w:r>
    <w:r w:rsidRPr="000F2971">
      <w:rPr>
        <w:lang w:val="es-ES_tradnl"/>
      </w:rPr>
      <w:tab/>
    </w:r>
    <w:r>
      <w:fldChar w:fldCharType="begin"/>
    </w:r>
    <w:r>
      <w:instrText xml:space="preserve"> PRINTDATE \@ DD.MM.YY </w:instrText>
    </w:r>
    <w:r>
      <w:fldChar w:fldCharType="separate"/>
    </w:r>
    <w:r w:rsidR="00F2044A">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7B" w:rsidRPr="005D756B" w:rsidRDefault="00EB627B" w:rsidP="00072B71">
    <w:pPr>
      <w:pStyle w:val="Footer"/>
      <w:rPr>
        <w:lang w:val="en-US"/>
      </w:rPr>
    </w:pPr>
    <w:r>
      <w:fldChar w:fldCharType="begin"/>
    </w:r>
    <w:r w:rsidRPr="005D756B">
      <w:rPr>
        <w:lang w:val="en-US"/>
      </w:rPr>
      <w:instrText xml:space="preserve"> FILENAME \p  \* MERGEFORMAT </w:instrText>
    </w:r>
    <w:r>
      <w:fldChar w:fldCharType="separate"/>
    </w:r>
    <w:r w:rsidR="00F2044A">
      <w:rPr>
        <w:lang w:val="en-US"/>
      </w:rPr>
      <w:t>P:\FRA\ITU-R\CONF-R\CMR15\000\013ADD01F.docx</w:t>
    </w:r>
    <w:r>
      <w:fldChar w:fldCharType="end"/>
    </w:r>
    <w:r w:rsidRPr="005D756B">
      <w:rPr>
        <w:lang w:val="en-US"/>
      </w:rPr>
      <w:t xml:space="preserve"> (</w:t>
    </w:r>
    <w:r w:rsidR="00072B71" w:rsidRPr="005D756B">
      <w:rPr>
        <w:lang w:val="en-US"/>
      </w:rPr>
      <w:t>388190</w:t>
    </w:r>
    <w:r w:rsidRPr="005D756B">
      <w:rPr>
        <w:lang w:val="en-US"/>
      </w:rPr>
      <w:t>)</w:t>
    </w:r>
    <w:r w:rsidRPr="005D756B">
      <w:rPr>
        <w:lang w:val="en-US"/>
      </w:rPr>
      <w:tab/>
    </w:r>
    <w:r>
      <w:fldChar w:fldCharType="begin"/>
    </w:r>
    <w:r>
      <w:instrText xml:space="preserve"> SAVEDATE \@ DD.MM.YY </w:instrText>
    </w:r>
    <w:r>
      <w:fldChar w:fldCharType="separate"/>
    </w:r>
    <w:r w:rsidR="00F2044A">
      <w:t>20.10.15</w:t>
    </w:r>
    <w:r>
      <w:fldChar w:fldCharType="end"/>
    </w:r>
    <w:r w:rsidRPr="005D756B">
      <w:rPr>
        <w:lang w:val="en-US"/>
      </w:rPr>
      <w:tab/>
    </w:r>
    <w:r>
      <w:fldChar w:fldCharType="begin"/>
    </w:r>
    <w:r>
      <w:instrText xml:space="preserve"> PRINTDATE \@ DD.MM.YY </w:instrText>
    </w:r>
    <w:r>
      <w:fldChar w:fldCharType="separate"/>
    </w:r>
    <w:r w:rsidR="00F2044A">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7B" w:rsidRPr="005D756B" w:rsidRDefault="00EB627B" w:rsidP="00072B71">
    <w:pPr>
      <w:pStyle w:val="Footer"/>
      <w:rPr>
        <w:lang w:val="en-US"/>
      </w:rPr>
    </w:pPr>
    <w:r>
      <w:fldChar w:fldCharType="begin"/>
    </w:r>
    <w:r w:rsidRPr="005D756B">
      <w:rPr>
        <w:lang w:val="en-US"/>
      </w:rPr>
      <w:instrText xml:space="preserve"> FILENAME \p  \* MERGEFORMAT </w:instrText>
    </w:r>
    <w:r>
      <w:fldChar w:fldCharType="separate"/>
    </w:r>
    <w:r w:rsidR="00F2044A">
      <w:rPr>
        <w:lang w:val="en-US"/>
      </w:rPr>
      <w:t>P:\FRA\ITU-R\CONF-R\CMR15\000\013ADD01F.docx</w:t>
    </w:r>
    <w:r>
      <w:fldChar w:fldCharType="end"/>
    </w:r>
    <w:r w:rsidRPr="005D756B">
      <w:rPr>
        <w:lang w:val="en-US"/>
      </w:rPr>
      <w:t xml:space="preserve"> (</w:t>
    </w:r>
    <w:r w:rsidR="00072B71" w:rsidRPr="005D756B">
      <w:rPr>
        <w:lang w:val="en-US"/>
      </w:rPr>
      <w:t>388190</w:t>
    </w:r>
    <w:r w:rsidRPr="005D756B">
      <w:rPr>
        <w:lang w:val="en-US"/>
      </w:rPr>
      <w:t>)</w:t>
    </w:r>
    <w:r w:rsidRPr="005D756B">
      <w:rPr>
        <w:lang w:val="en-US"/>
      </w:rPr>
      <w:tab/>
    </w:r>
    <w:r>
      <w:fldChar w:fldCharType="begin"/>
    </w:r>
    <w:r>
      <w:instrText xml:space="preserve"> SAVEDATE \@ DD.MM.YY </w:instrText>
    </w:r>
    <w:r>
      <w:fldChar w:fldCharType="separate"/>
    </w:r>
    <w:r w:rsidR="00F2044A">
      <w:t>20.10.15</w:t>
    </w:r>
    <w:r>
      <w:fldChar w:fldCharType="end"/>
    </w:r>
    <w:r w:rsidRPr="005D756B">
      <w:rPr>
        <w:lang w:val="en-US"/>
      </w:rPr>
      <w:tab/>
    </w:r>
    <w:r>
      <w:fldChar w:fldCharType="begin"/>
    </w:r>
    <w:r>
      <w:instrText xml:space="preserve"> PRINTDATE \@ DD.MM.YY </w:instrText>
    </w:r>
    <w:r>
      <w:fldChar w:fldCharType="separate"/>
    </w:r>
    <w:r w:rsidR="00F2044A">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7B" w:rsidRDefault="00EB627B">
      <w:r>
        <w:rPr>
          <w:b/>
        </w:rPr>
        <w:t>_______________</w:t>
      </w:r>
    </w:p>
  </w:footnote>
  <w:footnote w:type="continuationSeparator" w:id="0">
    <w:p w:rsidR="00EB627B" w:rsidRDefault="00EB6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7B" w:rsidRDefault="00EB627B" w:rsidP="004F1F8E">
    <w:pPr>
      <w:pStyle w:val="Header"/>
    </w:pPr>
    <w:r>
      <w:fldChar w:fldCharType="begin"/>
    </w:r>
    <w:r>
      <w:instrText xml:space="preserve"> PAGE </w:instrText>
    </w:r>
    <w:r>
      <w:fldChar w:fldCharType="separate"/>
    </w:r>
    <w:r w:rsidR="00F2044A">
      <w:rPr>
        <w:noProof/>
      </w:rPr>
      <w:t>3</w:t>
    </w:r>
    <w:r>
      <w:fldChar w:fldCharType="end"/>
    </w:r>
  </w:p>
  <w:p w:rsidR="00EB627B" w:rsidRDefault="00EB627B" w:rsidP="00CE2C8D">
    <w:pPr>
      <w:pStyle w:val="Header"/>
    </w:pPr>
    <w:r>
      <w:t>CMR15/13</w:t>
    </w:r>
    <w:r w:rsidR="003D6AFE">
      <w:t>(Add.1)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15F6AD9"/>
    <w:multiLevelType w:val="hybridMultilevel"/>
    <w:tmpl w:val="3C501C42"/>
    <w:lvl w:ilvl="0" w:tplc="5BFA0188">
      <w:start w:val="1"/>
      <w:numFmt w:val="decimal"/>
      <w:lvlText w:val="%1"/>
      <w:lvlJc w:val="left"/>
      <w:pPr>
        <w:ind w:left="1407" w:hanging="705"/>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3" w15:restartNumberingAfterBreak="0">
    <w:nsid w:val="76A60CDE"/>
    <w:multiLevelType w:val="hybridMultilevel"/>
    <w:tmpl w:val="E8C8FEA8"/>
    <w:lvl w:ilvl="0" w:tplc="6284F760">
      <w:start w:val="1"/>
      <w:numFmt w:val="decimal"/>
      <w:lvlText w:val="%1."/>
      <w:lvlJc w:val="left"/>
      <w:pPr>
        <w:ind w:left="1062" w:hanging="360"/>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190B611-B411-4DF1-A120-7614AFA92F9A}"/>
    <w:docVar w:name="dgnword-eventsink" w:val="496659344"/>
  </w:docVars>
  <w:rsids>
    <w:rsidRoot w:val="00DC707B"/>
    <w:rsid w:val="00016648"/>
    <w:rsid w:val="0003522F"/>
    <w:rsid w:val="000541EA"/>
    <w:rsid w:val="00072B71"/>
    <w:rsid w:val="00080245"/>
    <w:rsid w:val="00080E2C"/>
    <w:rsid w:val="000A4755"/>
    <w:rsid w:val="000A4AE8"/>
    <w:rsid w:val="000B2E0C"/>
    <w:rsid w:val="000B3D0C"/>
    <w:rsid w:val="000F2971"/>
    <w:rsid w:val="001167B9"/>
    <w:rsid w:val="001267A0"/>
    <w:rsid w:val="00160C64"/>
    <w:rsid w:val="0019352B"/>
    <w:rsid w:val="001960D0"/>
    <w:rsid w:val="00232FD2"/>
    <w:rsid w:val="00243C79"/>
    <w:rsid w:val="002A4622"/>
    <w:rsid w:val="002B17E5"/>
    <w:rsid w:val="002C0EBF"/>
    <w:rsid w:val="002C5FCD"/>
    <w:rsid w:val="00305ABE"/>
    <w:rsid w:val="00315AFE"/>
    <w:rsid w:val="003606A6"/>
    <w:rsid w:val="0036650C"/>
    <w:rsid w:val="003A583E"/>
    <w:rsid w:val="003D6AFE"/>
    <w:rsid w:val="003E112B"/>
    <w:rsid w:val="00466211"/>
    <w:rsid w:val="004D01FC"/>
    <w:rsid w:val="004E28C3"/>
    <w:rsid w:val="004F1F8E"/>
    <w:rsid w:val="00584FF8"/>
    <w:rsid w:val="00586CF2"/>
    <w:rsid w:val="005C3768"/>
    <w:rsid w:val="005C6C3F"/>
    <w:rsid w:val="005D756B"/>
    <w:rsid w:val="00613635"/>
    <w:rsid w:val="0062093D"/>
    <w:rsid w:val="00637ECF"/>
    <w:rsid w:val="00647B59"/>
    <w:rsid w:val="006F2567"/>
    <w:rsid w:val="00701BAE"/>
    <w:rsid w:val="00730E95"/>
    <w:rsid w:val="00765B7E"/>
    <w:rsid w:val="00774362"/>
    <w:rsid w:val="007A04E8"/>
    <w:rsid w:val="007C6AB5"/>
    <w:rsid w:val="008070B7"/>
    <w:rsid w:val="008A3120"/>
    <w:rsid w:val="008C000E"/>
    <w:rsid w:val="008D41BE"/>
    <w:rsid w:val="008D58D3"/>
    <w:rsid w:val="00923064"/>
    <w:rsid w:val="00936D25"/>
    <w:rsid w:val="00941EA5"/>
    <w:rsid w:val="00966C16"/>
    <w:rsid w:val="0098732F"/>
    <w:rsid w:val="009A6EE2"/>
    <w:rsid w:val="009C7E7C"/>
    <w:rsid w:val="00A00473"/>
    <w:rsid w:val="00A03C9B"/>
    <w:rsid w:val="00A606C3"/>
    <w:rsid w:val="00A83B09"/>
    <w:rsid w:val="00A84541"/>
    <w:rsid w:val="00AE36A0"/>
    <w:rsid w:val="00B00294"/>
    <w:rsid w:val="00B113A2"/>
    <w:rsid w:val="00B64FD0"/>
    <w:rsid w:val="00BF26E7"/>
    <w:rsid w:val="00C01C69"/>
    <w:rsid w:val="00C814B9"/>
    <w:rsid w:val="00CD516F"/>
    <w:rsid w:val="00CE2C8D"/>
    <w:rsid w:val="00CE6A1C"/>
    <w:rsid w:val="00D119A7"/>
    <w:rsid w:val="00D25FBA"/>
    <w:rsid w:val="00D66EAC"/>
    <w:rsid w:val="00D730DF"/>
    <w:rsid w:val="00D772F0"/>
    <w:rsid w:val="00D77BDC"/>
    <w:rsid w:val="00DC402B"/>
    <w:rsid w:val="00DC707B"/>
    <w:rsid w:val="00DE0932"/>
    <w:rsid w:val="00E049F1"/>
    <w:rsid w:val="00E37A25"/>
    <w:rsid w:val="00E51670"/>
    <w:rsid w:val="00E70A31"/>
    <w:rsid w:val="00E977A2"/>
    <w:rsid w:val="00EA3F38"/>
    <w:rsid w:val="00EA5AB6"/>
    <w:rsid w:val="00EB627B"/>
    <w:rsid w:val="00EC7615"/>
    <w:rsid w:val="00ED16AA"/>
    <w:rsid w:val="00EE407E"/>
    <w:rsid w:val="00EF662E"/>
    <w:rsid w:val="00F148F1"/>
    <w:rsid w:val="00F2044A"/>
    <w:rsid w:val="00F9722E"/>
    <w:rsid w:val="00FA064C"/>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594DAA1-A93B-4063-96EE-F3B85B24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4_G"/>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E37A25"/>
    <w:pPr>
      <w:keepNext/>
      <w:spacing w:before="240"/>
    </w:pPr>
    <w:rPr>
      <w:rFonts w:hAnsi="Times New Roman Bold"/>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link w:val="Title1Char"/>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link w:val="Title3Char"/>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link w:val="RecNoChar"/>
    <w:rsid w:val="00D25FBA"/>
    <w:pPr>
      <w:keepNext/>
      <w:keepLines/>
      <w:spacing w:before="480"/>
      <w:jc w:val="center"/>
    </w:pPr>
    <w:rPr>
      <w:caps/>
      <w:sz w:val="28"/>
    </w:rPr>
  </w:style>
  <w:style w:type="paragraph" w:customStyle="1" w:styleId="Rectitle">
    <w:name w:val="Rec_title"/>
    <w:basedOn w:val="RecNo"/>
    <w:next w:val="Normal"/>
    <w:link w:val="RectitleChar"/>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Normalaftertitle0">
    <w:name w:val="Normal_after_title"/>
    <w:basedOn w:val="Normal"/>
    <w:next w:val="Normal"/>
    <w:link w:val="NormalaftertitleChar0"/>
    <w:rsid w:val="008070B7"/>
    <w:pPr>
      <w:spacing w:before="360"/>
    </w:pPr>
  </w:style>
  <w:style w:type="paragraph" w:customStyle="1" w:styleId="ASN1">
    <w:name w:val="ASN.1"/>
    <w:basedOn w:val="Normal"/>
    <w:rsid w:val="008070B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Partref">
    <w:name w:val="Part_ref"/>
    <w:basedOn w:val="Annexref"/>
    <w:next w:val="Parttitle"/>
    <w:rsid w:val="008070B7"/>
  </w:style>
  <w:style w:type="paragraph" w:customStyle="1" w:styleId="Recref">
    <w:name w:val="Rec_ref"/>
    <w:basedOn w:val="Rectitle"/>
    <w:next w:val="Recdate"/>
    <w:rsid w:val="008070B7"/>
    <w:pPr>
      <w:spacing w:before="120"/>
    </w:pPr>
    <w:rPr>
      <w:rFonts w:ascii="Times New Roman" w:hAnsi="Times New Roman"/>
      <w:b w:val="0"/>
      <w:sz w:val="24"/>
    </w:rPr>
  </w:style>
  <w:style w:type="paragraph" w:customStyle="1" w:styleId="Questionref">
    <w:name w:val="Question_ref"/>
    <w:basedOn w:val="Recref"/>
    <w:next w:val="Questiondate"/>
    <w:rsid w:val="008070B7"/>
  </w:style>
  <w:style w:type="paragraph" w:customStyle="1" w:styleId="Resref">
    <w:name w:val="Res_ref"/>
    <w:basedOn w:val="Recref"/>
    <w:next w:val="Resdate"/>
    <w:rsid w:val="008070B7"/>
  </w:style>
  <w:style w:type="paragraph" w:customStyle="1" w:styleId="Tableref">
    <w:name w:val="Table_ref"/>
    <w:basedOn w:val="Normal"/>
    <w:next w:val="Tabletitle"/>
    <w:rsid w:val="008070B7"/>
    <w:pPr>
      <w:keepNext/>
      <w:spacing w:before="560"/>
      <w:jc w:val="center"/>
    </w:pPr>
    <w:rPr>
      <w:sz w:val="20"/>
    </w:rPr>
  </w:style>
  <w:style w:type="paragraph" w:customStyle="1" w:styleId="Formal">
    <w:name w:val="Formal"/>
    <w:basedOn w:val="ASN1"/>
    <w:rsid w:val="008070B7"/>
    <w:rPr>
      <w:b w:val="0"/>
    </w:rPr>
  </w:style>
  <w:style w:type="paragraph" w:customStyle="1" w:styleId="FooterQP">
    <w:name w:val="Footer_QP"/>
    <w:basedOn w:val="Normal"/>
    <w:rsid w:val="008070B7"/>
    <w:pPr>
      <w:tabs>
        <w:tab w:val="left" w:pos="907"/>
        <w:tab w:val="right" w:pos="8789"/>
        <w:tab w:val="right" w:pos="9639"/>
      </w:tabs>
      <w:spacing w:before="0"/>
    </w:pPr>
    <w:rPr>
      <w:b/>
      <w:sz w:val="22"/>
    </w:rPr>
  </w:style>
  <w:style w:type="paragraph" w:styleId="BodyText">
    <w:name w:val="Body Text"/>
    <w:basedOn w:val="Normal"/>
    <w:link w:val="BodyTextChar"/>
    <w:rsid w:val="008070B7"/>
    <w:pPr>
      <w:framePr w:hSpace="1701" w:wrap="notBeside" w:vAnchor="page" w:hAnchor="text" w:y="852"/>
      <w:jc w:val="center"/>
    </w:pPr>
    <w:rPr>
      <w:b/>
      <w:smallCaps/>
    </w:rPr>
  </w:style>
  <w:style w:type="character" w:customStyle="1" w:styleId="BodyTextChar">
    <w:name w:val="Body Text Char"/>
    <w:basedOn w:val="DefaultParagraphFont"/>
    <w:link w:val="BodyText"/>
    <w:rsid w:val="008070B7"/>
    <w:rPr>
      <w:rFonts w:ascii="Times New Roman" w:hAnsi="Times New Roman"/>
      <w:b/>
      <w:smallCaps/>
      <w:sz w:val="24"/>
      <w:lang w:val="fr-FR" w:eastAsia="en-US"/>
    </w:rPr>
  </w:style>
  <w:style w:type="paragraph" w:customStyle="1" w:styleId="Char">
    <w:name w:val="Char"/>
    <w:basedOn w:val="Normal"/>
    <w:rsid w:val="008070B7"/>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styleId="BalloonText">
    <w:name w:val="Balloon Text"/>
    <w:basedOn w:val="Normal"/>
    <w:link w:val="BalloonTextChar"/>
    <w:rsid w:val="008070B7"/>
    <w:pPr>
      <w:spacing w:before="0"/>
    </w:pPr>
    <w:rPr>
      <w:rFonts w:ascii="Tahoma" w:hAnsi="Tahoma" w:cs="Tahoma"/>
      <w:sz w:val="16"/>
      <w:szCs w:val="16"/>
    </w:rPr>
  </w:style>
  <w:style w:type="character" w:customStyle="1" w:styleId="BalloonTextChar">
    <w:name w:val="Balloon Text Char"/>
    <w:basedOn w:val="DefaultParagraphFont"/>
    <w:link w:val="BalloonText"/>
    <w:rsid w:val="008070B7"/>
    <w:rPr>
      <w:rFonts w:ascii="Tahoma" w:hAnsi="Tahoma" w:cs="Tahoma"/>
      <w:sz w:val="16"/>
      <w:szCs w:val="16"/>
      <w:lang w:val="fr-FR" w:eastAsia="en-US"/>
    </w:rPr>
  </w:style>
  <w:style w:type="character" w:customStyle="1" w:styleId="NormalaftertitleChar">
    <w:name w:val="Normal after title Char"/>
    <w:basedOn w:val="DefaultParagraphFont"/>
    <w:link w:val="Normalaftertitle"/>
    <w:rsid w:val="008070B7"/>
    <w:rPr>
      <w:rFonts w:ascii="Times New Roman" w:hAnsi="Times New Roman"/>
      <w:sz w:val="24"/>
      <w:lang w:val="fr-FR" w:eastAsia="en-US"/>
    </w:rPr>
  </w:style>
  <w:style w:type="character" w:customStyle="1" w:styleId="Title3Char">
    <w:name w:val="Title 3 Char"/>
    <w:basedOn w:val="DefaultParagraphFont"/>
    <w:link w:val="Title3"/>
    <w:locked/>
    <w:rsid w:val="008070B7"/>
    <w:rPr>
      <w:rFonts w:ascii="Times New Roman" w:hAnsi="Times New Roman"/>
      <w:sz w:val="28"/>
      <w:lang w:val="fr-FR" w:eastAsia="en-US"/>
    </w:rPr>
  </w:style>
  <w:style w:type="character" w:customStyle="1" w:styleId="Title1Char">
    <w:name w:val="Title 1 Char"/>
    <w:basedOn w:val="DefaultParagraphFont"/>
    <w:link w:val="Title1"/>
    <w:locked/>
    <w:rsid w:val="008070B7"/>
    <w:rPr>
      <w:rFonts w:ascii="Times New Roman" w:hAnsi="Times New Roman"/>
      <w:caps/>
      <w:sz w:val="28"/>
      <w:lang w:val="fr-FR" w:eastAsia="en-US"/>
    </w:rPr>
  </w:style>
  <w:style w:type="character" w:customStyle="1" w:styleId="NormalaftertitleChar0">
    <w:name w:val="Normal_after_title Char"/>
    <w:basedOn w:val="DefaultParagraphFont"/>
    <w:link w:val="Normalaftertitle0"/>
    <w:rsid w:val="008070B7"/>
    <w:rPr>
      <w:rFonts w:ascii="Times New Roman" w:hAnsi="Times New Roman"/>
      <w:sz w:val="24"/>
      <w:lang w:val="fr-FR"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locked/>
    <w:rsid w:val="008070B7"/>
    <w:rPr>
      <w:rFonts w:ascii="Times New Roman" w:hAnsi="Times New Roman"/>
      <w:sz w:val="24"/>
      <w:lang w:val="fr-FR" w:eastAsia="en-US"/>
    </w:rPr>
  </w:style>
  <w:style w:type="character" w:customStyle="1" w:styleId="enumlev1Char">
    <w:name w:val="enumlev1 Char"/>
    <w:basedOn w:val="DefaultParagraphFont"/>
    <w:link w:val="enumlev1"/>
    <w:rsid w:val="008070B7"/>
    <w:rPr>
      <w:rFonts w:ascii="Times New Roman" w:hAnsi="Times New Roman"/>
      <w:sz w:val="24"/>
      <w:lang w:val="fr-FR" w:eastAsia="en-US"/>
    </w:rPr>
  </w:style>
  <w:style w:type="paragraph" w:customStyle="1" w:styleId="RecNoBR">
    <w:name w:val="Rec_No_BR"/>
    <w:basedOn w:val="Normal"/>
    <w:next w:val="Rectitle"/>
    <w:rsid w:val="008070B7"/>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href">
    <w:name w:val="href"/>
    <w:basedOn w:val="DefaultParagraphFont"/>
    <w:rsid w:val="008070B7"/>
  </w:style>
  <w:style w:type="character" w:customStyle="1" w:styleId="RectitleChar">
    <w:name w:val="Rec_title Char"/>
    <w:basedOn w:val="DefaultParagraphFont"/>
    <w:link w:val="Rectitle"/>
    <w:rsid w:val="008070B7"/>
    <w:rPr>
      <w:rFonts w:ascii="Times New Roman Bold" w:hAnsi="Times New Roman Bold"/>
      <w:b/>
      <w:sz w:val="28"/>
      <w:lang w:val="fr-FR" w:eastAsia="en-US"/>
    </w:rPr>
  </w:style>
  <w:style w:type="character" w:customStyle="1" w:styleId="ResNoChar">
    <w:name w:val="Res_No Char"/>
    <w:basedOn w:val="DefaultParagraphFont"/>
    <w:link w:val="ResNo"/>
    <w:rsid w:val="008070B7"/>
    <w:rPr>
      <w:rFonts w:ascii="Times New Roman" w:hAnsi="Times New Roman"/>
      <w:caps/>
      <w:sz w:val="28"/>
      <w:lang w:val="fr-FR" w:eastAsia="en-US"/>
    </w:rPr>
  </w:style>
  <w:style w:type="character" w:customStyle="1" w:styleId="RecNoChar">
    <w:name w:val="Rec_No Char"/>
    <w:basedOn w:val="DefaultParagraphFont"/>
    <w:link w:val="RecNo"/>
    <w:rsid w:val="008070B7"/>
    <w:rPr>
      <w:rFonts w:ascii="Times New Roman" w:hAnsi="Times New Roman"/>
      <w:caps/>
      <w:sz w:val="28"/>
      <w:lang w:val="fr-FR" w:eastAsia="en-US"/>
    </w:rPr>
  </w:style>
  <w:style w:type="paragraph" w:customStyle="1" w:styleId="Committee">
    <w:name w:val="Committee"/>
    <w:basedOn w:val="Normal"/>
    <w:qFormat/>
    <w:rsid w:val="008070B7"/>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Volumetitle">
    <w:name w:val="Volume_title"/>
    <w:basedOn w:val="ArtNo"/>
    <w:qFormat/>
    <w:rsid w:val="008070B7"/>
    <w:rPr>
      <w:lang w:val="fr-CH"/>
    </w:rPr>
  </w:style>
  <w:style w:type="paragraph" w:styleId="Revision">
    <w:name w:val="Revision"/>
    <w:hidden/>
    <w:uiPriority w:val="99"/>
    <w:semiHidden/>
    <w:rsid w:val="008070B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F639-45E4-41F7-A8AA-1BBDACF4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PF_WRC15.dotm</Template>
  <TotalTime>18</TotalTime>
  <Pages>1</Pages>
  <Words>801</Words>
  <Characters>4387</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5180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- 2012</dc:subject>
  <dc:creator>Royer, Veronique</dc:creator>
  <cp:keywords/>
  <cp:lastModifiedBy>Jones, Jacqueline</cp:lastModifiedBy>
  <cp:revision>6</cp:revision>
  <cp:lastPrinted>2015-10-20T16:48:00Z</cp:lastPrinted>
  <dcterms:created xsi:type="dcterms:W3CDTF">2015-10-19T07:14:00Z</dcterms:created>
  <dcterms:modified xsi:type="dcterms:W3CDTF">2015-10-20T16:49:00Z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