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60F9F" w:rsidTr="0050008E">
        <w:trPr>
          <w:cantSplit/>
        </w:trPr>
        <w:tc>
          <w:tcPr>
            <w:tcW w:w="6911" w:type="dxa"/>
          </w:tcPr>
          <w:p w:rsidR="00360F9F" w:rsidRPr="00DF23FC" w:rsidRDefault="00360F9F" w:rsidP="00D405F7">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360F9F" w:rsidRDefault="00360F9F" w:rsidP="00360F9F">
            <w:pPr>
              <w:spacing w:before="0" w:line="240" w:lineRule="atLeast"/>
              <w:jc w:val="right"/>
            </w:pPr>
            <w:bookmarkStart w:id="0" w:name="ditulogo"/>
            <w:bookmarkEnd w:id="0"/>
            <w:r>
              <w:rPr>
                <w:noProof/>
                <w:lang w:val="en-GB" w:eastAsia="zh-CN"/>
              </w:rPr>
              <w:drawing>
                <wp:inline distT="0" distB="0" distL="0" distR="0" wp14:anchorId="2CC35EE2" wp14:editId="5E1BE09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60F9F" w:rsidRPr="009538D2" w:rsidTr="00A1779F">
        <w:trPr>
          <w:cantSplit/>
        </w:trPr>
        <w:tc>
          <w:tcPr>
            <w:tcW w:w="10031" w:type="dxa"/>
            <w:gridSpan w:val="2"/>
            <w:tcBorders>
              <w:bottom w:val="single" w:sz="12" w:space="0" w:color="auto"/>
            </w:tcBorders>
          </w:tcPr>
          <w:p w:rsidR="00360F9F" w:rsidRPr="009538D2" w:rsidRDefault="00360F9F" w:rsidP="00360F9F">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360F9F" w:rsidRPr="00C324A8" w:rsidTr="0050008E">
        <w:trPr>
          <w:cantSplit/>
        </w:trPr>
        <w:tc>
          <w:tcPr>
            <w:tcW w:w="6911" w:type="dxa"/>
            <w:tcBorders>
              <w:top w:val="single" w:sz="12" w:space="0" w:color="auto"/>
            </w:tcBorders>
          </w:tcPr>
          <w:p w:rsidR="00360F9F" w:rsidRPr="00C324A8" w:rsidRDefault="00360F9F" w:rsidP="00360F9F">
            <w:pPr>
              <w:spacing w:before="0" w:after="48" w:line="240" w:lineRule="atLeast"/>
              <w:rPr>
                <w:rFonts w:ascii="Verdana" w:hAnsi="Verdana"/>
                <w:b/>
                <w:smallCaps/>
                <w:sz w:val="20"/>
              </w:rPr>
            </w:pPr>
          </w:p>
        </w:tc>
        <w:tc>
          <w:tcPr>
            <w:tcW w:w="3120" w:type="dxa"/>
            <w:tcBorders>
              <w:top w:val="single" w:sz="12" w:space="0" w:color="auto"/>
            </w:tcBorders>
          </w:tcPr>
          <w:p w:rsidR="00360F9F" w:rsidRPr="00C324A8" w:rsidRDefault="00360F9F" w:rsidP="00360F9F">
            <w:pPr>
              <w:spacing w:before="0" w:line="240" w:lineRule="atLeast"/>
              <w:rPr>
                <w:rFonts w:ascii="Verdana" w:hAnsi="Verdana"/>
                <w:sz w:val="20"/>
              </w:rPr>
            </w:pPr>
          </w:p>
        </w:tc>
      </w:tr>
      <w:tr w:rsidR="00360F9F" w:rsidRPr="00C324A8" w:rsidTr="0050008E">
        <w:trPr>
          <w:cantSplit/>
          <w:trHeight w:val="23"/>
        </w:trPr>
        <w:tc>
          <w:tcPr>
            <w:tcW w:w="6911" w:type="dxa"/>
            <w:vMerge w:val="restart"/>
          </w:tcPr>
          <w:p w:rsidR="00360F9F" w:rsidRPr="00360F9F" w:rsidRDefault="00360F9F" w:rsidP="00360F9F">
            <w:pPr>
              <w:tabs>
                <w:tab w:val="left" w:pos="851"/>
              </w:tabs>
              <w:spacing w:before="0" w:line="240" w:lineRule="atLeast"/>
              <w:rPr>
                <w:rFonts w:ascii="Verdana" w:hAnsi="Verdana"/>
                <w:sz w:val="20"/>
              </w:rPr>
            </w:pPr>
            <w:bookmarkStart w:id="2" w:name="dnum" w:colFirst="1" w:colLast="1"/>
            <w:bookmarkStart w:id="3" w:name="dmeeting" w:colFirst="0" w:colLast="0"/>
            <w:bookmarkEnd w:id="1"/>
          </w:p>
        </w:tc>
        <w:tc>
          <w:tcPr>
            <w:tcW w:w="3120" w:type="dxa"/>
          </w:tcPr>
          <w:p w:rsidR="00360F9F" w:rsidRPr="00360F9F" w:rsidRDefault="000058B0" w:rsidP="00360F9F">
            <w:pPr>
              <w:tabs>
                <w:tab w:val="left" w:pos="851"/>
              </w:tabs>
              <w:spacing w:before="0" w:line="240" w:lineRule="atLeast"/>
              <w:rPr>
                <w:rFonts w:ascii="Verdana" w:hAnsi="Verdana"/>
                <w:sz w:val="20"/>
              </w:rPr>
            </w:pPr>
            <w:r>
              <w:rPr>
                <w:rFonts w:ascii="Verdana" w:hAnsi="Verdana"/>
                <w:b/>
                <w:sz w:val="20"/>
              </w:rPr>
              <w:t>Addéndum 1 al</w:t>
            </w:r>
            <w:r>
              <w:rPr>
                <w:rFonts w:ascii="Verdana" w:hAnsi="Verdana"/>
                <w:b/>
                <w:sz w:val="20"/>
              </w:rPr>
              <w:br/>
            </w:r>
            <w:r w:rsidR="00360F9F">
              <w:rPr>
                <w:rFonts w:ascii="Verdana" w:hAnsi="Verdana"/>
                <w:b/>
                <w:sz w:val="20"/>
              </w:rPr>
              <w:t>Documento 13-S</w:t>
            </w:r>
          </w:p>
        </w:tc>
      </w:tr>
      <w:tr w:rsidR="00360F9F" w:rsidRPr="00C324A8" w:rsidTr="0050008E">
        <w:trPr>
          <w:cantSplit/>
          <w:trHeight w:val="23"/>
        </w:trPr>
        <w:tc>
          <w:tcPr>
            <w:tcW w:w="6911" w:type="dxa"/>
            <w:vMerge/>
          </w:tcPr>
          <w:p w:rsidR="00360F9F" w:rsidRPr="00C324A8" w:rsidRDefault="00360F9F"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360F9F" w:rsidRPr="00360F9F" w:rsidRDefault="00360F9F" w:rsidP="00360F9F">
            <w:pPr>
              <w:tabs>
                <w:tab w:val="left" w:pos="993"/>
              </w:tabs>
              <w:spacing w:before="0"/>
              <w:rPr>
                <w:rFonts w:ascii="Verdana" w:hAnsi="Verdana"/>
                <w:sz w:val="20"/>
              </w:rPr>
            </w:pPr>
            <w:r>
              <w:rPr>
                <w:rFonts w:ascii="Verdana" w:hAnsi="Verdana"/>
                <w:b/>
                <w:sz w:val="20"/>
              </w:rPr>
              <w:t>13 de octubre de 2015</w:t>
            </w:r>
          </w:p>
        </w:tc>
      </w:tr>
      <w:tr w:rsidR="00360F9F" w:rsidRPr="00C324A8" w:rsidTr="0050008E">
        <w:trPr>
          <w:cantSplit/>
          <w:trHeight w:val="23"/>
        </w:trPr>
        <w:tc>
          <w:tcPr>
            <w:tcW w:w="6911" w:type="dxa"/>
            <w:vMerge/>
          </w:tcPr>
          <w:p w:rsidR="00360F9F" w:rsidRPr="00C324A8" w:rsidRDefault="00360F9F"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360F9F" w:rsidRPr="00360F9F" w:rsidRDefault="00360F9F" w:rsidP="00360F9F">
            <w:pPr>
              <w:tabs>
                <w:tab w:val="left" w:pos="993"/>
              </w:tabs>
              <w:spacing w:before="0" w:after="120"/>
              <w:rPr>
                <w:rFonts w:ascii="Verdana" w:hAnsi="Verdana"/>
                <w:sz w:val="20"/>
              </w:rPr>
            </w:pPr>
            <w:r>
              <w:rPr>
                <w:rFonts w:ascii="Verdana" w:hAnsi="Verdana"/>
                <w:b/>
                <w:sz w:val="20"/>
              </w:rPr>
              <w:t>Original: inglés</w:t>
            </w:r>
          </w:p>
        </w:tc>
      </w:tr>
      <w:tr w:rsidR="00360F9F" w:rsidTr="0050008E">
        <w:trPr>
          <w:cantSplit/>
        </w:trPr>
        <w:tc>
          <w:tcPr>
            <w:tcW w:w="10031" w:type="dxa"/>
            <w:gridSpan w:val="2"/>
          </w:tcPr>
          <w:p w:rsidR="00360F9F" w:rsidRPr="004F1C45" w:rsidRDefault="00360F9F" w:rsidP="00360F9F">
            <w:pPr>
              <w:pStyle w:val="Source"/>
              <w:rPr>
                <w:lang w:val="es-ES"/>
              </w:rPr>
            </w:pPr>
            <w:bookmarkStart w:id="6" w:name="dsource" w:colFirst="0" w:colLast="0"/>
            <w:bookmarkEnd w:id="5"/>
            <w:r w:rsidRPr="004F1C45">
              <w:rPr>
                <w:lang w:val="es-ES"/>
              </w:rPr>
              <w:t>Nota del Secretario General</w:t>
            </w:r>
          </w:p>
        </w:tc>
      </w:tr>
      <w:tr w:rsidR="00360F9F" w:rsidTr="0050008E">
        <w:trPr>
          <w:cantSplit/>
        </w:trPr>
        <w:tc>
          <w:tcPr>
            <w:tcW w:w="10031" w:type="dxa"/>
            <w:gridSpan w:val="2"/>
          </w:tcPr>
          <w:p w:rsidR="00360F9F" w:rsidRPr="004F1C45" w:rsidRDefault="00360F9F" w:rsidP="00360F9F">
            <w:pPr>
              <w:pStyle w:val="Title1"/>
              <w:rPr>
                <w:lang w:val="es-ES"/>
              </w:rPr>
            </w:pPr>
            <w:bookmarkStart w:id="7" w:name="dtitle1" w:colFirst="0" w:colLast="0"/>
            <w:bookmarkEnd w:id="6"/>
            <w:r w:rsidRPr="004F1C45">
              <w:rPr>
                <w:lang w:val="es-ES"/>
              </w:rPr>
              <w:t>postura de la OMI acerca de los PUNTOS DEL ORDEN DEL DÍA DE LA CMR-15 SOBRE ASUNTOS RELATIVOS A SERVICIOS MARÍTIMOS</w:t>
            </w:r>
          </w:p>
        </w:tc>
      </w:tr>
      <w:tr w:rsidR="00360F9F" w:rsidTr="0050008E">
        <w:trPr>
          <w:cantSplit/>
        </w:trPr>
        <w:tc>
          <w:tcPr>
            <w:tcW w:w="10031" w:type="dxa"/>
            <w:gridSpan w:val="2"/>
          </w:tcPr>
          <w:p w:rsidR="00360F9F" w:rsidRDefault="00360F9F" w:rsidP="00360F9F">
            <w:pPr>
              <w:pStyle w:val="Title3"/>
            </w:pPr>
            <w:bookmarkStart w:id="8" w:name="dtitle3" w:colFirst="0" w:colLast="0"/>
            <w:bookmarkEnd w:id="7"/>
          </w:p>
        </w:tc>
      </w:tr>
    </w:tbl>
    <w:bookmarkEnd w:id="8"/>
    <w:p w:rsidR="00360F9F" w:rsidRPr="00F0741C" w:rsidRDefault="00360F9F" w:rsidP="00360F9F">
      <w:pPr>
        <w:tabs>
          <w:tab w:val="clear" w:pos="1134"/>
          <w:tab w:val="clear" w:pos="1871"/>
          <w:tab w:val="clear" w:pos="2268"/>
          <w:tab w:val="left" w:pos="5705"/>
        </w:tabs>
        <w:rPr>
          <w:lang w:val="es-ES"/>
        </w:rPr>
      </w:pPr>
      <w:r w:rsidRPr="00F0741C">
        <w:rPr>
          <w:lang w:val="es-ES"/>
        </w:rPr>
        <w:t>Tengo el honor de señalar a la atención de la Conferencia, a petición de la Organización Marítima Internacional (OMI), el documento informativo anexo.</w:t>
      </w:r>
    </w:p>
    <w:p w:rsidR="00360F9F" w:rsidRPr="00F0741C" w:rsidRDefault="00360F9F" w:rsidP="00360F9F">
      <w:pPr>
        <w:tabs>
          <w:tab w:val="clear" w:pos="1134"/>
          <w:tab w:val="clear" w:pos="1871"/>
          <w:tab w:val="clear" w:pos="2268"/>
          <w:tab w:val="left" w:pos="3323"/>
        </w:tabs>
        <w:rPr>
          <w:lang w:val="es-ES"/>
        </w:rPr>
      </w:pPr>
    </w:p>
    <w:p w:rsidR="00360F9F" w:rsidRPr="00F0741C" w:rsidRDefault="00360F9F" w:rsidP="00360F9F">
      <w:pPr>
        <w:tabs>
          <w:tab w:val="clear" w:pos="1134"/>
          <w:tab w:val="clear" w:pos="1871"/>
          <w:tab w:val="clear" w:pos="2268"/>
          <w:tab w:val="left" w:pos="5705"/>
        </w:tabs>
        <w:rPr>
          <w:lang w:val="es-ES"/>
        </w:rPr>
      </w:pPr>
    </w:p>
    <w:p w:rsidR="00360F9F" w:rsidRPr="00F0741C" w:rsidRDefault="00360F9F" w:rsidP="00360F9F">
      <w:pPr>
        <w:rPr>
          <w:lang w:val="es-ES"/>
        </w:rPr>
      </w:pPr>
    </w:p>
    <w:p w:rsidR="00360F9F" w:rsidRPr="00F0741C" w:rsidRDefault="00360F9F" w:rsidP="00360F9F">
      <w:pPr>
        <w:rPr>
          <w:lang w:val="es-ES"/>
        </w:rPr>
      </w:pPr>
    </w:p>
    <w:p w:rsidR="00360F9F" w:rsidRPr="00F0741C" w:rsidRDefault="00360F9F" w:rsidP="00360F9F">
      <w:pPr>
        <w:rPr>
          <w:lang w:val="es-ES"/>
        </w:rPr>
      </w:pPr>
    </w:p>
    <w:p w:rsidR="00360F9F" w:rsidRPr="00F0741C" w:rsidRDefault="00360F9F" w:rsidP="00360F9F">
      <w:pPr>
        <w:rPr>
          <w:lang w:val="es-ES"/>
        </w:rPr>
      </w:pPr>
    </w:p>
    <w:p w:rsidR="00360F9F" w:rsidRPr="00F0741C" w:rsidRDefault="00360F9F" w:rsidP="00360F9F">
      <w:pPr>
        <w:rPr>
          <w:lang w:val="es-ES"/>
        </w:rPr>
      </w:pPr>
    </w:p>
    <w:p w:rsidR="00360F9F" w:rsidRPr="00F0741C" w:rsidRDefault="00360F9F" w:rsidP="00360F9F">
      <w:pPr>
        <w:tabs>
          <w:tab w:val="clear" w:pos="1134"/>
          <w:tab w:val="clear" w:pos="1871"/>
          <w:tab w:val="clear" w:pos="2268"/>
          <w:tab w:val="center" w:pos="6663"/>
        </w:tabs>
        <w:rPr>
          <w:lang w:val="es-ES"/>
        </w:rPr>
      </w:pPr>
      <w:r w:rsidRPr="00F0741C">
        <w:rPr>
          <w:lang w:val="es-ES"/>
        </w:rPr>
        <w:tab/>
        <w:t>Houlin</w:t>
      </w:r>
      <w:bookmarkStart w:id="9" w:name="_GoBack"/>
      <w:bookmarkEnd w:id="9"/>
      <w:r w:rsidRPr="00F0741C">
        <w:rPr>
          <w:lang w:val="es-ES"/>
        </w:rPr>
        <w:t xml:space="preserve"> ZHAO</w:t>
      </w:r>
      <w:r w:rsidRPr="00F0741C">
        <w:rPr>
          <w:lang w:val="es-ES"/>
        </w:rPr>
        <w:br/>
      </w:r>
      <w:r w:rsidRPr="00F0741C">
        <w:rPr>
          <w:lang w:val="es-ES"/>
        </w:rPr>
        <w:tab/>
        <w:t>Secretario General</w:t>
      </w:r>
    </w:p>
    <w:p w:rsidR="00360F9F" w:rsidRPr="004F1C45" w:rsidRDefault="00360F9F" w:rsidP="00360F9F">
      <w:pPr>
        <w:rPr>
          <w:lang w:val="es-ES"/>
        </w:rPr>
      </w:pPr>
    </w:p>
    <w:p w:rsidR="00360F9F" w:rsidRPr="004F1C45" w:rsidRDefault="00360F9F" w:rsidP="00360F9F">
      <w:pPr>
        <w:rPr>
          <w:lang w:val="es-ES"/>
        </w:rPr>
      </w:pPr>
    </w:p>
    <w:p w:rsidR="00360F9F" w:rsidRPr="004F1C45" w:rsidRDefault="00360F9F" w:rsidP="00360F9F">
      <w:pPr>
        <w:rPr>
          <w:lang w:val="es-ES"/>
        </w:rPr>
      </w:pPr>
    </w:p>
    <w:p w:rsidR="00360F9F" w:rsidRPr="004F1C45" w:rsidRDefault="00360F9F" w:rsidP="00360F9F">
      <w:pPr>
        <w:tabs>
          <w:tab w:val="clear" w:pos="1134"/>
          <w:tab w:val="clear" w:pos="1871"/>
          <w:tab w:val="clear" w:pos="2268"/>
        </w:tabs>
        <w:overflowPunct/>
        <w:autoSpaceDE/>
        <w:autoSpaceDN/>
        <w:adjustRightInd/>
        <w:spacing w:before="0"/>
        <w:textAlignment w:val="auto"/>
        <w:rPr>
          <w:lang w:val="es-ES"/>
        </w:rPr>
      </w:pPr>
      <w:r w:rsidRPr="004F1C45">
        <w:rPr>
          <w:lang w:val="es-ES"/>
        </w:rPr>
        <w:br w:type="page"/>
      </w:r>
    </w:p>
    <w:p w:rsidR="00360F9F" w:rsidRPr="00F0741C" w:rsidRDefault="00360F9F" w:rsidP="000058B0">
      <w:pPr>
        <w:rPr>
          <w:rFonts w:cs="Arial"/>
          <w:szCs w:val="22"/>
          <w:lang w:val="es-ES"/>
        </w:rPr>
      </w:pPr>
      <w:r w:rsidRPr="00F0741C">
        <w:rPr>
          <w:lang w:val="es-ES"/>
        </w:rPr>
        <w:lastRenderedPageBreak/>
        <w:t xml:space="preserve">El Documento 13 de la CMR-15 </w:t>
      </w:r>
      <w:r w:rsidRPr="004F1C45">
        <w:rPr>
          <w:lang w:val="es-ES"/>
        </w:rPr>
        <w:t>recoge</w:t>
      </w:r>
      <w:r w:rsidRPr="00F0741C">
        <w:rPr>
          <w:lang w:val="es-ES"/>
        </w:rPr>
        <w:t xml:space="preserve"> la postura de la OMI sobre los puntos de orden del día de la CMR-15 </w:t>
      </w:r>
      <w:r w:rsidRPr="004F1C45">
        <w:rPr>
          <w:lang w:val="es-ES"/>
        </w:rPr>
        <w:t xml:space="preserve">relativos </w:t>
      </w:r>
      <w:r w:rsidRPr="00F0741C">
        <w:rPr>
          <w:lang w:val="es-ES"/>
        </w:rPr>
        <w:t>a los servicios marítimos. Tal como se indica en</w:t>
      </w:r>
      <w:r w:rsidR="000058B0">
        <w:rPr>
          <w:lang w:val="es-ES"/>
        </w:rPr>
        <w:t xml:space="preserve"> la página 8 del Documento 13, </w:t>
      </w:r>
      <w:r w:rsidRPr="00F0741C">
        <w:rPr>
          <w:lang w:val="es-ES"/>
        </w:rPr>
        <w:t xml:space="preserve">el </w:t>
      </w:r>
      <w:r w:rsidRPr="004F1C45">
        <w:rPr>
          <w:rFonts w:cs="Arial"/>
          <w:szCs w:val="22"/>
          <w:lang w:val="es-ES"/>
        </w:rPr>
        <w:t>Grupo M</w:t>
      </w:r>
      <w:r w:rsidRPr="00F0741C">
        <w:rPr>
          <w:rFonts w:cs="Arial"/>
          <w:szCs w:val="22"/>
          <w:lang w:val="es-ES"/>
        </w:rPr>
        <w:t xml:space="preserve">ixto de Expertos OMI/UIT sobre </w:t>
      </w:r>
      <w:r w:rsidRPr="004F1C45">
        <w:rPr>
          <w:rFonts w:cs="Arial"/>
          <w:szCs w:val="22"/>
          <w:lang w:val="es-ES"/>
        </w:rPr>
        <w:t xml:space="preserve">asuntos de </w:t>
      </w:r>
      <w:r w:rsidRPr="00F0741C">
        <w:rPr>
          <w:rFonts w:cs="Arial"/>
          <w:szCs w:val="22"/>
          <w:lang w:val="es-ES"/>
        </w:rPr>
        <w:t>radiocomunicaciones marítimas, en su reunión del 5 al 9 de octubre de 2015</w:t>
      </w:r>
      <w:r w:rsidRPr="004F1C45">
        <w:rPr>
          <w:rFonts w:cs="Arial"/>
          <w:szCs w:val="22"/>
          <w:lang w:val="es-ES"/>
        </w:rPr>
        <w:t xml:space="preserve"> </w:t>
      </w:r>
      <w:r w:rsidRPr="00F0741C">
        <w:rPr>
          <w:rFonts w:cs="Arial"/>
          <w:szCs w:val="22"/>
          <w:lang w:val="es-ES"/>
        </w:rPr>
        <w:t>consideró los asuntos relacio</w:t>
      </w:r>
      <w:r w:rsidRPr="004F1C45">
        <w:rPr>
          <w:rFonts w:cs="Arial"/>
          <w:szCs w:val="22"/>
          <w:lang w:val="es-ES"/>
        </w:rPr>
        <w:t>n</w:t>
      </w:r>
      <w:r w:rsidRPr="00F0741C">
        <w:rPr>
          <w:rFonts w:cs="Arial"/>
          <w:szCs w:val="22"/>
          <w:lang w:val="es-ES"/>
        </w:rPr>
        <w:t xml:space="preserve">ados con el punto 10 del orden del día de la CMR-15. </w:t>
      </w:r>
      <w:r w:rsidRPr="004F1C45">
        <w:rPr>
          <w:rFonts w:cs="Arial"/>
          <w:szCs w:val="22"/>
          <w:lang w:val="es-ES"/>
        </w:rPr>
        <w:t>En</w:t>
      </w:r>
      <w:r w:rsidRPr="00F0741C">
        <w:rPr>
          <w:rFonts w:cs="Arial"/>
          <w:szCs w:val="22"/>
          <w:lang w:val="es-ES"/>
        </w:rPr>
        <w:t xml:space="preserve"> consecuencia</w:t>
      </w:r>
      <w:r w:rsidRPr="004F1C45">
        <w:rPr>
          <w:rFonts w:cs="Arial"/>
          <w:szCs w:val="22"/>
          <w:lang w:val="es-ES"/>
        </w:rPr>
        <w:t>, la OMI informa</w:t>
      </w:r>
      <w:r w:rsidRPr="00F0741C">
        <w:rPr>
          <w:rFonts w:cs="Arial"/>
          <w:szCs w:val="22"/>
          <w:lang w:val="es-ES"/>
        </w:rPr>
        <w:t xml:space="preserve"> a la Conferencia que en relación con el Documento 13 de la CMR-15, la información relativa al punto 10 del orden del día debe sustituirse por el texto siguiente.</w:t>
      </w:r>
    </w:p>
    <w:p w:rsidR="00360F9F" w:rsidRPr="00F0741C" w:rsidRDefault="00360F9F" w:rsidP="003E54EB">
      <w:pPr>
        <w:pStyle w:val="Headingb"/>
        <w:rPr>
          <w:lang w:val="es-ES"/>
        </w:rPr>
      </w:pPr>
      <w:r w:rsidRPr="00F0741C">
        <w:rPr>
          <w:lang w:val="es-ES"/>
        </w:rPr>
        <w:t>Punto 10 del orden del día</w:t>
      </w:r>
    </w:p>
    <w:p w:rsidR="00360F9F" w:rsidRPr="00F0741C" w:rsidRDefault="00360F9F" w:rsidP="00360F9F">
      <w:pPr>
        <w:rPr>
          <w:color w:val="000000"/>
          <w:lang w:val="es-ES"/>
        </w:rPr>
      </w:pPr>
      <w:r w:rsidRPr="00F0741C">
        <w:rPr>
          <w:lang w:val="es-ES"/>
        </w:rPr>
        <w:t>10</w:t>
      </w:r>
      <w:r w:rsidRPr="00F0741C">
        <w:rPr>
          <w:b/>
          <w:color w:val="000000"/>
          <w:lang w:val="es-ES"/>
        </w:rPr>
        <w:tab/>
      </w:r>
      <w:r w:rsidRPr="00F0741C">
        <w:rPr>
          <w:lang w:val="es-ES"/>
        </w:rPr>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r w:rsidRPr="00F0741C">
        <w:rPr>
          <w:color w:val="000000"/>
          <w:lang w:val="es-ES"/>
        </w:rPr>
        <w:t>;</w:t>
      </w:r>
    </w:p>
    <w:p w:rsidR="00360F9F" w:rsidRPr="00F0741C" w:rsidRDefault="00360F9F" w:rsidP="003E54EB">
      <w:pPr>
        <w:pStyle w:val="Headingb"/>
        <w:rPr>
          <w:lang w:val="es-ES"/>
        </w:rPr>
      </w:pPr>
      <w:r w:rsidRPr="00F0741C">
        <w:rPr>
          <w:szCs w:val="24"/>
          <w:lang w:val="es-ES"/>
        </w:rPr>
        <w:tab/>
      </w:r>
      <w:r w:rsidR="003E54EB">
        <w:rPr>
          <w:lang w:val="es-ES"/>
        </w:rPr>
        <w:t>Antecedentes</w:t>
      </w:r>
    </w:p>
    <w:p w:rsidR="00360F9F" w:rsidRPr="00F0741C" w:rsidRDefault="00360F9F" w:rsidP="003E54EB">
      <w:pPr>
        <w:pStyle w:val="enumlev2"/>
        <w:tabs>
          <w:tab w:val="clear" w:pos="1871"/>
        </w:tabs>
        <w:ind w:left="1134"/>
        <w:rPr>
          <w:lang w:val="es-ES"/>
        </w:rPr>
      </w:pPr>
      <w:r w:rsidRPr="00F0741C">
        <w:rPr>
          <w:lang w:val="es-ES"/>
        </w:rPr>
        <w:tab/>
        <w:t xml:space="preserve">La Resolución </w:t>
      </w:r>
      <w:r w:rsidRPr="00F0741C">
        <w:rPr>
          <w:b/>
          <w:bCs/>
          <w:lang w:val="es-ES"/>
        </w:rPr>
        <w:t>808 (CMR-12)</w:t>
      </w:r>
      <w:r w:rsidRPr="00F0741C">
        <w:rPr>
          <w:lang w:val="es-ES"/>
        </w:rPr>
        <w:t>, en la que figura el orden del día preliminar de la CMR</w:t>
      </w:r>
      <w:r w:rsidRPr="00F0741C">
        <w:rPr>
          <w:lang w:val="es-ES"/>
        </w:rPr>
        <w:noBreakHyphen/>
        <w:t>18, incorpora, como punto 2.1 que ha de incluirse en el orden del día para dicha conferencia el examen de las medidas reglamentarias, incluidas las atribuciones de espectro, para respaldar la modernización del SMSSM y la aplicación de la navegación electrónica, de conformidad con la Resolución </w:t>
      </w:r>
      <w:r w:rsidRPr="00F0741C">
        <w:rPr>
          <w:b/>
          <w:bCs/>
          <w:lang w:val="es-ES"/>
        </w:rPr>
        <w:t>359 (CMR-12)</w:t>
      </w:r>
      <w:r w:rsidRPr="00F0741C">
        <w:rPr>
          <w:lang w:val="es-ES"/>
        </w:rPr>
        <w:t>.</w:t>
      </w:r>
    </w:p>
    <w:p w:rsidR="00360F9F" w:rsidRPr="00F0741C" w:rsidRDefault="00360F9F" w:rsidP="003E54EB">
      <w:pPr>
        <w:pStyle w:val="enumlev2"/>
        <w:ind w:left="1134"/>
        <w:rPr>
          <w:lang w:val="es-ES"/>
        </w:rPr>
      </w:pPr>
      <w:r w:rsidRPr="00F0741C">
        <w:rPr>
          <w:lang w:val="es-ES"/>
        </w:rPr>
        <w:tab/>
        <w:t xml:space="preserve">Debido a la complejidad de los trabajos relativos al examen del SMSSM, la OMI tiene previsto terminar el plan de modernización del SMSSM en 2018. Se espera que la primera etapa sobre los futuros trabajos, que consistirá en la implantación de la navegación electrónica, se produzca en el periodo de 2016 a 2019. </w:t>
      </w:r>
    </w:p>
    <w:p w:rsidR="00360F9F" w:rsidRPr="00F0741C" w:rsidRDefault="00360F9F" w:rsidP="003E54EB">
      <w:pPr>
        <w:pStyle w:val="enumlev2"/>
        <w:ind w:left="1134"/>
        <w:rPr>
          <w:lang w:val="es-ES"/>
        </w:rPr>
      </w:pPr>
      <w:r w:rsidRPr="00F0741C">
        <w:rPr>
          <w:lang w:val="es-ES"/>
        </w:rPr>
        <w:tab/>
        <w:t xml:space="preserve">Si bien no está directamente relacionado con la modernización del SMSSM, la OMI ha recibido una solicitud para </w:t>
      </w:r>
      <w:r w:rsidRPr="004F1C45">
        <w:rPr>
          <w:lang w:val="es-ES"/>
        </w:rPr>
        <w:t>incorporar</w:t>
      </w:r>
      <w:r w:rsidRPr="00F0741C">
        <w:rPr>
          <w:lang w:val="es-ES"/>
        </w:rPr>
        <w:t xml:space="preserve"> un nuevo proveedor de servicios de satélite </w:t>
      </w:r>
      <w:r w:rsidRPr="004F1C45">
        <w:rPr>
          <w:lang w:val="es-ES"/>
        </w:rPr>
        <w:t>d</w:t>
      </w:r>
      <w:r w:rsidRPr="00F0741C">
        <w:rPr>
          <w:lang w:val="es-ES"/>
        </w:rPr>
        <w:t xml:space="preserve">el SMSSM. Si se reconoce un nuevo proveedor de servicios de satélite </w:t>
      </w:r>
      <w:r w:rsidRPr="004F1C45">
        <w:rPr>
          <w:lang w:val="es-ES"/>
        </w:rPr>
        <w:t>en el</w:t>
      </w:r>
      <w:r w:rsidRPr="00F0741C">
        <w:rPr>
          <w:lang w:val="es-ES"/>
        </w:rPr>
        <w:t xml:space="preserve"> SMSSM, la UIT habrá de considerar las medidas reglamentarias consiguientes. </w:t>
      </w:r>
    </w:p>
    <w:p w:rsidR="00360F9F" w:rsidRPr="00F0741C" w:rsidRDefault="00360F9F" w:rsidP="003E54EB">
      <w:pPr>
        <w:pStyle w:val="enumlev2"/>
        <w:ind w:left="1134"/>
        <w:rPr>
          <w:lang w:val="es-ES"/>
        </w:rPr>
      </w:pPr>
      <w:r w:rsidRPr="00F0741C">
        <w:rPr>
          <w:lang w:val="es-ES"/>
        </w:rPr>
        <w:tab/>
        <w:t xml:space="preserve">La OMI reconoce </w:t>
      </w:r>
      <w:r w:rsidRPr="004F1C45">
        <w:rPr>
          <w:lang w:val="es-ES"/>
        </w:rPr>
        <w:t xml:space="preserve">que existen </w:t>
      </w:r>
      <w:r w:rsidRPr="00F0741C">
        <w:rPr>
          <w:lang w:val="es-ES"/>
        </w:rPr>
        <w:t>en el mercado dispositivos que utilizan tecnologías del tipo AIS para la seguridad marítima, cuyo número es previsible que aumente en el futuro. Es necesario reconocer además que la mayoría de los nuevos dispositivos que utilizan la tecnología AIS funcionan en los canales AIS 1 y AIS 2 y que, en cierta medida, ocupan</w:t>
      </w:r>
      <w:r w:rsidRPr="004F1C45">
        <w:rPr>
          <w:lang w:val="es-ES"/>
        </w:rPr>
        <w:t xml:space="preserve"> los</w:t>
      </w:r>
      <w:r w:rsidRPr="00F0741C">
        <w:rPr>
          <w:lang w:val="es-ES"/>
        </w:rPr>
        <w:t xml:space="preserve"> recursos </w:t>
      </w:r>
      <w:r w:rsidRPr="004F1C45">
        <w:rPr>
          <w:lang w:val="es-ES"/>
        </w:rPr>
        <w:t xml:space="preserve">correspondientes a </w:t>
      </w:r>
      <w:r w:rsidRPr="00F0741C">
        <w:rPr>
          <w:lang w:val="es-ES"/>
        </w:rPr>
        <w:t>identidades del servicio móvil marítimo (MMSI) para estaciones de barco o ay</w:t>
      </w:r>
      <w:r w:rsidR="003E54EB">
        <w:rPr>
          <w:lang w:val="es-ES"/>
        </w:rPr>
        <w:t>udas a la navegación.</w:t>
      </w:r>
    </w:p>
    <w:p w:rsidR="00360F9F" w:rsidRPr="00F0741C" w:rsidRDefault="00360F9F" w:rsidP="003E54EB">
      <w:pPr>
        <w:pStyle w:val="enumlev2"/>
        <w:ind w:left="1134"/>
        <w:rPr>
          <w:lang w:val="es-ES"/>
        </w:rPr>
      </w:pPr>
      <w:r w:rsidRPr="00F0741C">
        <w:rPr>
          <w:lang w:val="es-ES"/>
        </w:rPr>
        <w:tab/>
        <w:t>El propósito del AIS es identificar buques, ayudar en el seguimiento de objetivos, ayudar en las operaciones de búsqueda y salvamente, simplificar el intercambio de información y proporcionar datos adicionales de soporte a la infor</w:t>
      </w:r>
      <w:r w:rsidR="003E54EB">
        <w:rPr>
          <w:lang w:val="es-ES"/>
        </w:rPr>
        <w:t>mación de situación.</w:t>
      </w:r>
    </w:p>
    <w:p w:rsidR="00360F9F" w:rsidRPr="00F0741C" w:rsidRDefault="00360F9F" w:rsidP="003E54EB">
      <w:pPr>
        <w:pStyle w:val="enumlev2"/>
        <w:ind w:left="1134"/>
        <w:rPr>
          <w:lang w:val="es-ES"/>
        </w:rPr>
      </w:pPr>
      <w:r w:rsidRPr="00F0741C">
        <w:rPr>
          <w:lang w:val="es-ES"/>
        </w:rPr>
        <w:tab/>
        <w:t xml:space="preserve">La OMI reconoce asimismo que los dispositivos radioeléctricos marítimos que operan sin autorización nacional o </w:t>
      </w:r>
      <w:r w:rsidRPr="004F1C45">
        <w:rPr>
          <w:lang w:val="es-ES"/>
        </w:rPr>
        <w:t xml:space="preserve">con </w:t>
      </w:r>
      <w:r w:rsidRPr="00F0741C">
        <w:rPr>
          <w:lang w:val="es-ES"/>
        </w:rPr>
        <w:t>una conexión reglamentaria con buques o estaciones costeras, además de operar con la tecnología AIS, también</w:t>
      </w:r>
      <w:r w:rsidRPr="004F1C45">
        <w:rPr>
          <w:lang w:val="es-ES"/>
        </w:rPr>
        <w:t xml:space="preserve"> utilizan la tecnología DSC o </w:t>
      </w:r>
      <w:r w:rsidRPr="00F0741C">
        <w:rPr>
          <w:lang w:val="es-ES"/>
        </w:rPr>
        <w:t>transmi</w:t>
      </w:r>
      <w:r w:rsidRPr="004F1C45">
        <w:rPr>
          <w:lang w:val="es-ES"/>
        </w:rPr>
        <w:t xml:space="preserve">ten </w:t>
      </w:r>
      <w:r w:rsidRPr="00F0741C">
        <w:rPr>
          <w:lang w:val="es-ES"/>
        </w:rPr>
        <w:t xml:space="preserve">mensajes de voz sintetizada, o una </w:t>
      </w:r>
      <w:r w:rsidRPr="004F1C45">
        <w:rPr>
          <w:lang w:val="es-ES"/>
        </w:rPr>
        <w:t>combinación</w:t>
      </w:r>
      <w:r w:rsidRPr="00F0741C">
        <w:rPr>
          <w:lang w:val="es-ES"/>
        </w:rPr>
        <w:t xml:space="preserve"> de dichas tecnologías. La utilización no reglamentada de frecuencias del Apéndice 18 del Reglamento de </w:t>
      </w:r>
      <w:r w:rsidRPr="004F1C45">
        <w:rPr>
          <w:lang w:val="es-ES"/>
        </w:rPr>
        <w:t>Radiocomunicaciones</w:t>
      </w:r>
      <w:r w:rsidRPr="00F0741C">
        <w:rPr>
          <w:lang w:val="es-ES"/>
        </w:rPr>
        <w:t xml:space="preserve"> y de numeración (Recomendación UIT-R M.585) </w:t>
      </w:r>
      <w:r w:rsidRPr="004F1C45">
        <w:rPr>
          <w:lang w:val="es-ES"/>
        </w:rPr>
        <w:t>por parte de</w:t>
      </w:r>
      <w:r w:rsidRPr="00F0741C">
        <w:rPr>
          <w:lang w:val="es-ES"/>
        </w:rPr>
        <w:t xml:space="preserve"> dichos dispositivos radioeléctricos marítimos, ha generado confusión y causado interferencias en el servicio móvi</w:t>
      </w:r>
      <w:r w:rsidRPr="004F1C45">
        <w:rPr>
          <w:lang w:val="es-ES"/>
        </w:rPr>
        <w:t>l</w:t>
      </w:r>
      <w:r w:rsidRPr="00F0741C">
        <w:rPr>
          <w:lang w:val="es-ES"/>
        </w:rPr>
        <w:t xml:space="preserve"> marítimo.</w:t>
      </w:r>
    </w:p>
    <w:p w:rsidR="00360F9F" w:rsidRPr="00F0741C" w:rsidRDefault="00360F9F" w:rsidP="000058B0">
      <w:pPr>
        <w:keepNext/>
        <w:keepLines/>
        <w:spacing w:before="160"/>
        <w:rPr>
          <w:b/>
          <w:szCs w:val="24"/>
          <w:lang w:val="es-ES"/>
        </w:rPr>
      </w:pPr>
      <w:r w:rsidRPr="00F0741C">
        <w:rPr>
          <w:b/>
          <w:szCs w:val="24"/>
          <w:lang w:val="es-ES"/>
        </w:rPr>
        <w:lastRenderedPageBreak/>
        <w:tab/>
        <w:t>Postura de la OMI</w:t>
      </w:r>
    </w:p>
    <w:p w:rsidR="00360F9F" w:rsidRPr="00F0741C" w:rsidRDefault="00360F9F" w:rsidP="000058B0">
      <w:pPr>
        <w:keepNext/>
        <w:keepLines/>
        <w:ind w:left="1134"/>
        <w:rPr>
          <w:szCs w:val="24"/>
          <w:lang w:val="es-ES"/>
        </w:rPr>
      </w:pPr>
      <w:r w:rsidRPr="00F0741C">
        <w:rPr>
          <w:szCs w:val="24"/>
          <w:lang w:val="es-ES"/>
        </w:rPr>
        <w:t>La OMI apoya que se considere</w:t>
      </w:r>
      <w:r w:rsidRPr="004F1C45">
        <w:rPr>
          <w:szCs w:val="24"/>
          <w:lang w:val="es-ES"/>
        </w:rPr>
        <w:t>n e</w:t>
      </w:r>
      <w:r w:rsidRPr="00F0741C">
        <w:rPr>
          <w:szCs w:val="24"/>
          <w:lang w:val="es-ES"/>
        </w:rPr>
        <w:t>n el orden del día puntos relacionados con:</w:t>
      </w:r>
    </w:p>
    <w:p w:rsidR="00360F9F" w:rsidRPr="00F0741C" w:rsidRDefault="00360F9F" w:rsidP="00BA51C8">
      <w:pPr>
        <w:pStyle w:val="enumlev2"/>
        <w:rPr>
          <w:szCs w:val="24"/>
          <w:lang w:val="es-ES"/>
        </w:rPr>
      </w:pPr>
      <w:r w:rsidRPr="00F0741C">
        <w:rPr>
          <w:szCs w:val="24"/>
          <w:lang w:val="es-ES"/>
        </w:rPr>
        <w:t>1)</w:t>
      </w:r>
      <w:r w:rsidRPr="00F0741C">
        <w:rPr>
          <w:szCs w:val="24"/>
          <w:lang w:val="es-ES"/>
        </w:rPr>
        <w:tab/>
        <w:t xml:space="preserve">el </w:t>
      </w:r>
      <w:r w:rsidRPr="00F0741C">
        <w:rPr>
          <w:lang w:val="es-ES"/>
        </w:rPr>
        <w:t xml:space="preserve">examen del SMSSM y la </w:t>
      </w:r>
      <w:r w:rsidRPr="004F1C45">
        <w:rPr>
          <w:lang w:val="es-ES"/>
        </w:rPr>
        <w:t>implementación</w:t>
      </w:r>
      <w:r w:rsidRPr="00F0741C">
        <w:rPr>
          <w:lang w:val="es-ES"/>
        </w:rPr>
        <w:t xml:space="preserve"> de la navegación electrónica, teniendo en cuenta </w:t>
      </w:r>
      <w:r w:rsidRPr="004F1C45">
        <w:rPr>
          <w:lang w:val="es-ES"/>
        </w:rPr>
        <w:t>los plazos</w:t>
      </w:r>
      <w:r w:rsidRPr="00F0741C">
        <w:rPr>
          <w:lang w:val="es-ES"/>
        </w:rPr>
        <w:t xml:space="preserve"> indicad</w:t>
      </w:r>
      <w:r w:rsidRPr="004F1C45">
        <w:rPr>
          <w:lang w:val="es-ES"/>
        </w:rPr>
        <w:t>o</w:t>
      </w:r>
      <w:r w:rsidRPr="00F0741C">
        <w:rPr>
          <w:lang w:val="es-ES"/>
        </w:rPr>
        <w:t>s en el apartado de antecedentes;</w:t>
      </w:r>
    </w:p>
    <w:p w:rsidR="00360F9F" w:rsidRPr="00F0741C" w:rsidRDefault="00360F9F" w:rsidP="00BA51C8">
      <w:pPr>
        <w:pStyle w:val="enumlev2"/>
        <w:rPr>
          <w:rFonts w:eastAsia="Calibri"/>
          <w:szCs w:val="24"/>
          <w:lang w:val="es-ES"/>
        </w:rPr>
      </w:pPr>
      <w:r w:rsidRPr="00F0741C">
        <w:rPr>
          <w:rFonts w:eastAsia="Calibri"/>
          <w:szCs w:val="24"/>
          <w:lang w:val="es-ES"/>
        </w:rPr>
        <w:t>2)</w:t>
      </w:r>
      <w:r w:rsidRPr="00F0741C">
        <w:rPr>
          <w:rFonts w:eastAsia="Calibri"/>
          <w:szCs w:val="24"/>
          <w:lang w:val="es-ES"/>
        </w:rPr>
        <w:tab/>
        <w:t>las consecuencias reglamentarias del reconocimiento de un nuevo proveedor de servicio móvil por satélite en el SMSSM por la OMI;</w:t>
      </w:r>
    </w:p>
    <w:p w:rsidR="00360F9F" w:rsidRPr="00F0741C" w:rsidRDefault="00360F9F" w:rsidP="00BA51C8">
      <w:pPr>
        <w:pStyle w:val="enumlev2"/>
        <w:rPr>
          <w:szCs w:val="24"/>
          <w:lang w:val="es-ES"/>
        </w:rPr>
      </w:pPr>
      <w:r w:rsidRPr="00F0741C">
        <w:rPr>
          <w:szCs w:val="24"/>
          <w:lang w:val="es-ES"/>
        </w:rPr>
        <w:t>3)</w:t>
      </w:r>
      <w:r w:rsidRPr="00F0741C">
        <w:rPr>
          <w:szCs w:val="24"/>
          <w:lang w:val="es-ES"/>
        </w:rPr>
        <w:tab/>
        <w:t xml:space="preserve">la protección del propósito operacional del AIS como </w:t>
      </w:r>
      <w:r w:rsidRPr="004F1C45">
        <w:rPr>
          <w:szCs w:val="24"/>
          <w:lang w:val="es-ES"/>
        </w:rPr>
        <w:t xml:space="preserve">la </w:t>
      </w:r>
      <w:r w:rsidRPr="00F0741C">
        <w:rPr>
          <w:szCs w:val="24"/>
          <w:lang w:val="es-ES"/>
        </w:rPr>
        <w:t xml:space="preserve">función </w:t>
      </w:r>
      <w:r w:rsidRPr="004F1C45">
        <w:rPr>
          <w:szCs w:val="24"/>
          <w:lang w:val="es-ES"/>
        </w:rPr>
        <w:t>primaria</w:t>
      </w:r>
      <w:r w:rsidRPr="00F0741C">
        <w:rPr>
          <w:szCs w:val="24"/>
          <w:lang w:val="es-ES"/>
        </w:rPr>
        <w:t xml:space="preserve"> en los canales </w:t>
      </w:r>
      <w:r w:rsidRPr="004F1C45">
        <w:rPr>
          <w:szCs w:val="24"/>
          <w:lang w:val="es-ES"/>
        </w:rPr>
        <w:t xml:space="preserve">existentes </w:t>
      </w:r>
      <w:r w:rsidRPr="00F0741C">
        <w:rPr>
          <w:szCs w:val="24"/>
          <w:lang w:val="es-ES"/>
        </w:rPr>
        <w:t xml:space="preserve">AIS 1 y AIS 2, y las disposiciones </w:t>
      </w:r>
      <w:r w:rsidRPr="004F1C45">
        <w:rPr>
          <w:szCs w:val="24"/>
          <w:lang w:val="es-ES"/>
        </w:rPr>
        <w:t>reglamentarias</w:t>
      </w:r>
      <w:r w:rsidRPr="00F0741C">
        <w:rPr>
          <w:szCs w:val="24"/>
          <w:lang w:val="es-ES"/>
        </w:rPr>
        <w:t xml:space="preserve"> para soportar nuevos dispositivos que utilizan la tecnología AIS; y </w:t>
      </w:r>
    </w:p>
    <w:p w:rsidR="00360F9F" w:rsidRPr="00F0741C" w:rsidRDefault="00360F9F" w:rsidP="00BA51C8">
      <w:pPr>
        <w:pStyle w:val="enumlev2"/>
        <w:rPr>
          <w:rFonts w:eastAsia="SimSun"/>
          <w:szCs w:val="24"/>
          <w:lang w:val="es-ES" w:eastAsia="zh-CN"/>
        </w:rPr>
      </w:pPr>
      <w:r w:rsidRPr="00F0741C">
        <w:rPr>
          <w:rFonts w:eastAsia="SimSun"/>
          <w:szCs w:val="24"/>
          <w:lang w:val="es-ES" w:eastAsia="zh-CN"/>
        </w:rPr>
        <w:t>4)</w:t>
      </w:r>
      <w:r w:rsidRPr="00F0741C">
        <w:rPr>
          <w:rFonts w:eastAsia="SimSun"/>
          <w:szCs w:val="24"/>
          <w:lang w:val="es-ES" w:eastAsia="zh-CN"/>
        </w:rPr>
        <w:tab/>
        <w:t>los efectos de la utilizac</w:t>
      </w:r>
      <w:r w:rsidRPr="004F1C45">
        <w:rPr>
          <w:rFonts w:eastAsia="SimSun"/>
          <w:szCs w:val="24"/>
          <w:lang w:val="es-ES" w:eastAsia="zh-CN"/>
        </w:rPr>
        <w:t>ión no reglamentada de frecuenci</w:t>
      </w:r>
      <w:r w:rsidRPr="00F0741C">
        <w:rPr>
          <w:rFonts w:eastAsia="SimSun"/>
          <w:szCs w:val="24"/>
          <w:lang w:val="es-ES" w:eastAsia="zh-CN"/>
        </w:rPr>
        <w:t xml:space="preserve">as y de esquemas de </w:t>
      </w:r>
      <w:r w:rsidRPr="004F1C45">
        <w:rPr>
          <w:rFonts w:eastAsia="SimSun"/>
          <w:szCs w:val="24"/>
          <w:lang w:val="es-ES" w:eastAsia="zh-CN"/>
        </w:rPr>
        <w:t>numeración</w:t>
      </w:r>
      <w:r w:rsidRPr="00F0741C">
        <w:rPr>
          <w:rFonts w:eastAsia="SimSun"/>
          <w:szCs w:val="24"/>
          <w:lang w:val="es-ES" w:eastAsia="zh-CN"/>
        </w:rPr>
        <w:t xml:space="preserve"> en </w:t>
      </w:r>
      <w:r w:rsidRPr="004F1C45">
        <w:rPr>
          <w:rFonts w:eastAsia="SimSun"/>
          <w:szCs w:val="24"/>
          <w:lang w:val="es-ES" w:eastAsia="zh-CN"/>
        </w:rPr>
        <w:t>dispositivos</w:t>
      </w:r>
      <w:r w:rsidRPr="00F0741C">
        <w:rPr>
          <w:rFonts w:eastAsia="SimSun"/>
          <w:szCs w:val="24"/>
          <w:lang w:val="es-ES" w:eastAsia="zh-CN"/>
        </w:rPr>
        <w:t xml:space="preserve"> de radiocomunicaciones marítimas, que funcionan sin autorización nacional o reglamentaria, con buques o estaciones costeras a fin de garantizar la seguridad de la navegación y la integridad del SMSSM.</w:t>
      </w:r>
    </w:p>
    <w:p w:rsidR="001F6EC5" w:rsidRDefault="001F6EC5" w:rsidP="001F6EC5">
      <w:pPr>
        <w:pStyle w:val="Reasons"/>
      </w:pPr>
    </w:p>
    <w:p w:rsidR="001F6EC5" w:rsidRDefault="001F6EC5" w:rsidP="001F6EC5">
      <w:pPr>
        <w:jc w:val="center"/>
      </w:pPr>
      <w:r>
        <w:t>______________</w:t>
      </w:r>
    </w:p>
    <w:p w:rsidR="00363A65" w:rsidRPr="00D405F7" w:rsidRDefault="00363A65" w:rsidP="00BA51C8">
      <w:pPr>
        <w:jc w:val="center"/>
      </w:pPr>
    </w:p>
    <w:sectPr w:rsidR="00363A65" w:rsidRPr="00D405F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9F" w:rsidRDefault="00360F9F">
      <w:r>
        <w:separator/>
      </w:r>
    </w:p>
  </w:endnote>
  <w:endnote w:type="continuationSeparator" w:id="0">
    <w:p w:rsidR="00360F9F" w:rsidRDefault="0036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360F9F">
      <w:rPr>
        <w:noProof/>
        <w:lang w:val="en-US"/>
      </w:rPr>
      <w:t>Document2</w:t>
    </w:r>
    <w:r>
      <w:fldChar w:fldCharType="end"/>
    </w:r>
    <w:r>
      <w:rPr>
        <w:lang w:val="en-US"/>
      </w:rPr>
      <w:tab/>
    </w:r>
    <w:r>
      <w:fldChar w:fldCharType="begin"/>
    </w:r>
    <w:r>
      <w:instrText xml:space="preserve"> SAVEDATE \@ DD.MM.YY </w:instrText>
    </w:r>
    <w:r>
      <w:fldChar w:fldCharType="separate"/>
    </w:r>
    <w:r w:rsidR="000058B0">
      <w:rPr>
        <w:noProof/>
      </w:rPr>
      <w:t>19.10.15</w:t>
    </w:r>
    <w:r>
      <w:fldChar w:fldCharType="end"/>
    </w:r>
    <w:r>
      <w:rPr>
        <w:lang w:val="en-US"/>
      </w:rPr>
      <w:tab/>
    </w:r>
    <w:r>
      <w:fldChar w:fldCharType="begin"/>
    </w:r>
    <w:r>
      <w:instrText xml:space="preserve"> PRINTDATE \@ DD.MM.YY </w:instrText>
    </w:r>
    <w:r>
      <w:fldChar w:fldCharType="separate"/>
    </w:r>
    <w:r w:rsidR="00360F9F">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C8" w:rsidRDefault="00BA51C8" w:rsidP="00BA51C8">
    <w:pPr>
      <w:pStyle w:val="Footer"/>
    </w:pPr>
    <w:fldSimple w:instr=" FILENAME \p  \* MERGEFORMAT ">
      <w:r>
        <w:t>P:\ESP\ITU-R\CONF-R\CMR15\000\013ADD01S.docx</w:t>
      </w:r>
    </w:fldSimple>
    <w:r>
      <w:t xml:space="preserve"> (388190)</w:t>
    </w:r>
    <w:r>
      <w:tab/>
    </w:r>
    <w:r>
      <w:fldChar w:fldCharType="begin"/>
    </w:r>
    <w:r>
      <w:instrText xml:space="preserve"> SAVEDATE \@ DD.MM.YY </w:instrText>
    </w:r>
    <w:r>
      <w:fldChar w:fldCharType="separate"/>
    </w:r>
    <w:r w:rsidR="000058B0">
      <w:t>19.10.15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C8" w:rsidRDefault="00831223" w:rsidP="00BA51C8">
    <w:pPr>
      <w:pStyle w:val="Footer"/>
    </w:pPr>
    <w:r>
      <w:fldChar w:fldCharType="begin"/>
    </w:r>
    <w:r>
      <w:instrText xml:space="preserve"> FILENAME \p  \* MERGEFORMAT </w:instrText>
    </w:r>
    <w:r>
      <w:fldChar w:fldCharType="separate"/>
    </w:r>
    <w:r w:rsidR="00BA51C8">
      <w:t>P:\ESP\ITU-R\CONF-R\CMR15\000\013ADD01S.docx</w:t>
    </w:r>
    <w:r>
      <w:fldChar w:fldCharType="end"/>
    </w:r>
    <w:r w:rsidR="00BA51C8">
      <w:t xml:space="preserve"> (388190)</w:t>
    </w:r>
    <w:r w:rsidR="00BA51C8">
      <w:tab/>
    </w:r>
    <w:r w:rsidR="00BA51C8">
      <w:fldChar w:fldCharType="begin"/>
    </w:r>
    <w:r w:rsidR="00BA51C8">
      <w:instrText xml:space="preserve"> SAVEDATE \@ DD.MM.YY </w:instrText>
    </w:r>
    <w:r w:rsidR="00BA51C8">
      <w:fldChar w:fldCharType="separate"/>
    </w:r>
    <w:r w:rsidR="000058B0">
      <w:t>19.10.15</w:t>
    </w:r>
    <w:r w:rsidR="00BA51C8">
      <w:fldChar w:fldCharType="end"/>
    </w:r>
    <w:r w:rsidR="00BA51C8">
      <w:tab/>
    </w:r>
    <w:r w:rsidR="00BA51C8">
      <w:fldChar w:fldCharType="begin"/>
    </w:r>
    <w:r w:rsidR="00BA51C8">
      <w:instrText xml:space="preserve"> PRINTDATE \@ DD.MM.YY </w:instrText>
    </w:r>
    <w:r w:rsidR="00BA51C8">
      <w:fldChar w:fldCharType="separate"/>
    </w:r>
    <w:r w:rsidR="00BA51C8">
      <w:t>19.02.03</w:t>
    </w:r>
    <w:r w:rsidR="00BA51C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9F" w:rsidRDefault="00360F9F">
      <w:r>
        <w:rPr>
          <w:b/>
        </w:rPr>
        <w:t>_______________</w:t>
      </w:r>
    </w:p>
  </w:footnote>
  <w:footnote w:type="continuationSeparator" w:id="0">
    <w:p w:rsidR="00360F9F" w:rsidRDefault="0036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31223">
      <w:rPr>
        <w:rStyle w:val="PageNumber"/>
        <w:noProof/>
      </w:rPr>
      <w:t>3</w:t>
    </w:r>
    <w:r>
      <w:rPr>
        <w:rStyle w:val="PageNumber"/>
      </w:rPr>
      <w:fldChar w:fldCharType="end"/>
    </w:r>
  </w:p>
  <w:p w:rsidR="00BA51C8" w:rsidRDefault="00BA51C8" w:rsidP="00BA51C8">
    <w:pPr>
      <w:pStyle w:val="Header"/>
      <w:rPr>
        <w:lang w:val="en-US"/>
      </w:rPr>
    </w:pPr>
    <w:r>
      <w:rPr>
        <w:lang w:val="en-US"/>
      </w:rPr>
      <w:t>CMR15/13(Add.1)-S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9F"/>
    <w:rsid w:val="000058B0"/>
    <w:rsid w:val="00087AE8"/>
    <w:rsid w:val="000D1059"/>
    <w:rsid w:val="000E5BF9"/>
    <w:rsid w:val="000F0E6D"/>
    <w:rsid w:val="00121170"/>
    <w:rsid w:val="00123CC5"/>
    <w:rsid w:val="0015142D"/>
    <w:rsid w:val="001616DC"/>
    <w:rsid w:val="00163962"/>
    <w:rsid w:val="00191A97"/>
    <w:rsid w:val="001C41FA"/>
    <w:rsid w:val="001E2B52"/>
    <w:rsid w:val="001E3F27"/>
    <w:rsid w:val="001F6EC5"/>
    <w:rsid w:val="00236D2A"/>
    <w:rsid w:val="00255F12"/>
    <w:rsid w:val="00262C09"/>
    <w:rsid w:val="002A791F"/>
    <w:rsid w:val="002C1B26"/>
    <w:rsid w:val="002E701F"/>
    <w:rsid w:val="0032680B"/>
    <w:rsid w:val="00360F9F"/>
    <w:rsid w:val="00363A65"/>
    <w:rsid w:val="00377704"/>
    <w:rsid w:val="003C2508"/>
    <w:rsid w:val="003D0AA3"/>
    <w:rsid w:val="003E54EB"/>
    <w:rsid w:val="00454553"/>
    <w:rsid w:val="004B124A"/>
    <w:rsid w:val="00532097"/>
    <w:rsid w:val="0058350F"/>
    <w:rsid w:val="005F2605"/>
    <w:rsid w:val="00662BA0"/>
    <w:rsid w:val="00692AAE"/>
    <w:rsid w:val="006D6E67"/>
    <w:rsid w:val="00701C20"/>
    <w:rsid w:val="007354E9"/>
    <w:rsid w:val="007542C0"/>
    <w:rsid w:val="00765578"/>
    <w:rsid w:val="0077084A"/>
    <w:rsid w:val="007C2317"/>
    <w:rsid w:val="007D330A"/>
    <w:rsid w:val="00831223"/>
    <w:rsid w:val="00866AE6"/>
    <w:rsid w:val="0094091F"/>
    <w:rsid w:val="009538D2"/>
    <w:rsid w:val="00973754"/>
    <w:rsid w:val="009C0BED"/>
    <w:rsid w:val="009E11EC"/>
    <w:rsid w:val="009F6FD5"/>
    <w:rsid w:val="00A118DB"/>
    <w:rsid w:val="00A4450C"/>
    <w:rsid w:val="00AA5E6C"/>
    <w:rsid w:val="00AE5677"/>
    <w:rsid w:val="00AF2F78"/>
    <w:rsid w:val="00B52D55"/>
    <w:rsid w:val="00BA51C8"/>
    <w:rsid w:val="00BE2E80"/>
    <w:rsid w:val="00BE5EDD"/>
    <w:rsid w:val="00BE6A1F"/>
    <w:rsid w:val="00C126C4"/>
    <w:rsid w:val="00C63EB5"/>
    <w:rsid w:val="00CC01E0"/>
    <w:rsid w:val="00CE60D2"/>
    <w:rsid w:val="00D0288A"/>
    <w:rsid w:val="00D405F7"/>
    <w:rsid w:val="00D72A5D"/>
    <w:rsid w:val="00DC629B"/>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DCB7D12-4CC6-415A-AA65-8D4DE02B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0C3B-D2FF-4508-9A73-47C0791E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15</TotalTime>
  <Pages>3</Pages>
  <Words>755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4767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cp:lastModifiedBy>Spanish</cp:lastModifiedBy>
  <cp:revision>5</cp:revision>
  <cp:lastPrinted>2003-02-19T20:20:00Z</cp:lastPrinted>
  <dcterms:created xsi:type="dcterms:W3CDTF">2015-10-19T11:27:00Z</dcterms:created>
  <dcterms:modified xsi:type="dcterms:W3CDTF">2015-10-22T12:19:00Z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