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D6B90" w:rsidTr="001226EC">
        <w:trPr>
          <w:cantSplit/>
        </w:trPr>
        <w:tc>
          <w:tcPr>
            <w:tcW w:w="6771" w:type="dxa"/>
          </w:tcPr>
          <w:p w:rsidR="005651C9" w:rsidRPr="00BD6B9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D6B9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BD6B90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BD6B90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BD6B90">
              <w:rPr>
                <w:rFonts w:ascii="Verdana" w:hAnsi="Verdana"/>
                <w:b/>
                <w:bCs/>
                <w:szCs w:val="22"/>
              </w:rPr>
              <w:t>15)</w:t>
            </w:r>
            <w:r w:rsidRPr="00BD6B9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D6B90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BD6B9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D6B90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D6B90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BD6B9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D6B9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BD6B9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D6B90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BD6B9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BD6B9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D6B90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BD6B9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D6B9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BD6B9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D6B9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BD6B9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proofErr w:type="spellStart"/>
            <w:proofErr w:type="gramStart"/>
            <w:r w:rsidRPr="00BD6B9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proofErr w:type="spellEnd"/>
            <w:r w:rsidRPr="00BD6B9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BD6B9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BD6B9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D6B90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BD6B9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BD6B9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D6B90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BD6B90" w:rsidTr="001226EC">
        <w:trPr>
          <w:cantSplit/>
        </w:trPr>
        <w:tc>
          <w:tcPr>
            <w:tcW w:w="6771" w:type="dxa"/>
          </w:tcPr>
          <w:p w:rsidR="000F33D8" w:rsidRPr="00BD6B9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BD6B9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D6B90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BD6B90" w:rsidTr="00602D83">
        <w:trPr>
          <w:cantSplit/>
        </w:trPr>
        <w:tc>
          <w:tcPr>
            <w:tcW w:w="10031" w:type="dxa"/>
            <w:gridSpan w:val="2"/>
          </w:tcPr>
          <w:p w:rsidR="000F33D8" w:rsidRPr="00BD6B9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D6B90">
        <w:trPr>
          <w:cantSplit/>
        </w:trPr>
        <w:tc>
          <w:tcPr>
            <w:tcW w:w="10031" w:type="dxa"/>
            <w:gridSpan w:val="2"/>
          </w:tcPr>
          <w:p w:rsidR="000F33D8" w:rsidRPr="00BD6B90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BD6B90">
              <w:rPr>
                <w:szCs w:val="26"/>
              </w:rPr>
              <w:t>Общие предложения арабских государств</w:t>
            </w:r>
          </w:p>
        </w:tc>
      </w:tr>
      <w:tr w:rsidR="000F33D8" w:rsidRPr="00BD6B90">
        <w:trPr>
          <w:cantSplit/>
        </w:trPr>
        <w:tc>
          <w:tcPr>
            <w:tcW w:w="10031" w:type="dxa"/>
            <w:gridSpan w:val="2"/>
          </w:tcPr>
          <w:p w:rsidR="000F33D8" w:rsidRPr="00BD6B90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BD6B9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D6B90">
        <w:trPr>
          <w:cantSplit/>
        </w:trPr>
        <w:tc>
          <w:tcPr>
            <w:tcW w:w="10031" w:type="dxa"/>
            <w:gridSpan w:val="2"/>
          </w:tcPr>
          <w:p w:rsidR="000F33D8" w:rsidRPr="00BD6B9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D6B90">
        <w:trPr>
          <w:cantSplit/>
        </w:trPr>
        <w:tc>
          <w:tcPr>
            <w:tcW w:w="10031" w:type="dxa"/>
            <w:gridSpan w:val="2"/>
          </w:tcPr>
          <w:p w:rsidR="000F33D8" w:rsidRPr="00BD6B9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D6B90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602D83" w:rsidRPr="00BD6B90" w:rsidRDefault="00602D83" w:rsidP="00602D83">
      <w:pPr>
        <w:pStyle w:val="Normalaftertitle"/>
      </w:pPr>
      <w:r w:rsidRPr="00BD6B90">
        <w:t>1.1</w:t>
      </w:r>
      <w:r w:rsidRPr="00BD6B90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BD6B90">
        <w:t>IMT</w:t>
      </w:r>
      <w:proofErr w:type="spellEnd"/>
      <w:r w:rsidRPr="00BD6B90">
        <w:t xml:space="preserve">), а также соответствующие </w:t>
      </w:r>
      <w:proofErr w:type="spellStart"/>
      <w:r w:rsidRPr="00BD6B90">
        <w:t>регламентарные</w:t>
      </w:r>
      <w:proofErr w:type="spellEnd"/>
      <w:r w:rsidRPr="00BD6B90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BD6B90">
        <w:rPr>
          <w:b/>
          <w:bCs/>
        </w:rPr>
        <w:t>233 (</w:t>
      </w:r>
      <w:proofErr w:type="spellStart"/>
      <w:r w:rsidRPr="00BD6B90">
        <w:rPr>
          <w:b/>
          <w:bCs/>
        </w:rPr>
        <w:t>ВКР</w:t>
      </w:r>
      <w:proofErr w:type="spellEnd"/>
      <w:r w:rsidRPr="00BD6B90">
        <w:rPr>
          <w:b/>
          <w:bCs/>
        </w:rPr>
        <w:t>-12)</w:t>
      </w:r>
      <w:r w:rsidRPr="00BD6B90">
        <w:t>;</w:t>
      </w:r>
    </w:p>
    <w:p w:rsidR="00602D83" w:rsidRPr="00BD6B90" w:rsidRDefault="00602D83" w:rsidP="00602D83">
      <w:pPr>
        <w:pStyle w:val="Headingb"/>
        <w:rPr>
          <w:lang w:val="ru-RU"/>
        </w:rPr>
      </w:pPr>
      <w:r w:rsidRPr="00BD6B90">
        <w:rPr>
          <w:lang w:val="ru-RU"/>
        </w:rPr>
        <w:t>Введение</w:t>
      </w:r>
    </w:p>
    <w:p w:rsidR="00602D83" w:rsidRPr="00BD6B90" w:rsidRDefault="00602D83" w:rsidP="00602D83">
      <w:r w:rsidRPr="00BD6B90">
        <w:t>В Резолюции 233 (</w:t>
      </w:r>
      <w:proofErr w:type="spellStart"/>
      <w:r w:rsidRPr="00BD6B90">
        <w:t>ВКР</w:t>
      </w:r>
      <w:proofErr w:type="spellEnd"/>
      <w:r w:rsidRPr="00BD6B90">
        <w:noBreakHyphen/>
        <w:t xml:space="preserve">12) содержится призыв к исследованию связанных с частотами вопросов </w:t>
      </w:r>
      <w:proofErr w:type="spellStart"/>
      <w:r w:rsidRPr="00BD6B90">
        <w:t>IMT</w:t>
      </w:r>
      <w:proofErr w:type="spellEnd"/>
      <w:r w:rsidRPr="00BD6B90">
        <w:t xml:space="preserve"> и других применений наземной подвижной широкополосной связи, с учетом того что подвижная связь, включая подвижную широкополосную связь, положительно влияет на экономическое и социальное развитие развитых и развивающихся стран. Многие администрации тщательно изучают широкий круг применений и систем с целью ликвидации цифрового разрыва при использовании, в том числе, </w:t>
      </w:r>
      <w:proofErr w:type="spellStart"/>
      <w:r w:rsidRPr="00BD6B90">
        <w:t>IMT</w:t>
      </w:r>
      <w:proofErr w:type="spellEnd"/>
      <w:r w:rsidRPr="00BD6B90">
        <w:t xml:space="preserve"> и других применений наземной подвижной широкополосной связи.</w:t>
      </w:r>
    </w:p>
    <w:p w:rsidR="00602D83" w:rsidRPr="00BD6B90" w:rsidRDefault="00602D83" w:rsidP="00742DA3">
      <w:r w:rsidRPr="00BD6B90">
        <w:t xml:space="preserve">Были проведены исследования будущих потребностей в спектре и потенциальных </w:t>
      </w:r>
      <w:proofErr w:type="spellStart"/>
      <w:r w:rsidRPr="00BD6B90">
        <w:t>кандидатных</w:t>
      </w:r>
      <w:proofErr w:type="spellEnd"/>
      <w:r w:rsidRPr="00BD6B90">
        <w:t xml:space="preserve"> полос </w:t>
      </w:r>
      <w:proofErr w:type="spellStart"/>
      <w:r w:rsidRPr="00BD6B90">
        <w:t>IMT</w:t>
      </w:r>
      <w:proofErr w:type="spellEnd"/>
      <w:r w:rsidRPr="00BD6B90">
        <w:t xml:space="preserve">, а также других применений наземной подвижной широкополосной связи. Администрации предложили, в соответствии с пунктом 2 раздела </w:t>
      </w:r>
      <w:r w:rsidRPr="00BD6B90">
        <w:rPr>
          <w:i/>
          <w:iCs/>
        </w:rPr>
        <w:t>решает предложить</w:t>
      </w:r>
      <w:r w:rsidRPr="00BD6B90">
        <w:t xml:space="preserve"> </w:t>
      </w:r>
      <w:r w:rsidRPr="00BD6B90">
        <w:rPr>
          <w:i/>
          <w:iCs/>
        </w:rPr>
        <w:t xml:space="preserve">МСЭ-R </w:t>
      </w:r>
      <w:r w:rsidRPr="00BD6B90">
        <w:t>Резолюции 233 (</w:t>
      </w:r>
      <w:proofErr w:type="spellStart"/>
      <w:r w:rsidRPr="00BD6B90">
        <w:t>ВКР</w:t>
      </w:r>
      <w:proofErr w:type="spellEnd"/>
      <w:r w:rsidRPr="00BD6B90">
        <w:t xml:space="preserve">-12), изучить следующие полосы частот: 470−694/698 МГц, 1300−1525 МГц, </w:t>
      </w:r>
      <w:r w:rsidRPr="00BD6B90">
        <w:rPr>
          <w:iCs/>
        </w:rPr>
        <w:t>1695−1710</w:t>
      </w:r>
      <w:r w:rsidRPr="00BD6B90">
        <w:t> </w:t>
      </w:r>
      <w:r w:rsidRPr="00BD6B90">
        <w:rPr>
          <w:iCs/>
        </w:rPr>
        <w:t>МГц,</w:t>
      </w:r>
      <w:r w:rsidRPr="00BD6B90">
        <w:t xml:space="preserve"> 2025−2110 МГц и 2200−2290 МГц, 2700−2900 МГц, 2900−3100 МГц, 3300−3400 МГц, </w:t>
      </w:r>
      <w:r w:rsidRPr="00BD6B90">
        <w:rPr>
          <w:lang w:eastAsia="ja-JP"/>
        </w:rPr>
        <w:t xml:space="preserve">3400−3600 МГц, 3600−4200 МГц, 4400−4900 МГц, </w:t>
      </w:r>
      <w:r w:rsidRPr="00BD6B90">
        <w:t xml:space="preserve">4800−5000 МГц, </w:t>
      </w:r>
      <w:r w:rsidRPr="00BD6B90">
        <w:rPr>
          <w:iCs/>
        </w:rPr>
        <w:t>5350−5470</w:t>
      </w:r>
      <w:r w:rsidRPr="00BD6B90">
        <w:t> МГц, 5725−5850 МГц</w:t>
      </w:r>
      <w:r w:rsidR="00742DA3" w:rsidRPr="00BD6B90">
        <w:t xml:space="preserve"> и</w:t>
      </w:r>
      <w:r w:rsidRPr="00BD6B90">
        <w:rPr>
          <w:iCs/>
        </w:rPr>
        <w:t xml:space="preserve"> 5</w:t>
      </w:r>
      <w:r w:rsidRPr="00BD6B90">
        <w:t>925</w:t>
      </w:r>
      <w:r w:rsidRPr="00BD6B90">
        <w:rPr>
          <w:iCs/>
        </w:rPr>
        <w:t>−6425</w:t>
      </w:r>
      <w:r w:rsidRPr="00BD6B90">
        <w:t> </w:t>
      </w:r>
      <w:r w:rsidRPr="00BD6B90">
        <w:rPr>
          <w:iCs/>
        </w:rPr>
        <w:t>МГц</w:t>
      </w:r>
      <w:r w:rsidRPr="00BD6B90">
        <w:t xml:space="preserve">. </w:t>
      </w:r>
    </w:p>
    <w:p w:rsidR="0009196D" w:rsidRPr="00BD6B90" w:rsidRDefault="0009196D" w:rsidP="0009196D">
      <w:pPr>
        <w:rPr>
          <w:lang w:bidi="ar-OM"/>
        </w:rPr>
      </w:pPr>
      <w:r w:rsidRPr="00BD6B90">
        <w:t xml:space="preserve">На основании исследований совместного использования и совместимости со службами, уже имеющими распределения в потенциальных </w:t>
      </w:r>
      <w:proofErr w:type="spellStart"/>
      <w:r w:rsidRPr="00BD6B90">
        <w:t>кандидатных</w:t>
      </w:r>
      <w:proofErr w:type="spellEnd"/>
      <w:r w:rsidRPr="00BD6B90">
        <w:t xml:space="preserve"> полосах и в соседних полосах, а также принимая во внимание текущее и планируемое использование этих полос существующими службами и обеспечивая им необходимую защиту, администрации арабских государств предлагают внести в Регламент радиосвязи поправки в отношении следующих полос: </w:t>
      </w:r>
      <w:r w:rsidRPr="00BD6B90">
        <w:rPr>
          <w:lang w:bidi="ar-OM"/>
        </w:rPr>
        <w:t>1518−1525 МГц, 2700−2900 МГц, 3800−4200 МГц, 4400−4500 МГц, 4500−4800 МГц, 4800−4990 МГц, 5350−5470 МГц, 5725−5850 МГц, 5925−6425 МГц.</w:t>
      </w:r>
    </w:p>
    <w:p w:rsidR="0009196D" w:rsidRPr="00BD6B90" w:rsidRDefault="0009196D" w:rsidP="0009196D">
      <w:pPr>
        <w:pStyle w:val="Headingb"/>
        <w:rPr>
          <w:lang w:val="ru-RU"/>
        </w:rPr>
      </w:pPr>
      <w:r w:rsidRPr="00BD6B90">
        <w:rPr>
          <w:lang w:val="ru-RU" w:bidi="ar-OM"/>
        </w:rPr>
        <w:t>Предложения</w:t>
      </w:r>
    </w:p>
    <w:p w:rsidR="009B5CC2" w:rsidRPr="00BD6B9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D6B90">
        <w:br w:type="page"/>
      </w:r>
    </w:p>
    <w:p w:rsidR="00602D83" w:rsidRPr="00BD6B90" w:rsidRDefault="00602D83" w:rsidP="00602D83">
      <w:pPr>
        <w:pStyle w:val="ArtNo"/>
      </w:pPr>
      <w:bookmarkStart w:id="8" w:name="_Toc331607681"/>
      <w:r w:rsidRPr="00BD6B90">
        <w:lastRenderedPageBreak/>
        <w:t xml:space="preserve">СТАТЬЯ </w:t>
      </w:r>
      <w:r w:rsidRPr="00BD6B90">
        <w:rPr>
          <w:rStyle w:val="href"/>
        </w:rPr>
        <w:t>5</w:t>
      </w:r>
      <w:bookmarkEnd w:id="8"/>
    </w:p>
    <w:p w:rsidR="00602D83" w:rsidRPr="00BD6B90" w:rsidRDefault="00602D83" w:rsidP="00602D83">
      <w:pPr>
        <w:pStyle w:val="Arttitle"/>
      </w:pPr>
      <w:bookmarkStart w:id="9" w:name="_Toc331607682"/>
      <w:r w:rsidRPr="00BD6B90">
        <w:t>Распределение частот</w:t>
      </w:r>
      <w:bookmarkEnd w:id="9"/>
    </w:p>
    <w:p w:rsidR="00602D83" w:rsidRPr="00BD6B90" w:rsidRDefault="00602D83" w:rsidP="00602D83">
      <w:pPr>
        <w:pStyle w:val="Section1"/>
      </w:pPr>
      <w:bookmarkStart w:id="10" w:name="_Toc331607687"/>
      <w:r w:rsidRPr="00BD6B90">
        <w:t xml:space="preserve">Раздел </w:t>
      </w:r>
      <w:proofErr w:type="spellStart"/>
      <w:proofErr w:type="gramStart"/>
      <w:r w:rsidRPr="00BD6B90">
        <w:t>IV</w:t>
      </w:r>
      <w:proofErr w:type="spellEnd"/>
      <w:r w:rsidRPr="00BD6B90">
        <w:t xml:space="preserve">  –</w:t>
      </w:r>
      <w:proofErr w:type="gramEnd"/>
      <w:r w:rsidRPr="00BD6B90">
        <w:t xml:space="preserve">  Таблица распределения частот</w:t>
      </w:r>
      <w:r w:rsidRPr="00BD6B90">
        <w:br/>
      </w:r>
      <w:r w:rsidRPr="00BD6B90">
        <w:rPr>
          <w:b w:val="0"/>
          <w:bCs/>
        </w:rPr>
        <w:t>(См. п.</w:t>
      </w:r>
      <w:r w:rsidRPr="00BD6B90">
        <w:t xml:space="preserve"> 2.1</w:t>
      </w:r>
      <w:r w:rsidRPr="00BD6B90">
        <w:rPr>
          <w:b w:val="0"/>
          <w:bCs/>
        </w:rPr>
        <w:t>)</w:t>
      </w:r>
      <w:bookmarkEnd w:id="10"/>
      <w:r w:rsidRPr="00BD6B90">
        <w:rPr>
          <w:b w:val="0"/>
          <w:bCs/>
        </w:rPr>
        <w:br/>
      </w:r>
      <w:r w:rsidRPr="00BD6B90">
        <w:br/>
      </w:r>
    </w:p>
    <w:p w:rsidR="001421A7" w:rsidRPr="00BD6B90" w:rsidRDefault="00602D83">
      <w:pPr>
        <w:pStyle w:val="Proposal"/>
      </w:pPr>
      <w:proofErr w:type="spellStart"/>
      <w:r w:rsidRPr="00BD6B90">
        <w:rPr>
          <w:u w:val="single"/>
        </w:rPr>
        <w:t>NOC</w:t>
      </w:r>
      <w:proofErr w:type="spellEnd"/>
      <w:r w:rsidRPr="00BD6B90">
        <w:tab/>
      </w:r>
      <w:proofErr w:type="spellStart"/>
      <w:r w:rsidRPr="00BD6B90">
        <w:t>ARB</w:t>
      </w:r>
      <w:proofErr w:type="spellEnd"/>
      <w:r w:rsidRPr="00BD6B90">
        <w:t>/</w:t>
      </w:r>
      <w:proofErr w:type="spellStart"/>
      <w:r w:rsidRPr="00BD6B90">
        <w:t>25A1A5</w:t>
      </w:r>
      <w:proofErr w:type="spellEnd"/>
      <w:r w:rsidRPr="00BD6B90">
        <w:t>/1</w:t>
      </w:r>
    </w:p>
    <w:p w:rsidR="00602D83" w:rsidRPr="00BD6B90" w:rsidRDefault="00602D83" w:rsidP="00602D83">
      <w:pPr>
        <w:pStyle w:val="Tabletitle"/>
        <w:keepNext w:val="0"/>
        <w:keepLines w:val="0"/>
      </w:pPr>
      <w:r w:rsidRPr="00BD6B90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02D83" w:rsidRPr="00BD6B90" w:rsidTr="00602D83">
        <w:tc>
          <w:tcPr>
            <w:tcW w:w="5000" w:type="pct"/>
            <w:gridSpan w:val="3"/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Распределение по службам</w:t>
            </w:r>
          </w:p>
        </w:tc>
      </w:tr>
      <w:tr w:rsidR="00602D83" w:rsidRPr="00BD6B90" w:rsidTr="00602D83">
        <w:tc>
          <w:tcPr>
            <w:tcW w:w="1667" w:type="pct"/>
            <w:tcBorders>
              <w:bottom w:val="single" w:sz="4" w:space="0" w:color="auto"/>
            </w:tcBorders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3</w:t>
            </w:r>
          </w:p>
        </w:tc>
      </w:tr>
      <w:tr w:rsidR="00602D83" w:rsidRPr="00BD6B90" w:rsidTr="00602D83">
        <w:tc>
          <w:tcPr>
            <w:tcW w:w="1667" w:type="pct"/>
            <w:tcBorders>
              <w:bottom w:val="nil"/>
            </w:tcBorders>
          </w:tcPr>
          <w:p w:rsidR="00602D83" w:rsidRPr="00BD6B90" w:rsidRDefault="00602D83" w:rsidP="00602D83">
            <w:pPr>
              <w:pStyle w:val="TableTextS5"/>
              <w:rPr>
                <w:rStyle w:val="Tablefreq"/>
                <w:lang w:val="ru-RU"/>
              </w:rPr>
            </w:pPr>
            <w:r w:rsidRPr="00BD6B90">
              <w:rPr>
                <w:rStyle w:val="Tablefreq"/>
                <w:lang w:val="ru-RU"/>
              </w:rPr>
              <w:t>1 518–1 525</w:t>
            </w:r>
          </w:p>
          <w:p w:rsidR="00602D83" w:rsidRPr="00BD6B90" w:rsidRDefault="00602D83" w:rsidP="00602D83">
            <w:pPr>
              <w:pStyle w:val="TableTextS5"/>
              <w:rPr>
                <w:lang w:val="ru-RU"/>
              </w:rPr>
            </w:pPr>
            <w:r w:rsidRPr="00BD6B90">
              <w:rPr>
                <w:lang w:val="ru-RU"/>
              </w:rPr>
              <w:t>ФИКСИРОВАННАЯ</w:t>
            </w:r>
          </w:p>
          <w:p w:rsidR="00602D83" w:rsidRPr="00BD6B90" w:rsidRDefault="00602D83" w:rsidP="00602D83">
            <w:pPr>
              <w:pStyle w:val="TableTextS5"/>
              <w:rPr>
                <w:lang w:val="ru-RU"/>
              </w:rPr>
            </w:pPr>
            <w:r w:rsidRPr="00BD6B90">
              <w:rPr>
                <w:lang w:val="ru-RU"/>
              </w:rPr>
              <w:t>ПОДВИЖНАЯ, за исключением</w:t>
            </w:r>
            <w:r w:rsidRPr="00BD6B90">
              <w:rPr>
                <w:lang w:val="ru-RU"/>
              </w:rPr>
              <w:br/>
              <w:t>воздушной подвижной</w:t>
            </w:r>
          </w:p>
          <w:p w:rsidR="00602D83" w:rsidRPr="00BD6B90" w:rsidRDefault="00602D83" w:rsidP="00602D83">
            <w:pPr>
              <w:pStyle w:val="TableTextS5"/>
              <w:rPr>
                <w:szCs w:val="18"/>
                <w:lang w:val="ru-RU"/>
              </w:rPr>
            </w:pPr>
            <w:r w:rsidRPr="00BD6B90">
              <w:rPr>
                <w:lang w:val="ru-RU"/>
              </w:rPr>
              <w:t>ПОДВИЖНАЯ СПУТНИКОВАЯ</w:t>
            </w:r>
            <w:r w:rsidRPr="00BD6B90">
              <w:rPr>
                <w:lang w:val="ru-RU"/>
              </w:rPr>
              <w:br/>
              <w:t>(космос-</w:t>
            </w:r>
            <w:proofErr w:type="gramStart"/>
            <w:r w:rsidRPr="00BD6B90">
              <w:rPr>
                <w:lang w:val="ru-RU"/>
              </w:rPr>
              <w:t xml:space="preserve">Земля)  </w:t>
            </w:r>
            <w:r w:rsidRPr="00BD6B90">
              <w:rPr>
                <w:rStyle w:val="Artref"/>
                <w:lang w:val="ru-RU"/>
              </w:rPr>
              <w:t>5.348</w:t>
            </w:r>
            <w:proofErr w:type="gramEnd"/>
            <w:r w:rsidRPr="00BD6B90">
              <w:rPr>
                <w:rStyle w:val="Artref"/>
                <w:lang w:val="ru-RU"/>
              </w:rPr>
              <w:t xml:space="preserve">  </w:t>
            </w:r>
            <w:proofErr w:type="spellStart"/>
            <w:r w:rsidRPr="00BD6B90">
              <w:rPr>
                <w:rStyle w:val="Artref"/>
                <w:lang w:val="ru-RU"/>
              </w:rPr>
              <w:t>5.348A</w:t>
            </w:r>
            <w:proofErr w:type="spellEnd"/>
            <w:r w:rsidRPr="00BD6B90">
              <w:rPr>
                <w:rStyle w:val="Artref"/>
                <w:lang w:val="ru-RU"/>
              </w:rPr>
              <w:t xml:space="preserve">  </w:t>
            </w:r>
            <w:r w:rsidRPr="00BD6B90">
              <w:rPr>
                <w:rStyle w:val="Artref"/>
                <w:lang w:val="ru-RU"/>
              </w:rPr>
              <w:br/>
            </w:r>
            <w:proofErr w:type="spellStart"/>
            <w:r w:rsidRPr="00BD6B90">
              <w:rPr>
                <w:rStyle w:val="Artref"/>
                <w:lang w:val="ru-RU"/>
              </w:rPr>
              <w:t>5.348B</w:t>
            </w:r>
            <w:proofErr w:type="spellEnd"/>
            <w:r w:rsidRPr="00BD6B90">
              <w:rPr>
                <w:rStyle w:val="Artref"/>
                <w:lang w:val="ru-RU"/>
              </w:rPr>
              <w:t xml:space="preserve">  </w:t>
            </w:r>
            <w:proofErr w:type="spellStart"/>
            <w:r w:rsidRPr="00BD6B90">
              <w:rPr>
                <w:rStyle w:val="Artref"/>
                <w:lang w:val="ru-RU"/>
              </w:rPr>
              <w:t>5.351А</w:t>
            </w:r>
            <w:proofErr w:type="spellEnd"/>
          </w:p>
        </w:tc>
        <w:tc>
          <w:tcPr>
            <w:tcW w:w="1667" w:type="pct"/>
            <w:tcBorders>
              <w:bottom w:val="nil"/>
            </w:tcBorders>
          </w:tcPr>
          <w:p w:rsidR="00602D83" w:rsidRPr="00BD6B90" w:rsidRDefault="00602D83" w:rsidP="00602D83">
            <w:pPr>
              <w:pStyle w:val="TableTextS5"/>
              <w:rPr>
                <w:rStyle w:val="Tablefreq"/>
                <w:lang w:val="ru-RU"/>
              </w:rPr>
            </w:pPr>
            <w:r w:rsidRPr="00BD6B90">
              <w:rPr>
                <w:rStyle w:val="Tablefreq"/>
                <w:lang w:val="ru-RU"/>
              </w:rPr>
              <w:t>1 518–1 525</w:t>
            </w:r>
          </w:p>
          <w:p w:rsidR="00602D83" w:rsidRPr="00BD6B90" w:rsidRDefault="00602D83" w:rsidP="00602D83">
            <w:pPr>
              <w:pStyle w:val="TableTextS5"/>
              <w:rPr>
                <w:lang w:val="ru-RU"/>
              </w:rPr>
            </w:pPr>
            <w:r w:rsidRPr="00BD6B90">
              <w:rPr>
                <w:lang w:val="ru-RU"/>
              </w:rPr>
              <w:t>ФИКСИРОВАННАЯ</w:t>
            </w:r>
          </w:p>
          <w:p w:rsidR="00602D83" w:rsidRPr="00BD6B90" w:rsidRDefault="00602D83" w:rsidP="00602D83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BD6B90">
              <w:rPr>
                <w:lang w:val="ru-RU"/>
              </w:rPr>
              <w:t xml:space="preserve">ПОДВИЖНАЯ  </w:t>
            </w:r>
            <w:r w:rsidRPr="00BD6B90">
              <w:rPr>
                <w:rStyle w:val="Artref"/>
                <w:lang w:val="ru-RU"/>
              </w:rPr>
              <w:t>5.343</w:t>
            </w:r>
            <w:proofErr w:type="gramEnd"/>
          </w:p>
          <w:p w:rsidR="00602D83" w:rsidRPr="00BD6B90" w:rsidRDefault="00602D83" w:rsidP="00602D83">
            <w:pPr>
              <w:pStyle w:val="TableTextS5"/>
              <w:rPr>
                <w:szCs w:val="18"/>
                <w:lang w:val="ru-RU"/>
              </w:rPr>
            </w:pPr>
            <w:r w:rsidRPr="00BD6B90">
              <w:rPr>
                <w:lang w:val="ru-RU"/>
              </w:rPr>
              <w:t>ПОДВИЖНАЯ СПУТНИКОВАЯ</w:t>
            </w:r>
            <w:r w:rsidRPr="00BD6B90">
              <w:rPr>
                <w:lang w:val="ru-RU"/>
              </w:rPr>
              <w:br/>
              <w:t>(космос-</w:t>
            </w:r>
            <w:proofErr w:type="gramStart"/>
            <w:r w:rsidRPr="00BD6B90">
              <w:rPr>
                <w:lang w:val="ru-RU"/>
              </w:rPr>
              <w:t xml:space="preserve">Земля)  </w:t>
            </w:r>
            <w:r w:rsidRPr="00BD6B90">
              <w:rPr>
                <w:rStyle w:val="Artref"/>
                <w:lang w:val="ru-RU"/>
              </w:rPr>
              <w:t>5.348</w:t>
            </w:r>
            <w:proofErr w:type="gramEnd"/>
            <w:r w:rsidRPr="00BD6B90">
              <w:rPr>
                <w:rStyle w:val="Artref"/>
                <w:lang w:val="ru-RU"/>
              </w:rPr>
              <w:t xml:space="preserve">  </w:t>
            </w:r>
            <w:proofErr w:type="spellStart"/>
            <w:r w:rsidRPr="00BD6B90">
              <w:rPr>
                <w:rStyle w:val="Artref"/>
                <w:lang w:val="ru-RU"/>
              </w:rPr>
              <w:t>5.348A</w:t>
            </w:r>
            <w:proofErr w:type="spellEnd"/>
            <w:r w:rsidRPr="00BD6B90">
              <w:rPr>
                <w:rStyle w:val="Artref"/>
                <w:lang w:val="ru-RU"/>
              </w:rPr>
              <w:t xml:space="preserve">  </w:t>
            </w:r>
            <w:r w:rsidRPr="00BD6B90">
              <w:rPr>
                <w:rStyle w:val="Artref"/>
                <w:lang w:val="ru-RU"/>
              </w:rPr>
              <w:br/>
            </w:r>
            <w:proofErr w:type="spellStart"/>
            <w:r w:rsidRPr="00BD6B90">
              <w:rPr>
                <w:rStyle w:val="Artref"/>
                <w:lang w:val="ru-RU"/>
              </w:rPr>
              <w:t>5.348B</w:t>
            </w:r>
            <w:proofErr w:type="spellEnd"/>
            <w:r w:rsidRPr="00BD6B90">
              <w:rPr>
                <w:rStyle w:val="Artref"/>
                <w:lang w:val="ru-RU"/>
              </w:rPr>
              <w:t xml:space="preserve">  </w:t>
            </w:r>
            <w:proofErr w:type="spellStart"/>
            <w:r w:rsidRPr="00BD6B90">
              <w:rPr>
                <w:rStyle w:val="Artref"/>
                <w:lang w:val="ru-RU"/>
              </w:rPr>
              <w:t>5.351А</w:t>
            </w:r>
            <w:proofErr w:type="spellEnd"/>
          </w:p>
        </w:tc>
        <w:tc>
          <w:tcPr>
            <w:tcW w:w="1666" w:type="pct"/>
            <w:tcBorders>
              <w:bottom w:val="nil"/>
            </w:tcBorders>
          </w:tcPr>
          <w:p w:rsidR="00602D83" w:rsidRPr="00BD6B90" w:rsidRDefault="00602D83" w:rsidP="00602D83">
            <w:pPr>
              <w:pStyle w:val="TableTextS5"/>
              <w:rPr>
                <w:rStyle w:val="Tablefreq"/>
                <w:lang w:val="ru-RU"/>
              </w:rPr>
            </w:pPr>
            <w:r w:rsidRPr="00BD6B90">
              <w:rPr>
                <w:rStyle w:val="Tablefreq"/>
                <w:lang w:val="ru-RU"/>
              </w:rPr>
              <w:t>1 518–1 525</w:t>
            </w:r>
          </w:p>
          <w:p w:rsidR="00602D83" w:rsidRPr="00BD6B90" w:rsidRDefault="00602D83" w:rsidP="00602D83">
            <w:pPr>
              <w:pStyle w:val="TableTextS5"/>
              <w:rPr>
                <w:lang w:val="ru-RU"/>
              </w:rPr>
            </w:pPr>
            <w:r w:rsidRPr="00BD6B90">
              <w:rPr>
                <w:lang w:val="ru-RU"/>
              </w:rPr>
              <w:t>ФИКСИРОВАННАЯ</w:t>
            </w:r>
          </w:p>
          <w:p w:rsidR="00602D83" w:rsidRPr="00BD6B90" w:rsidRDefault="00602D83" w:rsidP="00602D83">
            <w:pPr>
              <w:pStyle w:val="TableTextS5"/>
              <w:rPr>
                <w:lang w:val="ru-RU"/>
              </w:rPr>
            </w:pPr>
            <w:r w:rsidRPr="00BD6B90">
              <w:rPr>
                <w:lang w:val="ru-RU"/>
              </w:rPr>
              <w:t>ПОДВИЖНАЯ</w:t>
            </w:r>
          </w:p>
          <w:p w:rsidR="00602D83" w:rsidRPr="00BD6B90" w:rsidRDefault="00602D83" w:rsidP="00602D83">
            <w:pPr>
              <w:pStyle w:val="TableTextS5"/>
              <w:rPr>
                <w:szCs w:val="18"/>
                <w:lang w:val="ru-RU"/>
              </w:rPr>
            </w:pPr>
            <w:r w:rsidRPr="00BD6B90">
              <w:rPr>
                <w:lang w:val="ru-RU"/>
              </w:rPr>
              <w:t>ПОДВИЖНАЯ СПУТНИКОВАЯ</w:t>
            </w:r>
            <w:r w:rsidRPr="00BD6B90">
              <w:rPr>
                <w:lang w:val="ru-RU"/>
              </w:rPr>
              <w:br/>
              <w:t>(космос-</w:t>
            </w:r>
            <w:proofErr w:type="gramStart"/>
            <w:r w:rsidRPr="00BD6B90">
              <w:rPr>
                <w:lang w:val="ru-RU"/>
              </w:rPr>
              <w:t xml:space="preserve">Земля)  </w:t>
            </w:r>
            <w:r w:rsidRPr="00BD6B90">
              <w:rPr>
                <w:rStyle w:val="Artref"/>
                <w:lang w:val="ru-RU"/>
              </w:rPr>
              <w:t>5.348</w:t>
            </w:r>
            <w:proofErr w:type="gramEnd"/>
            <w:r w:rsidRPr="00BD6B90">
              <w:rPr>
                <w:rStyle w:val="Artref"/>
                <w:lang w:val="ru-RU"/>
              </w:rPr>
              <w:t xml:space="preserve">  </w:t>
            </w:r>
            <w:proofErr w:type="spellStart"/>
            <w:r w:rsidRPr="00BD6B90">
              <w:rPr>
                <w:rStyle w:val="Artref"/>
                <w:lang w:val="ru-RU"/>
              </w:rPr>
              <w:t>5.348A</w:t>
            </w:r>
            <w:proofErr w:type="spellEnd"/>
            <w:r w:rsidRPr="00BD6B90">
              <w:rPr>
                <w:rStyle w:val="Artref"/>
                <w:lang w:val="ru-RU"/>
              </w:rPr>
              <w:t xml:space="preserve">  </w:t>
            </w:r>
            <w:r w:rsidRPr="00BD6B90">
              <w:rPr>
                <w:rStyle w:val="Artref"/>
                <w:lang w:val="ru-RU"/>
              </w:rPr>
              <w:br/>
            </w:r>
            <w:proofErr w:type="spellStart"/>
            <w:r w:rsidRPr="00BD6B90">
              <w:rPr>
                <w:rStyle w:val="Artref"/>
                <w:lang w:val="ru-RU"/>
              </w:rPr>
              <w:t>5.348B</w:t>
            </w:r>
            <w:proofErr w:type="spellEnd"/>
            <w:r w:rsidRPr="00BD6B90">
              <w:rPr>
                <w:rStyle w:val="Artref"/>
                <w:lang w:val="ru-RU"/>
              </w:rPr>
              <w:t xml:space="preserve">  </w:t>
            </w:r>
            <w:proofErr w:type="spellStart"/>
            <w:r w:rsidRPr="00BD6B90">
              <w:rPr>
                <w:rStyle w:val="Artref"/>
                <w:lang w:val="ru-RU"/>
              </w:rPr>
              <w:t>5.351А</w:t>
            </w:r>
            <w:proofErr w:type="spellEnd"/>
          </w:p>
        </w:tc>
      </w:tr>
      <w:tr w:rsidR="00602D83" w:rsidRPr="00BD6B90" w:rsidTr="00602D83">
        <w:trPr>
          <w:trHeight w:val="52"/>
        </w:trPr>
        <w:tc>
          <w:tcPr>
            <w:tcW w:w="1667" w:type="pct"/>
            <w:tcBorders>
              <w:top w:val="nil"/>
            </w:tcBorders>
          </w:tcPr>
          <w:p w:rsidR="00602D83" w:rsidRPr="00BD6B90" w:rsidRDefault="00602D83" w:rsidP="00602D83">
            <w:pPr>
              <w:pStyle w:val="TableTextS5"/>
              <w:rPr>
                <w:rStyle w:val="Artref"/>
                <w:lang w:val="ru-RU"/>
              </w:rPr>
            </w:pPr>
            <w:r w:rsidRPr="00BD6B90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602D83" w:rsidRPr="00BD6B90" w:rsidRDefault="00602D83" w:rsidP="00602D83">
            <w:pPr>
              <w:pStyle w:val="TableTextS5"/>
              <w:rPr>
                <w:rStyle w:val="Artref"/>
                <w:lang w:val="ru-RU"/>
              </w:rPr>
            </w:pPr>
            <w:r w:rsidRPr="00BD6B90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602D83" w:rsidRPr="00BD6B90" w:rsidRDefault="00602D83" w:rsidP="00602D83">
            <w:pPr>
              <w:pStyle w:val="TableTextS5"/>
              <w:rPr>
                <w:rStyle w:val="Artref"/>
                <w:lang w:val="ru-RU"/>
              </w:rPr>
            </w:pPr>
            <w:r w:rsidRPr="00BD6B90">
              <w:rPr>
                <w:rStyle w:val="Artref"/>
                <w:lang w:val="ru-RU"/>
              </w:rPr>
              <w:t>5.341</w:t>
            </w:r>
          </w:p>
        </w:tc>
      </w:tr>
    </w:tbl>
    <w:p w:rsidR="0009196D" w:rsidRPr="00BD6B90" w:rsidRDefault="00602D83" w:rsidP="00453EE8">
      <w:pPr>
        <w:pStyle w:val="Reasons"/>
      </w:pPr>
      <w:proofErr w:type="gramStart"/>
      <w:r w:rsidRPr="00BD6B90">
        <w:rPr>
          <w:b/>
        </w:rPr>
        <w:t>Основания</w:t>
      </w:r>
      <w:r w:rsidRPr="00BD6B90">
        <w:rPr>
          <w:bCs/>
        </w:rPr>
        <w:t>:</w:t>
      </w:r>
      <w:r w:rsidRPr="00BD6B90">
        <w:tab/>
      </w:r>
      <w:proofErr w:type="gramEnd"/>
      <w:r w:rsidR="00742DA3" w:rsidRPr="00BD6B90">
        <w:t>Отсутствие изменений</w:t>
      </w:r>
      <w:r w:rsidR="004E085A" w:rsidRPr="00BD6B90">
        <w:t xml:space="preserve">, связанных с </w:t>
      </w:r>
      <w:r w:rsidR="00742DA3" w:rsidRPr="00BD6B90">
        <w:t>полос</w:t>
      </w:r>
      <w:r w:rsidR="004E085A" w:rsidRPr="00BD6B90">
        <w:t>ой</w:t>
      </w:r>
      <w:r w:rsidR="00742DA3" w:rsidRPr="00BD6B90">
        <w:t xml:space="preserve"> частот </w:t>
      </w:r>
      <w:r w:rsidR="0009196D" w:rsidRPr="00BD6B90">
        <w:t xml:space="preserve">1528−1525 МГц, </w:t>
      </w:r>
      <w:r w:rsidR="00742DA3" w:rsidRPr="00BD6B90">
        <w:t>так как исследования совместного использования</w:t>
      </w:r>
      <w:r w:rsidR="00453EE8" w:rsidRPr="00BD6B90">
        <w:t xml:space="preserve"> частот относительно </w:t>
      </w:r>
      <w:r w:rsidR="00742DA3" w:rsidRPr="00BD6B90">
        <w:t xml:space="preserve">сосуществования с </w:t>
      </w:r>
      <w:proofErr w:type="spellStart"/>
      <w:r w:rsidR="00742DA3" w:rsidRPr="00BD6B90">
        <w:t>ФС</w:t>
      </w:r>
      <w:proofErr w:type="spellEnd"/>
      <w:r w:rsidR="00742DA3" w:rsidRPr="00BD6B90">
        <w:t xml:space="preserve"> показывают, что расстояния разнесения, рассчитываемые для работы в совмещенном канале </w:t>
      </w:r>
      <w:r w:rsidR="00453EE8" w:rsidRPr="00BD6B90">
        <w:t>согласно допущениям</w:t>
      </w:r>
      <w:r w:rsidR="00742DA3" w:rsidRPr="00BD6B90">
        <w:t xml:space="preserve"> для наихудшего случая</w:t>
      </w:r>
      <w:r w:rsidR="004E085A" w:rsidRPr="00BD6B90">
        <w:t>,</w:t>
      </w:r>
      <w:r w:rsidR="00742DA3" w:rsidRPr="00BD6B90">
        <w:t xml:space="preserve"> могут оказаться довольно большими. Соответственно, согласованное использование всей этой полосы частот или ее участка </w:t>
      </w:r>
      <w:proofErr w:type="spellStart"/>
      <w:r w:rsidR="00742DA3" w:rsidRPr="00BD6B90">
        <w:t>ПС</w:t>
      </w:r>
      <w:proofErr w:type="spellEnd"/>
      <w:r w:rsidR="00742DA3" w:rsidRPr="00BD6B90">
        <w:t xml:space="preserve"> для внедрения </w:t>
      </w:r>
      <w:proofErr w:type="spellStart"/>
      <w:r w:rsidR="00742DA3" w:rsidRPr="00BD6B90">
        <w:t>IMT</w:t>
      </w:r>
      <w:proofErr w:type="spellEnd"/>
      <w:r w:rsidR="00742DA3" w:rsidRPr="00BD6B90">
        <w:t xml:space="preserve"> может </w:t>
      </w:r>
      <w:r w:rsidR="0046120F" w:rsidRPr="00BD6B90">
        <w:t>оказаться неосуществимым</w:t>
      </w:r>
      <w:r w:rsidR="00742DA3" w:rsidRPr="00BD6B90">
        <w:t>, в особенности на глобальной основе</w:t>
      </w:r>
      <w:r w:rsidR="0009196D" w:rsidRPr="00BD6B90">
        <w:t>.</w:t>
      </w:r>
    </w:p>
    <w:p w:rsidR="001421A7" w:rsidRPr="00BD6B90" w:rsidRDefault="0046120F" w:rsidP="0046120F">
      <w:pPr>
        <w:pStyle w:val="Reasons"/>
      </w:pPr>
      <w:r w:rsidRPr="00BD6B90">
        <w:t xml:space="preserve">Кроме того, </w:t>
      </w:r>
      <w:proofErr w:type="spellStart"/>
      <w:r w:rsidRPr="00BD6B90">
        <w:t>ВКР</w:t>
      </w:r>
      <w:proofErr w:type="spellEnd"/>
      <w:r w:rsidRPr="00BD6B90">
        <w:noBreakHyphen/>
        <w:t xml:space="preserve">03 распределила полосу </w:t>
      </w:r>
      <w:r w:rsidR="0009196D" w:rsidRPr="00BD6B90">
        <w:t xml:space="preserve">1518−1525 МГц </w:t>
      </w:r>
      <w:proofErr w:type="spellStart"/>
      <w:r w:rsidRPr="00BD6B90">
        <w:t>ПСС</w:t>
      </w:r>
      <w:proofErr w:type="spellEnd"/>
      <w:r w:rsidRPr="00BD6B90">
        <w:t xml:space="preserve">, а потенциал совместного использования частот системами </w:t>
      </w:r>
      <w:proofErr w:type="spellStart"/>
      <w:r w:rsidRPr="00BD6B90">
        <w:t>ПСС</w:t>
      </w:r>
      <w:proofErr w:type="spellEnd"/>
      <w:r w:rsidRPr="00BD6B90">
        <w:t xml:space="preserve"> с другими службами чрезвычайно ограничен. Отчасти это обусловлено широким покрытием, которое обеспечивает </w:t>
      </w:r>
      <w:proofErr w:type="spellStart"/>
      <w:r w:rsidRPr="00BD6B90">
        <w:t>ПСС</w:t>
      </w:r>
      <w:proofErr w:type="spellEnd"/>
      <w:r w:rsidRPr="00BD6B90">
        <w:t xml:space="preserve">, и высокой чувствительностью к помехам в этих полосах. Следовательно, данную полосу не следует определять для наземных систем </w:t>
      </w:r>
      <w:proofErr w:type="spellStart"/>
      <w:r w:rsidR="0009196D" w:rsidRPr="00BD6B90">
        <w:t>IMT</w:t>
      </w:r>
      <w:proofErr w:type="spellEnd"/>
      <w:r w:rsidR="0009196D" w:rsidRPr="00BD6B90">
        <w:t>.</w:t>
      </w:r>
    </w:p>
    <w:p w:rsidR="001421A7" w:rsidRPr="00BD6B90" w:rsidRDefault="00602D83">
      <w:pPr>
        <w:pStyle w:val="Proposal"/>
      </w:pPr>
      <w:proofErr w:type="spellStart"/>
      <w:r w:rsidRPr="00BD6B90">
        <w:rPr>
          <w:u w:val="single"/>
        </w:rPr>
        <w:t>NOC</w:t>
      </w:r>
      <w:proofErr w:type="spellEnd"/>
      <w:r w:rsidRPr="00BD6B90">
        <w:tab/>
      </w:r>
      <w:proofErr w:type="spellStart"/>
      <w:r w:rsidRPr="00BD6B90">
        <w:t>ARB</w:t>
      </w:r>
      <w:proofErr w:type="spellEnd"/>
      <w:r w:rsidRPr="00BD6B90">
        <w:t>/</w:t>
      </w:r>
      <w:proofErr w:type="spellStart"/>
      <w:r w:rsidRPr="00BD6B90">
        <w:t>25A1A5</w:t>
      </w:r>
      <w:proofErr w:type="spellEnd"/>
      <w:r w:rsidRPr="00BD6B90">
        <w:t>/2</w:t>
      </w:r>
    </w:p>
    <w:p w:rsidR="00602D83" w:rsidRPr="00BD6B90" w:rsidRDefault="00602D83" w:rsidP="00602D83">
      <w:pPr>
        <w:pStyle w:val="Tabletitle"/>
        <w:keepNext w:val="0"/>
        <w:keepLines w:val="0"/>
      </w:pPr>
      <w:r w:rsidRPr="00BD6B90">
        <w:t>2700–4800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02D83" w:rsidRPr="00BD6B90" w:rsidTr="004F25FF">
        <w:trPr>
          <w:cantSplit/>
        </w:trPr>
        <w:tc>
          <w:tcPr>
            <w:tcW w:w="5000" w:type="pct"/>
            <w:gridSpan w:val="3"/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Распределение по службам</w:t>
            </w:r>
          </w:p>
        </w:tc>
      </w:tr>
      <w:tr w:rsidR="00602D83" w:rsidRPr="00BD6B90" w:rsidTr="004F25FF">
        <w:trPr>
          <w:cantSplit/>
        </w:trPr>
        <w:tc>
          <w:tcPr>
            <w:tcW w:w="1667" w:type="pct"/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3</w:t>
            </w:r>
          </w:p>
        </w:tc>
      </w:tr>
      <w:tr w:rsidR="00602D83" w:rsidRPr="00BD6B90" w:rsidTr="004F25FF">
        <w:trPr>
          <w:cantSplit/>
        </w:trPr>
        <w:tc>
          <w:tcPr>
            <w:tcW w:w="1667" w:type="pct"/>
            <w:tcBorders>
              <w:right w:val="nil"/>
            </w:tcBorders>
          </w:tcPr>
          <w:p w:rsidR="00602D83" w:rsidRPr="00BD6B90" w:rsidRDefault="00602D83" w:rsidP="00602D83">
            <w:pPr>
              <w:spacing w:before="20" w:after="20"/>
              <w:rPr>
                <w:rStyle w:val="Tablefreq"/>
                <w:szCs w:val="18"/>
              </w:rPr>
            </w:pPr>
            <w:r w:rsidRPr="00BD6B90">
              <w:rPr>
                <w:rStyle w:val="Tablefreq"/>
                <w:szCs w:val="18"/>
              </w:rPr>
              <w:t>2 700–2 900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02D83" w:rsidRPr="00BD6B90" w:rsidRDefault="00602D83" w:rsidP="00602D8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D6B90">
              <w:rPr>
                <w:szCs w:val="18"/>
                <w:lang w:val="ru-RU"/>
              </w:rPr>
              <w:t xml:space="preserve">ВОЗДУШНАЯ </w:t>
            </w:r>
            <w:proofErr w:type="gramStart"/>
            <w:r w:rsidRPr="00BD6B90">
              <w:rPr>
                <w:szCs w:val="18"/>
                <w:lang w:val="ru-RU"/>
              </w:rPr>
              <w:t xml:space="preserve">РАДИОНАВИГАЦИОННАЯ  </w:t>
            </w:r>
            <w:r w:rsidRPr="00BD6B90">
              <w:rPr>
                <w:rStyle w:val="Artref"/>
                <w:szCs w:val="18"/>
                <w:lang w:val="ru-RU"/>
              </w:rPr>
              <w:t>5.337</w:t>
            </w:r>
            <w:proofErr w:type="gramEnd"/>
          </w:p>
          <w:p w:rsidR="00602D83" w:rsidRPr="00BD6B90" w:rsidRDefault="00602D83" w:rsidP="00602D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>Радиолокационная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D6B90">
              <w:rPr>
                <w:rStyle w:val="Artref"/>
                <w:lang w:val="ru-RU"/>
              </w:rPr>
              <w:t>5.423  5.424</w:t>
            </w:r>
          </w:p>
        </w:tc>
      </w:tr>
    </w:tbl>
    <w:p w:rsidR="0009196D" w:rsidRPr="00BD6B90" w:rsidRDefault="00602D83" w:rsidP="00453EE8">
      <w:pPr>
        <w:pStyle w:val="Reasons"/>
      </w:pPr>
      <w:proofErr w:type="gramStart"/>
      <w:r w:rsidRPr="00BD6B90">
        <w:rPr>
          <w:b/>
        </w:rPr>
        <w:t>Основания</w:t>
      </w:r>
      <w:r w:rsidRPr="00BD6B90">
        <w:rPr>
          <w:bCs/>
        </w:rPr>
        <w:t>:</w:t>
      </w:r>
      <w:r w:rsidRPr="00BD6B90">
        <w:tab/>
      </w:r>
      <w:proofErr w:type="gramEnd"/>
      <w:r w:rsidR="004E085A" w:rsidRPr="00BD6B90">
        <w:t xml:space="preserve">Отсутствие изменений, связанных с полосой частот </w:t>
      </w:r>
      <w:r w:rsidR="0009196D" w:rsidRPr="00BD6B90">
        <w:t>2700</w:t>
      </w:r>
      <w:r w:rsidR="003A5B0F" w:rsidRPr="00BD6B90">
        <w:t>−</w:t>
      </w:r>
      <w:r w:rsidR="0009196D" w:rsidRPr="00BD6B90">
        <w:t>2900 </w:t>
      </w:r>
      <w:r w:rsidR="003A5B0F" w:rsidRPr="00BD6B90">
        <w:t>МГц</w:t>
      </w:r>
      <w:r w:rsidR="0009196D" w:rsidRPr="00BD6B90">
        <w:t xml:space="preserve">, </w:t>
      </w:r>
      <w:r w:rsidR="004E085A" w:rsidRPr="00BD6B90">
        <w:t>так как данная полоса широко используется для радаров. В проведенных МСЭ-R исследованиях рассматривалась взаимосвязь между базовыми станциями и оборудованием пользователя (</w:t>
      </w:r>
      <w:proofErr w:type="spellStart"/>
      <w:r w:rsidR="004E085A" w:rsidRPr="00BD6B90">
        <w:t>UE</w:t>
      </w:r>
      <w:proofErr w:type="spellEnd"/>
      <w:r w:rsidR="004E085A" w:rsidRPr="00BD6B90">
        <w:t xml:space="preserve">) </w:t>
      </w:r>
      <w:proofErr w:type="spellStart"/>
      <w:r w:rsidR="004E085A" w:rsidRPr="00BD6B90">
        <w:t>IMT</w:t>
      </w:r>
      <w:proofErr w:type="spellEnd"/>
      <w:r w:rsidR="004E085A" w:rsidRPr="00BD6B90">
        <w:t xml:space="preserve">, а также всеми соответствующими типами систем радаров, описанных в Рекомендации МСЭ-R </w:t>
      </w:r>
      <w:proofErr w:type="spellStart"/>
      <w:r w:rsidR="004E085A" w:rsidRPr="00BD6B90">
        <w:t>M.1464</w:t>
      </w:r>
      <w:proofErr w:type="spellEnd"/>
      <w:r w:rsidR="004E085A" w:rsidRPr="00BD6B90">
        <w:t xml:space="preserve">. Кроме того, рассматривались помехи, причиняемые системами радаров базовым станциям и </w:t>
      </w:r>
      <w:proofErr w:type="spellStart"/>
      <w:r w:rsidR="004E085A" w:rsidRPr="00BD6B90">
        <w:t>UE</w:t>
      </w:r>
      <w:proofErr w:type="spellEnd"/>
      <w:r w:rsidR="004E085A" w:rsidRPr="00BD6B90">
        <w:t xml:space="preserve"> </w:t>
      </w:r>
      <w:proofErr w:type="spellStart"/>
      <w:r w:rsidR="004E085A" w:rsidRPr="00BD6B90">
        <w:t>IMT</w:t>
      </w:r>
      <w:proofErr w:type="spellEnd"/>
      <w:r w:rsidR="004E085A" w:rsidRPr="00BD6B90">
        <w:t>. Исследования показ</w:t>
      </w:r>
      <w:r w:rsidR="00453EE8" w:rsidRPr="00BD6B90">
        <w:t>ывают</w:t>
      </w:r>
      <w:r w:rsidR="004E085A" w:rsidRPr="00BD6B90">
        <w:t xml:space="preserve">, что в одном географическом районе работа на совпадающей частоте систем подвижной широкополосной связи и радаров неосуществима. Кроме того, использование всей этой полосы частот или ее частей </w:t>
      </w:r>
      <w:proofErr w:type="spellStart"/>
      <w:r w:rsidR="004E085A" w:rsidRPr="00BD6B90">
        <w:t>ПС</w:t>
      </w:r>
      <w:proofErr w:type="spellEnd"/>
      <w:r w:rsidR="004E085A" w:rsidRPr="00BD6B90">
        <w:t xml:space="preserve"> для внедрения </w:t>
      </w:r>
      <w:proofErr w:type="spellStart"/>
      <w:r w:rsidR="004E085A" w:rsidRPr="00BD6B90">
        <w:t>IMT</w:t>
      </w:r>
      <w:proofErr w:type="spellEnd"/>
      <w:r w:rsidR="004E085A" w:rsidRPr="00BD6B90">
        <w:t xml:space="preserve"> может оказаться неосуществимым, в особенности на глобальной основе</w:t>
      </w:r>
      <w:r w:rsidR="0009196D" w:rsidRPr="00BD6B90">
        <w:t>.</w:t>
      </w:r>
    </w:p>
    <w:p w:rsidR="001421A7" w:rsidRPr="00BD6B90" w:rsidRDefault="00602D83">
      <w:pPr>
        <w:pStyle w:val="Proposal"/>
      </w:pPr>
      <w:proofErr w:type="spellStart"/>
      <w:r w:rsidRPr="00BD6B90">
        <w:rPr>
          <w:u w:val="single"/>
        </w:rPr>
        <w:lastRenderedPageBreak/>
        <w:t>NOC</w:t>
      </w:r>
      <w:proofErr w:type="spellEnd"/>
      <w:r w:rsidRPr="00BD6B90">
        <w:tab/>
      </w:r>
      <w:proofErr w:type="spellStart"/>
      <w:r w:rsidRPr="00BD6B90">
        <w:t>ARB</w:t>
      </w:r>
      <w:proofErr w:type="spellEnd"/>
      <w:r w:rsidRPr="00BD6B90">
        <w:t>/</w:t>
      </w:r>
      <w:proofErr w:type="spellStart"/>
      <w:r w:rsidRPr="00BD6B90">
        <w:t>25A1A5</w:t>
      </w:r>
      <w:proofErr w:type="spellEnd"/>
      <w:r w:rsidRPr="00BD6B90">
        <w:t>/3</w:t>
      </w:r>
    </w:p>
    <w:p w:rsidR="00602D83" w:rsidRPr="00BD6B90" w:rsidRDefault="00602D83" w:rsidP="003A5B0F">
      <w:pPr>
        <w:pStyle w:val="Tabletitle"/>
        <w:keepLines w:val="0"/>
      </w:pPr>
      <w:r w:rsidRPr="00BD6B90">
        <w:t>2700–4800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02D83" w:rsidRPr="00BD6B90" w:rsidTr="004F25FF">
        <w:trPr>
          <w:cantSplit/>
        </w:trPr>
        <w:tc>
          <w:tcPr>
            <w:tcW w:w="5000" w:type="pct"/>
            <w:gridSpan w:val="3"/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Распределение по службам</w:t>
            </w:r>
          </w:p>
        </w:tc>
      </w:tr>
      <w:tr w:rsidR="00602D83" w:rsidRPr="00BD6B90" w:rsidTr="004F25FF">
        <w:trPr>
          <w:cantSplit/>
        </w:trPr>
        <w:tc>
          <w:tcPr>
            <w:tcW w:w="1667" w:type="pct"/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1</w:t>
            </w:r>
          </w:p>
        </w:tc>
        <w:tc>
          <w:tcPr>
            <w:tcW w:w="1667" w:type="pct"/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2</w:t>
            </w:r>
          </w:p>
        </w:tc>
        <w:tc>
          <w:tcPr>
            <w:tcW w:w="1666" w:type="pct"/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3</w:t>
            </w:r>
          </w:p>
        </w:tc>
      </w:tr>
      <w:tr w:rsidR="00602D83" w:rsidRPr="00BD6B90" w:rsidTr="004F25FF">
        <w:trPr>
          <w:cantSplit/>
        </w:trPr>
        <w:tc>
          <w:tcPr>
            <w:tcW w:w="1667" w:type="pct"/>
            <w:vMerge w:val="restart"/>
          </w:tcPr>
          <w:p w:rsidR="00602D83" w:rsidRPr="00BD6B90" w:rsidRDefault="00602D83" w:rsidP="00602D8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BD6B90">
              <w:rPr>
                <w:rStyle w:val="Tablefreq"/>
                <w:szCs w:val="18"/>
                <w:lang w:val="ru-RU"/>
              </w:rPr>
              <w:t>3 600–4 200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>ФИКСИРОВАННАЯ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 xml:space="preserve">ФИКСИРОВАННАЯ СПУТНИКОВАЯ </w:t>
            </w:r>
            <w:r w:rsidRPr="00BD6B90">
              <w:rPr>
                <w:szCs w:val="18"/>
                <w:lang w:val="ru-RU"/>
              </w:rPr>
              <w:br/>
              <w:t>(космос-Земля)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</w:tcPr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</w:tcPr>
          <w:p w:rsidR="00602D83" w:rsidRPr="00BD6B90" w:rsidRDefault="00602D83" w:rsidP="00602D8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BD6B90">
              <w:rPr>
                <w:rStyle w:val="Tablefreq"/>
                <w:szCs w:val="18"/>
                <w:lang w:val="ru-RU"/>
              </w:rPr>
              <w:t>3 600–3 700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>ФИКСИРОВАННАЯ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 xml:space="preserve">ФИКСИРОВАННАЯ СПУТНИКОВАЯ </w:t>
            </w:r>
            <w:r w:rsidRPr="00BD6B90">
              <w:rPr>
                <w:szCs w:val="18"/>
                <w:lang w:val="ru-RU"/>
              </w:rPr>
              <w:br/>
              <w:t>(космос-Земля)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rStyle w:val="Artref"/>
                <w:bCs w:val="0"/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 xml:space="preserve">Радиолокационная  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D6B90">
              <w:rPr>
                <w:rStyle w:val="Artref"/>
                <w:szCs w:val="18"/>
                <w:lang w:val="ru-RU"/>
              </w:rPr>
              <w:t>5.435</w:t>
            </w:r>
          </w:p>
        </w:tc>
      </w:tr>
      <w:tr w:rsidR="00602D83" w:rsidRPr="00BD6B90" w:rsidTr="004F25FF">
        <w:trPr>
          <w:cantSplit/>
        </w:trPr>
        <w:tc>
          <w:tcPr>
            <w:tcW w:w="1667" w:type="pct"/>
            <w:vMerge/>
          </w:tcPr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3" w:type="pct"/>
            <w:gridSpan w:val="2"/>
          </w:tcPr>
          <w:p w:rsidR="00602D83" w:rsidRPr="00BD6B90" w:rsidRDefault="00602D83" w:rsidP="00602D8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BD6B90">
              <w:rPr>
                <w:rStyle w:val="Tablefreq"/>
                <w:szCs w:val="18"/>
                <w:lang w:val="ru-RU"/>
              </w:rPr>
              <w:t>3 700–4 200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>ФИКСИРОВАННАЯ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4E085A" w:rsidRPr="00BD6B90" w:rsidRDefault="00602D83" w:rsidP="00453EE8">
      <w:pPr>
        <w:pStyle w:val="Reasons"/>
      </w:pPr>
      <w:proofErr w:type="gramStart"/>
      <w:r w:rsidRPr="00BD6B90">
        <w:rPr>
          <w:b/>
        </w:rPr>
        <w:t>Основания</w:t>
      </w:r>
      <w:r w:rsidRPr="00BD6B90">
        <w:rPr>
          <w:bCs/>
        </w:rPr>
        <w:t>:</w:t>
      </w:r>
      <w:r w:rsidRPr="00BD6B90">
        <w:tab/>
      </w:r>
      <w:proofErr w:type="gramEnd"/>
      <w:r w:rsidR="004E085A" w:rsidRPr="00BD6B90">
        <w:t xml:space="preserve">Отсутствие изменений, связанных с полосой частот </w:t>
      </w:r>
      <w:r w:rsidR="003A5B0F" w:rsidRPr="00BD6B90">
        <w:t xml:space="preserve">3800−4200 МГц. </w:t>
      </w:r>
      <w:r w:rsidR="00453EE8" w:rsidRPr="00BD6B90">
        <w:t>Ввиду</w:t>
      </w:r>
      <w:r w:rsidR="00A36DDD" w:rsidRPr="00BD6B90">
        <w:t xml:space="preserve"> широкого спутникового покрытия в полосе 3800−4200 МГц, </w:t>
      </w:r>
      <w:r w:rsidR="00453EE8" w:rsidRPr="00BD6B90">
        <w:t xml:space="preserve">во многих странах </w:t>
      </w:r>
      <w:r w:rsidR="00A36DDD" w:rsidRPr="00BD6B90">
        <w:t>данная полоса стала важной составной частью инфраструктуры электросвязи</w:t>
      </w:r>
      <w:r w:rsidR="00453EE8" w:rsidRPr="00BD6B90">
        <w:t xml:space="preserve">, </w:t>
      </w:r>
      <w:r w:rsidR="00A36DDD" w:rsidRPr="00BD6B90">
        <w:t>обеспечива</w:t>
      </w:r>
      <w:r w:rsidR="00453EE8" w:rsidRPr="00BD6B90">
        <w:t>ющей</w:t>
      </w:r>
      <w:r w:rsidR="00A36DDD" w:rsidRPr="00BD6B90">
        <w:t xml:space="preserve"> множество услуг, в том числе сети терминалов с очень малой апертурой (</w:t>
      </w:r>
      <w:proofErr w:type="spellStart"/>
      <w:r w:rsidR="00A36DDD" w:rsidRPr="00BD6B90">
        <w:t>VSAT</w:t>
      </w:r>
      <w:proofErr w:type="spellEnd"/>
      <w:r w:rsidR="00A36DDD" w:rsidRPr="00BD6B90">
        <w:t xml:space="preserve">), соединения для поставщиков услуг интернета, линии связи пункта с многими пунктами, спутниковый сбор новостей, а также телевизионное вещание. Соответственно, страны, подписавшие эти предложения, считают, что данная полоса не подходит для развертывания станций </w:t>
      </w:r>
      <w:proofErr w:type="spellStart"/>
      <w:r w:rsidR="00A36DDD" w:rsidRPr="00BD6B90">
        <w:t>ПС</w:t>
      </w:r>
      <w:proofErr w:type="spellEnd"/>
      <w:r w:rsidR="00A36DDD" w:rsidRPr="00BD6B90">
        <w:t>.</w:t>
      </w:r>
    </w:p>
    <w:p w:rsidR="001421A7" w:rsidRPr="00BD6B90" w:rsidRDefault="00602D83">
      <w:pPr>
        <w:pStyle w:val="Proposal"/>
      </w:pPr>
      <w:proofErr w:type="spellStart"/>
      <w:r w:rsidRPr="00BD6B90">
        <w:rPr>
          <w:u w:val="single"/>
        </w:rPr>
        <w:t>NOC</w:t>
      </w:r>
      <w:proofErr w:type="spellEnd"/>
      <w:r w:rsidRPr="00BD6B90">
        <w:tab/>
      </w:r>
      <w:proofErr w:type="spellStart"/>
      <w:r w:rsidRPr="00BD6B90">
        <w:t>ARB</w:t>
      </w:r>
      <w:proofErr w:type="spellEnd"/>
      <w:r w:rsidRPr="00BD6B90">
        <w:t>/</w:t>
      </w:r>
      <w:proofErr w:type="spellStart"/>
      <w:r w:rsidRPr="00BD6B90">
        <w:t>25A1A5</w:t>
      </w:r>
      <w:proofErr w:type="spellEnd"/>
      <w:r w:rsidRPr="00BD6B90">
        <w:t>/4</w:t>
      </w:r>
    </w:p>
    <w:p w:rsidR="00602D83" w:rsidRPr="00BD6B90" w:rsidRDefault="00602D83" w:rsidP="00602D83">
      <w:pPr>
        <w:pStyle w:val="Tabletitle"/>
        <w:keepNext w:val="0"/>
        <w:keepLines w:val="0"/>
      </w:pPr>
      <w:r w:rsidRPr="00BD6B90">
        <w:t>2700–4800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02D83" w:rsidRPr="00BD6B90" w:rsidTr="004F25FF">
        <w:trPr>
          <w:cantSplit/>
        </w:trPr>
        <w:tc>
          <w:tcPr>
            <w:tcW w:w="5000" w:type="pct"/>
            <w:gridSpan w:val="3"/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Распределение по службам</w:t>
            </w:r>
          </w:p>
        </w:tc>
      </w:tr>
      <w:tr w:rsidR="00602D83" w:rsidRPr="00BD6B90" w:rsidTr="004F25FF">
        <w:trPr>
          <w:cantSplit/>
        </w:trPr>
        <w:tc>
          <w:tcPr>
            <w:tcW w:w="1667" w:type="pct"/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3</w:t>
            </w:r>
          </w:p>
        </w:tc>
      </w:tr>
      <w:tr w:rsidR="00602D83" w:rsidRPr="00BD6B90" w:rsidTr="004F25FF">
        <w:trPr>
          <w:cantSplit/>
        </w:trPr>
        <w:tc>
          <w:tcPr>
            <w:tcW w:w="1667" w:type="pct"/>
            <w:tcBorders>
              <w:right w:val="nil"/>
            </w:tcBorders>
          </w:tcPr>
          <w:p w:rsidR="00602D83" w:rsidRPr="00BD6B90" w:rsidRDefault="00602D83" w:rsidP="00602D8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BD6B90">
              <w:rPr>
                <w:rStyle w:val="Tablefreq"/>
                <w:szCs w:val="18"/>
                <w:lang w:val="ru-RU"/>
              </w:rPr>
              <w:t>4 400–4 500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02D83" w:rsidRPr="00BD6B90" w:rsidRDefault="00602D83" w:rsidP="00602D83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BD6B90">
              <w:rPr>
                <w:lang w:val="ru-RU"/>
              </w:rPr>
              <w:t xml:space="preserve">ФИКСИРОВАННАЯ 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ind w:left="85"/>
              <w:rPr>
                <w:lang w:val="ru-RU"/>
              </w:rPr>
            </w:pPr>
            <w:proofErr w:type="gramStart"/>
            <w:r w:rsidRPr="00BD6B90">
              <w:rPr>
                <w:lang w:val="ru-RU"/>
              </w:rPr>
              <w:t xml:space="preserve">ПОДВИЖНАЯ  </w:t>
            </w:r>
            <w:proofErr w:type="spellStart"/>
            <w:r w:rsidRPr="00BD6B90">
              <w:rPr>
                <w:rStyle w:val="Artref"/>
                <w:lang w:val="ru-RU"/>
              </w:rPr>
              <w:t>5.440А</w:t>
            </w:r>
            <w:proofErr w:type="spellEnd"/>
            <w:proofErr w:type="gramEnd"/>
          </w:p>
        </w:tc>
      </w:tr>
    </w:tbl>
    <w:p w:rsidR="001421A7" w:rsidRPr="00BD6B90" w:rsidRDefault="00602D83" w:rsidP="00A36DDD">
      <w:pPr>
        <w:pStyle w:val="Reasons"/>
      </w:pPr>
      <w:proofErr w:type="gramStart"/>
      <w:r w:rsidRPr="00BD6B90">
        <w:rPr>
          <w:b/>
        </w:rPr>
        <w:t>Основания</w:t>
      </w:r>
      <w:r w:rsidRPr="00BD6B90">
        <w:rPr>
          <w:bCs/>
        </w:rPr>
        <w:t>:</w:t>
      </w:r>
      <w:r w:rsidRPr="00BD6B90">
        <w:tab/>
      </w:r>
      <w:proofErr w:type="gramEnd"/>
      <w:r w:rsidR="00A36DDD" w:rsidRPr="00BD6B90">
        <w:t xml:space="preserve">Отсутствие изменений, связанных с полосой частот </w:t>
      </w:r>
      <w:r w:rsidR="002B0445" w:rsidRPr="00BD6B90">
        <w:t>4</w:t>
      </w:r>
      <w:r w:rsidR="003A5B0F" w:rsidRPr="00BD6B90">
        <w:t>400</w:t>
      </w:r>
      <w:r w:rsidR="002B0445" w:rsidRPr="00BD6B90">
        <w:t>−</w:t>
      </w:r>
      <w:r w:rsidR="003A5B0F" w:rsidRPr="00BD6B90">
        <w:t>4500 </w:t>
      </w:r>
      <w:r w:rsidR="002B0445" w:rsidRPr="00BD6B90">
        <w:t>МГц</w:t>
      </w:r>
      <w:r w:rsidR="003A5B0F" w:rsidRPr="00BD6B90">
        <w:t xml:space="preserve">, </w:t>
      </w:r>
      <w:r w:rsidR="00A36DDD" w:rsidRPr="00BD6B90">
        <w:t xml:space="preserve">с учетом того, что в отношении помех в совмещенном канале в одном исследовании совместного использования частот показано, что для защиты определенных типов станций </w:t>
      </w:r>
      <w:proofErr w:type="spellStart"/>
      <w:r w:rsidR="00A36DDD" w:rsidRPr="00BD6B90">
        <w:t>ВПС</w:t>
      </w:r>
      <w:proofErr w:type="spellEnd"/>
      <w:r w:rsidR="00A36DDD" w:rsidRPr="00BD6B90">
        <w:t xml:space="preserve"> требуются большие расстояния разнесения. Кроме того, исследования совместного использования частот с </w:t>
      </w:r>
      <w:proofErr w:type="spellStart"/>
      <w:r w:rsidR="00A36DDD" w:rsidRPr="00BD6B90">
        <w:t>ФС</w:t>
      </w:r>
      <w:proofErr w:type="spellEnd"/>
      <w:r w:rsidR="00A36DDD" w:rsidRPr="00BD6B90">
        <w:t xml:space="preserve"> также указывают на необходимость обеспечения расстояний разнесений до </w:t>
      </w:r>
      <w:r w:rsidR="003A5B0F" w:rsidRPr="00BD6B90">
        <w:t>70 </w:t>
      </w:r>
      <w:r w:rsidR="002B0445" w:rsidRPr="00BD6B90">
        <w:t>км</w:t>
      </w:r>
      <w:r w:rsidR="003A5B0F" w:rsidRPr="00BD6B90">
        <w:t xml:space="preserve">. </w:t>
      </w:r>
      <w:r w:rsidR="00A36DDD" w:rsidRPr="00BD6B90">
        <w:t xml:space="preserve">Будет трудно обеспечить совместимость предлагаемых систем </w:t>
      </w:r>
      <w:proofErr w:type="spellStart"/>
      <w:r w:rsidR="00A36DDD" w:rsidRPr="00BD6B90">
        <w:t>IMT</w:t>
      </w:r>
      <w:proofErr w:type="spellEnd"/>
      <w:r w:rsidR="00A36DDD" w:rsidRPr="00BD6B90">
        <w:t xml:space="preserve"> и существующих станций </w:t>
      </w:r>
      <w:proofErr w:type="spellStart"/>
      <w:r w:rsidR="00A36DDD" w:rsidRPr="00BD6B90">
        <w:t>ФС</w:t>
      </w:r>
      <w:proofErr w:type="spellEnd"/>
      <w:r w:rsidR="00A36DDD" w:rsidRPr="00BD6B90">
        <w:t xml:space="preserve"> в одном географическом регионе, где широко развернуты сети </w:t>
      </w:r>
      <w:proofErr w:type="spellStart"/>
      <w:r w:rsidR="00A36DDD" w:rsidRPr="00BD6B90">
        <w:t>ФС</w:t>
      </w:r>
      <w:proofErr w:type="spellEnd"/>
      <w:r w:rsidR="003A5B0F" w:rsidRPr="00BD6B90">
        <w:t>.</w:t>
      </w:r>
    </w:p>
    <w:p w:rsidR="001421A7" w:rsidRPr="00BD6B90" w:rsidRDefault="00602D83">
      <w:pPr>
        <w:pStyle w:val="Proposal"/>
      </w:pPr>
      <w:proofErr w:type="spellStart"/>
      <w:r w:rsidRPr="00BD6B90">
        <w:rPr>
          <w:u w:val="single"/>
        </w:rPr>
        <w:t>NOC</w:t>
      </w:r>
      <w:proofErr w:type="spellEnd"/>
      <w:r w:rsidRPr="00BD6B90">
        <w:tab/>
      </w:r>
      <w:proofErr w:type="spellStart"/>
      <w:r w:rsidRPr="00BD6B90">
        <w:t>ARB</w:t>
      </w:r>
      <w:proofErr w:type="spellEnd"/>
      <w:r w:rsidRPr="00BD6B90">
        <w:t>/</w:t>
      </w:r>
      <w:proofErr w:type="spellStart"/>
      <w:r w:rsidRPr="00BD6B90">
        <w:t>25A1A5</w:t>
      </w:r>
      <w:proofErr w:type="spellEnd"/>
      <w:r w:rsidRPr="00BD6B90">
        <w:t>/5</w:t>
      </w:r>
    </w:p>
    <w:p w:rsidR="00602D83" w:rsidRPr="00BD6B90" w:rsidRDefault="00602D83" w:rsidP="00602D83">
      <w:pPr>
        <w:pStyle w:val="Tabletitle"/>
        <w:keepNext w:val="0"/>
        <w:keepLines w:val="0"/>
      </w:pPr>
      <w:r w:rsidRPr="00BD6B90">
        <w:t>2700–4800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02D83" w:rsidRPr="00BD6B90" w:rsidTr="004F25FF">
        <w:trPr>
          <w:cantSplit/>
        </w:trPr>
        <w:tc>
          <w:tcPr>
            <w:tcW w:w="5000" w:type="pct"/>
            <w:gridSpan w:val="3"/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Распределение по службам</w:t>
            </w:r>
          </w:p>
        </w:tc>
      </w:tr>
      <w:tr w:rsidR="00602D83" w:rsidRPr="00BD6B90" w:rsidTr="004F25FF">
        <w:trPr>
          <w:cantSplit/>
        </w:trPr>
        <w:tc>
          <w:tcPr>
            <w:tcW w:w="1667" w:type="pct"/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3</w:t>
            </w:r>
          </w:p>
        </w:tc>
      </w:tr>
      <w:tr w:rsidR="00602D83" w:rsidRPr="00BD6B90" w:rsidTr="004F25FF">
        <w:trPr>
          <w:cantSplit/>
        </w:trPr>
        <w:tc>
          <w:tcPr>
            <w:tcW w:w="1667" w:type="pct"/>
            <w:tcBorders>
              <w:right w:val="nil"/>
            </w:tcBorders>
          </w:tcPr>
          <w:p w:rsidR="00602D83" w:rsidRPr="00BD6B90" w:rsidRDefault="00602D83" w:rsidP="00602D8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BD6B90">
              <w:rPr>
                <w:rStyle w:val="Tablefreq"/>
                <w:szCs w:val="18"/>
                <w:lang w:val="ru-RU"/>
              </w:rPr>
              <w:t>4 500–4 800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02D83" w:rsidRPr="00BD6B90" w:rsidRDefault="00602D83" w:rsidP="00602D83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BD6B90">
              <w:rPr>
                <w:lang w:val="ru-RU"/>
              </w:rPr>
              <w:t>ФИКСИРОВАННАЯ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ind w:left="85"/>
              <w:rPr>
                <w:rStyle w:val="Artref"/>
                <w:lang w:val="ru-RU"/>
              </w:rPr>
            </w:pPr>
            <w:r w:rsidRPr="00BD6B90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BD6B90">
              <w:rPr>
                <w:lang w:val="ru-RU"/>
              </w:rPr>
              <w:t xml:space="preserve">)  </w:t>
            </w:r>
            <w:r w:rsidRPr="00BD6B90">
              <w:rPr>
                <w:rStyle w:val="Artref"/>
                <w:lang w:val="ru-RU"/>
              </w:rPr>
              <w:t>5.441</w:t>
            </w:r>
            <w:proofErr w:type="gramEnd"/>
          </w:p>
          <w:p w:rsidR="00602D83" w:rsidRPr="00BD6B90" w:rsidRDefault="00602D83" w:rsidP="00602D83">
            <w:pPr>
              <w:pStyle w:val="TableTextS5"/>
              <w:spacing w:before="20" w:after="20"/>
              <w:ind w:left="85"/>
              <w:rPr>
                <w:lang w:val="ru-RU"/>
              </w:rPr>
            </w:pPr>
            <w:proofErr w:type="gramStart"/>
            <w:r w:rsidRPr="00BD6B90">
              <w:rPr>
                <w:lang w:val="ru-RU"/>
              </w:rPr>
              <w:t xml:space="preserve">ПОДВИЖНАЯ  </w:t>
            </w:r>
            <w:proofErr w:type="spellStart"/>
            <w:r w:rsidRPr="00BD6B90">
              <w:rPr>
                <w:rStyle w:val="Artref"/>
                <w:lang w:val="ru-RU"/>
              </w:rPr>
              <w:t>5.440А</w:t>
            </w:r>
            <w:proofErr w:type="spellEnd"/>
            <w:proofErr w:type="gramEnd"/>
          </w:p>
        </w:tc>
      </w:tr>
    </w:tbl>
    <w:p w:rsidR="001421A7" w:rsidRPr="00BD6B90" w:rsidRDefault="00602D83" w:rsidP="00903DEB">
      <w:pPr>
        <w:pStyle w:val="Reasons"/>
      </w:pPr>
      <w:proofErr w:type="gramStart"/>
      <w:r w:rsidRPr="00BD6B90">
        <w:rPr>
          <w:b/>
        </w:rPr>
        <w:t>Основания</w:t>
      </w:r>
      <w:r w:rsidRPr="00BD6B90">
        <w:rPr>
          <w:bCs/>
        </w:rPr>
        <w:t>:</w:t>
      </w:r>
      <w:r w:rsidRPr="00BD6B90">
        <w:tab/>
      </w:r>
      <w:proofErr w:type="gramEnd"/>
      <w:r w:rsidR="00E21432" w:rsidRPr="00BD6B90">
        <w:t>Отсутствие изменений, связанных с полосой частот</w:t>
      </w:r>
      <w:r w:rsidR="003A5B0F" w:rsidRPr="00BD6B90">
        <w:t xml:space="preserve"> 4500</w:t>
      </w:r>
      <w:r w:rsidR="002B0445" w:rsidRPr="00BD6B90">
        <w:t>−4</w:t>
      </w:r>
      <w:r w:rsidR="003A5B0F" w:rsidRPr="00BD6B90">
        <w:t>800 </w:t>
      </w:r>
      <w:r w:rsidR="002B0445" w:rsidRPr="00BD6B90">
        <w:t>МГц</w:t>
      </w:r>
      <w:r w:rsidR="003A5B0F" w:rsidRPr="00BD6B90">
        <w:t xml:space="preserve">, </w:t>
      </w:r>
      <w:r w:rsidR="00E21432" w:rsidRPr="00BD6B90">
        <w:t xml:space="preserve">с учетом того, что в Приложении </w:t>
      </w:r>
      <w:proofErr w:type="spellStart"/>
      <w:r w:rsidR="00E21432" w:rsidRPr="00BD6B90">
        <w:t>30B</w:t>
      </w:r>
      <w:proofErr w:type="spellEnd"/>
      <w:r w:rsidR="00E21432" w:rsidRPr="00BD6B90">
        <w:t xml:space="preserve"> к Регламенту радиосвязи содержатся всемирные Планы в диапазонах 4/6 ГГц и 10−11/13 ГГц. Данное Приложение и его План </w:t>
      </w:r>
      <w:r w:rsidR="00453EE8" w:rsidRPr="00BD6B90">
        <w:t xml:space="preserve">для </w:t>
      </w:r>
      <w:r w:rsidR="00E21432" w:rsidRPr="00BD6B90">
        <w:t xml:space="preserve">диапазона 4/6 ГГц </w:t>
      </w:r>
      <w:r w:rsidR="00903DEB" w:rsidRPr="00BD6B90">
        <w:t>будут использовать</w:t>
      </w:r>
      <w:r w:rsidR="00453EE8" w:rsidRPr="00BD6B90">
        <w:t>ся</w:t>
      </w:r>
      <w:r w:rsidR="00903DEB" w:rsidRPr="00BD6B90">
        <w:t xml:space="preserve"> </w:t>
      </w:r>
      <w:r w:rsidR="00E21432" w:rsidRPr="00BD6B90">
        <w:t>в качестве вспомогательной базы для инфраструктуры электросвязи</w:t>
      </w:r>
      <w:r w:rsidR="00903DEB" w:rsidRPr="00BD6B90">
        <w:t xml:space="preserve">. Соответственно, данная полоса не подходит для развертывания станций </w:t>
      </w:r>
      <w:proofErr w:type="spellStart"/>
      <w:r w:rsidR="00903DEB" w:rsidRPr="00BD6B90">
        <w:t>ПС</w:t>
      </w:r>
      <w:proofErr w:type="spellEnd"/>
      <w:r w:rsidR="004F25FF" w:rsidRPr="00BD6B90">
        <w:t>.</w:t>
      </w:r>
    </w:p>
    <w:p w:rsidR="001421A7" w:rsidRPr="00BD6B90" w:rsidRDefault="00602D83">
      <w:pPr>
        <w:pStyle w:val="Proposal"/>
      </w:pPr>
      <w:proofErr w:type="spellStart"/>
      <w:r w:rsidRPr="00BD6B90">
        <w:rPr>
          <w:u w:val="single"/>
        </w:rPr>
        <w:lastRenderedPageBreak/>
        <w:t>NOC</w:t>
      </w:r>
      <w:proofErr w:type="spellEnd"/>
      <w:r w:rsidRPr="00BD6B90">
        <w:tab/>
      </w:r>
      <w:proofErr w:type="spellStart"/>
      <w:r w:rsidRPr="00BD6B90">
        <w:t>ARB</w:t>
      </w:r>
      <w:proofErr w:type="spellEnd"/>
      <w:r w:rsidRPr="00BD6B90">
        <w:t>/</w:t>
      </w:r>
      <w:proofErr w:type="spellStart"/>
      <w:r w:rsidRPr="00BD6B90">
        <w:t>25A1A5</w:t>
      </w:r>
      <w:proofErr w:type="spellEnd"/>
      <w:r w:rsidRPr="00BD6B90">
        <w:t>/6</w:t>
      </w:r>
    </w:p>
    <w:p w:rsidR="00602D83" w:rsidRPr="00BD6B90" w:rsidRDefault="00602D83" w:rsidP="00602D83">
      <w:pPr>
        <w:pStyle w:val="Tabletitle"/>
      </w:pPr>
      <w:r w:rsidRPr="00BD6B90">
        <w:t>4800–5570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02D83" w:rsidRPr="00BD6B90" w:rsidTr="004F25FF">
        <w:trPr>
          <w:cantSplit/>
        </w:trPr>
        <w:tc>
          <w:tcPr>
            <w:tcW w:w="5000" w:type="pct"/>
            <w:gridSpan w:val="3"/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Распределение по службам</w:t>
            </w:r>
          </w:p>
        </w:tc>
      </w:tr>
      <w:tr w:rsidR="00602D83" w:rsidRPr="00BD6B90" w:rsidTr="004F25FF">
        <w:trPr>
          <w:cantSplit/>
        </w:trPr>
        <w:tc>
          <w:tcPr>
            <w:tcW w:w="1667" w:type="pct"/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3</w:t>
            </w:r>
          </w:p>
        </w:tc>
      </w:tr>
      <w:tr w:rsidR="00602D83" w:rsidRPr="00BD6B90" w:rsidTr="004F25FF">
        <w:trPr>
          <w:cantSplit/>
        </w:trPr>
        <w:tc>
          <w:tcPr>
            <w:tcW w:w="1667" w:type="pct"/>
            <w:tcBorders>
              <w:right w:val="nil"/>
            </w:tcBorders>
          </w:tcPr>
          <w:p w:rsidR="00602D83" w:rsidRPr="00BD6B90" w:rsidRDefault="00602D83" w:rsidP="00602D8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BD6B90">
              <w:rPr>
                <w:rStyle w:val="Tablefreq"/>
                <w:szCs w:val="18"/>
                <w:lang w:val="ru-RU"/>
              </w:rPr>
              <w:t>4 800–4 990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02D83" w:rsidRPr="00BD6B90" w:rsidRDefault="00602D83" w:rsidP="00602D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>ФИКСИРОВАННАЯ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BD6B90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BD6B90">
              <w:rPr>
                <w:rStyle w:val="Artref"/>
                <w:szCs w:val="18"/>
                <w:lang w:val="ru-RU"/>
              </w:rPr>
              <w:t>5.440А</w:t>
            </w:r>
            <w:proofErr w:type="spellEnd"/>
            <w:proofErr w:type="gramEnd"/>
            <w:r w:rsidRPr="00BD6B90">
              <w:rPr>
                <w:rStyle w:val="Artref"/>
                <w:szCs w:val="18"/>
                <w:lang w:val="ru-RU"/>
              </w:rPr>
              <w:t xml:space="preserve">  5.442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>Радиоастрономическая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D6B90">
              <w:rPr>
                <w:rStyle w:val="Artref"/>
                <w:szCs w:val="18"/>
                <w:lang w:val="ru-RU"/>
              </w:rPr>
              <w:t>5.149  5.339  5.443</w:t>
            </w:r>
          </w:p>
        </w:tc>
      </w:tr>
    </w:tbl>
    <w:p w:rsidR="00903DEB" w:rsidRPr="00BD6B90" w:rsidRDefault="00602D83" w:rsidP="00903DEB">
      <w:pPr>
        <w:pStyle w:val="Reasons"/>
      </w:pPr>
      <w:proofErr w:type="gramStart"/>
      <w:r w:rsidRPr="00BD6B90">
        <w:rPr>
          <w:b/>
        </w:rPr>
        <w:t>Основания</w:t>
      </w:r>
      <w:r w:rsidRPr="00BD6B90">
        <w:rPr>
          <w:bCs/>
        </w:rPr>
        <w:t>:</w:t>
      </w:r>
      <w:r w:rsidRPr="00BD6B90">
        <w:tab/>
      </w:r>
      <w:proofErr w:type="gramEnd"/>
      <w:r w:rsidR="00903DEB" w:rsidRPr="00BD6B90">
        <w:t>Отсутствие изменений, связанных с полосой частот</w:t>
      </w:r>
      <w:r w:rsidR="003A5B0F" w:rsidRPr="00BD6B90">
        <w:t xml:space="preserve"> 4800</w:t>
      </w:r>
      <w:r w:rsidR="002B0445" w:rsidRPr="00BD6B90">
        <w:t>−4</w:t>
      </w:r>
      <w:r w:rsidR="003A5B0F" w:rsidRPr="00BD6B90">
        <w:t>990 </w:t>
      </w:r>
      <w:r w:rsidR="002B0445" w:rsidRPr="00BD6B90">
        <w:t>МГц</w:t>
      </w:r>
      <w:r w:rsidR="003A5B0F" w:rsidRPr="00BD6B90">
        <w:t xml:space="preserve">, </w:t>
      </w:r>
      <w:r w:rsidR="00903DEB" w:rsidRPr="00BD6B90">
        <w:t xml:space="preserve">с учетом того, что исследования совместного использования частот с </w:t>
      </w:r>
      <w:proofErr w:type="spellStart"/>
      <w:r w:rsidR="00903DEB" w:rsidRPr="00BD6B90">
        <w:t>ФС</w:t>
      </w:r>
      <w:proofErr w:type="spellEnd"/>
      <w:r w:rsidR="00903DEB" w:rsidRPr="00BD6B90">
        <w:t xml:space="preserve"> указывают на необходимость обеспечения расстояний разнесений до 70 км. Будет трудно обеспечить совместимость предлагаемых систем </w:t>
      </w:r>
      <w:proofErr w:type="spellStart"/>
      <w:r w:rsidR="00903DEB" w:rsidRPr="00BD6B90">
        <w:t>IMT</w:t>
      </w:r>
      <w:proofErr w:type="spellEnd"/>
      <w:r w:rsidR="00903DEB" w:rsidRPr="00BD6B90">
        <w:t xml:space="preserve"> и существующих станций </w:t>
      </w:r>
      <w:proofErr w:type="spellStart"/>
      <w:r w:rsidR="00903DEB" w:rsidRPr="00BD6B90">
        <w:t>ФС</w:t>
      </w:r>
      <w:proofErr w:type="spellEnd"/>
      <w:r w:rsidR="00903DEB" w:rsidRPr="00BD6B90">
        <w:t xml:space="preserve"> в одном географическом регионе, где широко развернуты сети </w:t>
      </w:r>
      <w:proofErr w:type="spellStart"/>
      <w:r w:rsidR="00903DEB" w:rsidRPr="00BD6B90">
        <w:t>ФС</w:t>
      </w:r>
      <w:proofErr w:type="spellEnd"/>
      <w:r w:rsidR="00903DEB" w:rsidRPr="00BD6B90">
        <w:t>.</w:t>
      </w:r>
    </w:p>
    <w:p w:rsidR="001421A7" w:rsidRPr="00BD6B90" w:rsidRDefault="00602D83">
      <w:pPr>
        <w:pStyle w:val="Proposal"/>
      </w:pPr>
      <w:proofErr w:type="spellStart"/>
      <w:r w:rsidRPr="00BD6B90">
        <w:rPr>
          <w:u w:val="single"/>
        </w:rPr>
        <w:t>NOC</w:t>
      </w:r>
      <w:proofErr w:type="spellEnd"/>
      <w:r w:rsidRPr="00BD6B90">
        <w:tab/>
      </w:r>
      <w:proofErr w:type="spellStart"/>
      <w:r w:rsidRPr="00BD6B90">
        <w:t>ARB</w:t>
      </w:r>
      <w:proofErr w:type="spellEnd"/>
      <w:r w:rsidRPr="00BD6B90">
        <w:t>/</w:t>
      </w:r>
      <w:proofErr w:type="spellStart"/>
      <w:r w:rsidRPr="00BD6B90">
        <w:t>25A1A5</w:t>
      </w:r>
      <w:proofErr w:type="spellEnd"/>
      <w:r w:rsidRPr="00BD6B90">
        <w:t>/7</w:t>
      </w:r>
    </w:p>
    <w:p w:rsidR="00602D83" w:rsidRPr="00BD6B90" w:rsidRDefault="00602D83" w:rsidP="00602D83">
      <w:pPr>
        <w:pStyle w:val="Tabletitle"/>
      </w:pPr>
      <w:r w:rsidRPr="00BD6B90">
        <w:t>4800–5570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02D83" w:rsidRPr="00BD6B90" w:rsidTr="004F25FF">
        <w:trPr>
          <w:cantSplit/>
        </w:trPr>
        <w:tc>
          <w:tcPr>
            <w:tcW w:w="5000" w:type="pct"/>
            <w:gridSpan w:val="3"/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Распределение по службам</w:t>
            </w:r>
          </w:p>
        </w:tc>
      </w:tr>
      <w:tr w:rsidR="00602D83" w:rsidRPr="00BD6B90" w:rsidTr="004F25FF">
        <w:trPr>
          <w:cantSplit/>
        </w:trPr>
        <w:tc>
          <w:tcPr>
            <w:tcW w:w="1667" w:type="pct"/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3</w:t>
            </w:r>
          </w:p>
        </w:tc>
      </w:tr>
      <w:tr w:rsidR="00602D83" w:rsidRPr="00BD6B90" w:rsidTr="004F25FF">
        <w:trPr>
          <w:cantSplit/>
        </w:trPr>
        <w:tc>
          <w:tcPr>
            <w:tcW w:w="1667" w:type="pct"/>
            <w:tcBorders>
              <w:right w:val="nil"/>
            </w:tcBorders>
          </w:tcPr>
          <w:p w:rsidR="00602D83" w:rsidRPr="00BD6B90" w:rsidRDefault="00602D83" w:rsidP="00602D8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BD6B90">
              <w:rPr>
                <w:rStyle w:val="Tablefreq"/>
                <w:szCs w:val="18"/>
                <w:lang w:val="ru-RU"/>
              </w:rPr>
              <w:t>5 350–5 460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02D83" w:rsidRPr="00BD6B90" w:rsidRDefault="00602D83" w:rsidP="00602D8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D6B90">
              <w:rPr>
                <w:lang w:val="ru-RU"/>
              </w:rPr>
              <w:t>СПУТНИКОВАЯ СЛУЖБА ИССЛЕДОВАНИЯ ЗЕМЛИ (активная</w:t>
            </w:r>
            <w:proofErr w:type="gramStart"/>
            <w:r w:rsidRPr="00BD6B90">
              <w:rPr>
                <w:lang w:val="ru-RU"/>
              </w:rPr>
              <w:t xml:space="preserve">)  </w:t>
            </w:r>
            <w:proofErr w:type="spellStart"/>
            <w:r w:rsidRPr="00BD6B90">
              <w:rPr>
                <w:rStyle w:val="Artref"/>
                <w:lang w:val="ru-RU"/>
              </w:rPr>
              <w:t>5.448B</w:t>
            </w:r>
            <w:proofErr w:type="spellEnd"/>
            <w:proofErr w:type="gramEnd"/>
          </w:p>
          <w:p w:rsidR="00602D83" w:rsidRPr="00BD6B90" w:rsidRDefault="00602D83" w:rsidP="00602D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BD6B90">
              <w:rPr>
                <w:lang w:val="ru-RU"/>
              </w:rPr>
              <w:t xml:space="preserve">РАДИОЛОКАЦИОННАЯ  </w:t>
            </w:r>
            <w:proofErr w:type="spellStart"/>
            <w:r w:rsidRPr="00BD6B90">
              <w:rPr>
                <w:rStyle w:val="Artref"/>
                <w:lang w:val="ru-RU"/>
              </w:rPr>
              <w:t>5.448D</w:t>
            </w:r>
            <w:proofErr w:type="spellEnd"/>
            <w:proofErr w:type="gramEnd"/>
          </w:p>
          <w:p w:rsidR="00602D83" w:rsidRPr="00BD6B90" w:rsidRDefault="00602D83" w:rsidP="00602D8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D6B90">
              <w:rPr>
                <w:szCs w:val="18"/>
                <w:lang w:val="ru-RU"/>
              </w:rPr>
              <w:t xml:space="preserve">ВОЗДУШНАЯ </w:t>
            </w:r>
            <w:proofErr w:type="gramStart"/>
            <w:r w:rsidRPr="00BD6B90">
              <w:rPr>
                <w:szCs w:val="18"/>
                <w:lang w:val="ru-RU"/>
              </w:rPr>
              <w:t xml:space="preserve">РАДИОНАВИГАЦИОННАЯ  </w:t>
            </w:r>
            <w:r w:rsidRPr="00BD6B90">
              <w:rPr>
                <w:rStyle w:val="Artref"/>
                <w:lang w:val="ru-RU"/>
              </w:rPr>
              <w:t>5.449</w:t>
            </w:r>
            <w:proofErr w:type="gramEnd"/>
          </w:p>
          <w:p w:rsidR="00602D83" w:rsidRPr="00BD6B90" w:rsidRDefault="00602D83" w:rsidP="00602D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>СЛУЖБА КОСМИЧЕСКИХ ИССЛЕДОВАНИЙ (активная</w:t>
            </w:r>
            <w:proofErr w:type="gramStart"/>
            <w:r w:rsidRPr="00BD6B90">
              <w:rPr>
                <w:szCs w:val="18"/>
                <w:lang w:val="ru-RU"/>
              </w:rPr>
              <w:t>)</w:t>
            </w:r>
            <w:r w:rsidRPr="00BD6B90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BD6B90">
              <w:rPr>
                <w:rStyle w:val="Artref"/>
                <w:szCs w:val="18"/>
                <w:lang w:val="ru-RU"/>
              </w:rPr>
              <w:t>5.448C</w:t>
            </w:r>
            <w:proofErr w:type="spellEnd"/>
            <w:proofErr w:type="gramEnd"/>
          </w:p>
        </w:tc>
      </w:tr>
      <w:tr w:rsidR="00602D83" w:rsidRPr="00BD6B90" w:rsidTr="004F25FF">
        <w:trPr>
          <w:cantSplit/>
        </w:trPr>
        <w:tc>
          <w:tcPr>
            <w:tcW w:w="1667" w:type="pct"/>
            <w:tcBorders>
              <w:right w:val="nil"/>
            </w:tcBorders>
          </w:tcPr>
          <w:p w:rsidR="00602D83" w:rsidRPr="00BD6B90" w:rsidRDefault="00602D83" w:rsidP="00602D8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BD6B90">
              <w:rPr>
                <w:rStyle w:val="Tablefreq"/>
                <w:szCs w:val="18"/>
                <w:lang w:val="ru-RU"/>
              </w:rPr>
              <w:t>5 460–5 470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02D83" w:rsidRPr="00BD6B90" w:rsidRDefault="00602D83" w:rsidP="00602D8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D6B90">
              <w:rPr>
                <w:lang w:val="ru-RU"/>
              </w:rPr>
              <w:t>СПУТНИКОВАЯ СЛУЖБА ИССЛЕДОВАНИЯ ЗЕМЛИ (активная)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BD6B90">
              <w:rPr>
                <w:szCs w:val="18"/>
                <w:lang w:val="ru-RU"/>
              </w:rPr>
              <w:t xml:space="preserve">РАДИОЛОКАЦИОННАЯ  </w:t>
            </w:r>
            <w:proofErr w:type="spellStart"/>
            <w:r w:rsidRPr="00BD6B90">
              <w:rPr>
                <w:rStyle w:val="Artref"/>
                <w:lang w:val="ru-RU"/>
              </w:rPr>
              <w:t>5.448D</w:t>
            </w:r>
            <w:proofErr w:type="spellEnd"/>
            <w:proofErr w:type="gramEnd"/>
          </w:p>
          <w:p w:rsidR="00602D83" w:rsidRPr="00BD6B90" w:rsidRDefault="00602D83" w:rsidP="00602D8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BD6B90">
              <w:rPr>
                <w:szCs w:val="18"/>
                <w:lang w:val="ru-RU"/>
              </w:rPr>
              <w:t xml:space="preserve">РАДИОНАВИГАЦИОННАЯ  </w:t>
            </w:r>
            <w:r w:rsidRPr="00BD6B90">
              <w:rPr>
                <w:rStyle w:val="Artref"/>
                <w:szCs w:val="18"/>
                <w:lang w:val="ru-RU"/>
              </w:rPr>
              <w:t>5.449</w:t>
            </w:r>
            <w:proofErr w:type="gramEnd"/>
          </w:p>
          <w:p w:rsidR="00602D83" w:rsidRPr="00BD6B90" w:rsidRDefault="00602D83" w:rsidP="00602D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spellStart"/>
            <w:r w:rsidRPr="00BD6B90">
              <w:rPr>
                <w:rStyle w:val="Artref"/>
                <w:lang w:val="ru-RU"/>
              </w:rPr>
              <w:t>5.448B</w:t>
            </w:r>
            <w:proofErr w:type="spellEnd"/>
          </w:p>
        </w:tc>
      </w:tr>
    </w:tbl>
    <w:p w:rsidR="003A5B0F" w:rsidRPr="00BD6B90" w:rsidRDefault="00602D83" w:rsidP="00903DEB">
      <w:pPr>
        <w:pStyle w:val="Reasons"/>
      </w:pPr>
      <w:proofErr w:type="gramStart"/>
      <w:r w:rsidRPr="00BD6B90">
        <w:rPr>
          <w:b/>
        </w:rPr>
        <w:t>Основания</w:t>
      </w:r>
      <w:r w:rsidRPr="00BD6B90">
        <w:rPr>
          <w:bCs/>
        </w:rPr>
        <w:t>:</w:t>
      </w:r>
      <w:r w:rsidRPr="00BD6B90">
        <w:tab/>
      </w:r>
      <w:proofErr w:type="gramEnd"/>
      <w:r w:rsidR="00903DEB" w:rsidRPr="00BD6B90">
        <w:t xml:space="preserve">Отсутствие изменений, связанных с полосой частот </w:t>
      </w:r>
      <w:r w:rsidR="003A5B0F" w:rsidRPr="00BD6B90">
        <w:t>5350</w:t>
      </w:r>
      <w:r w:rsidR="001F487B" w:rsidRPr="00BD6B90">
        <w:t>−</w:t>
      </w:r>
      <w:r w:rsidR="003A5B0F" w:rsidRPr="00BD6B90">
        <w:t>5470 </w:t>
      </w:r>
      <w:r w:rsidR="001F487B" w:rsidRPr="00BD6B90">
        <w:t>МГц</w:t>
      </w:r>
      <w:r w:rsidR="00903DEB" w:rsidRPr="00BD6B90">
        <w:t>. Это единственный метод для данной полосы, поскольку не решены следующие вопросы</w:t>
      </w:r>
      <w:r w:rsidR="003A5B0F" w:rsidRPr="00BD6B90">
        <w:t>:</w:t>
      </w:r>
    </w:p>
    <w:p w:rsidR="003A5B0F" w:rsidRPr="00BD6B90" w:rsidRDefault="003A5B0F" w:rsidP="00453EE8">
      <w:pPr>
        <w:pStyle w:val="Reasons"/>
        <w:ind w:left="1134" w:hanging="1134"/>
      </w:pPr>
      <w:r w:rsidRPr="00BD6B90">
        <w:t>a)</w:t>
      </w:r>
      <w:r w:rsidRPr="00BD6B90">
        <w:tab/>
        <w:t xml:space="preserve">Совместное использование частот </w:t>
      </w:r>
      <w:proofErr w:type="spellStart"/>
      <w:r w:rsidRPr="00BD6B90">
        <w:t>RLAN</w:t>
      </w:r>
      <w:proofErr w:type="spellEnd"/>
      <w:r w:rsidRPr="00BD6B90">
        <w:t xml:space="preserve"> и системами </w:t>
      </w:r>
      <w:proofErr w:type="spellStart"/>
      <w:r w:rsidRPr="00BD6B90">
        <w:t>ССИЗ</w:t>
      </w:r>
      <w:proofErr w:type="spellEnd"/>
      <w:r w:rsidRPr="00BD6B90">
        <w:t xml:space="preserve"> (активной) в полосе частот 5350−5470 МГц не представляется возможным. Совместное использование частот могло бы стать возможным только при условии применения дополнительных мер для ослабления </w:t>
      </w:r>
      <w:r w:rsidR="00903DEB" w:rsidRPr="00BD6B90">
        <w:t xml:space="preserve">влияния </w:t>
      </w:r>
      <w:r w:rsidRPr="00BD6B90">
        <w:t xml:space="preserve">помех от </w:t>
      </w:r>
      <w:proofErr w:type="spellStart"/>
      <w:r w:rsidRPr="00BD6B90">
        <w:t>RLAN</w:t>
      </w:r>
      <w:proofErr w:type="spellEnd"/>
      <w:r w:rsidRPr="00BD6B90">
        <w:t xml:space="preserve">, но не было достигнуто согласия относительно применимости дополнительных методов ослабления </w:t>
      </w:r>
      <w:r w:rsidR="00903DEB" w:rsidRPr="00BD6B90">
        <w:t xml:space="preserve">влияния </w:t>
      </w:r>
      <w:r w:rsidRPr="00BD6B90">
        <w:t xml:space="preserve">помех от </w:t>
      </w:r>
      <w:proofErr w:type="spellStart"/>
      <w:r w:rsidRPr="00BD6B90">
        <w:t>RLAN</w:t>
      </w:r>
      <w:proofErr w:type="spellEnd"/>
      <w:r w:rsidRPr="00BD6B90">
        <w:t xml:space="preserve">. </w:t>
      </w:r>
    </w:p>
    <w:p w:rsidR="003A5B0F" w:rsidRPr="00BD6B90" w:rsidRDefault="003A5B0F" w:rsidP="008C5872">
      <w:pPr>
        <w:pStyle w:val="Reasons"/>
        <w:ind w:left="1134" w:hanging="1134"/>
      </w:pPr>
      <w:r w:rsidRPr="00BD6B90">
        <w:t>b)</w:t>
      </w:r>
      <w:r w:rsidRPr="00BD6B90">
        <w:tab/>
      </w:r>
      <w:proofErr w:type="spellStart"/>
      <w:r w:rsidRPr="00BD6B90">
        <w:t>Регламентарные</w:t>
      </w:r>
      <w:proofErr w:type="spellEnd"/>
      <w:r w:rsidRPr="00BD6B90">
        <w:t xml:space="preserve"> положения в </w:t>
      </w:r>
      <w:r w:rsidR="00903DEB" w:rsidRPr="00BD6B90">
        <w:t xml:space="preserve">отношении </w:t>
      </w:r>
      <w:r w:rsidRPr="00BD6B90">
        <w:t>полос частот 5150−5350 МГц и 5470−5725 МГц, содержащи</w:t>
      </w:r>
      <w:r w:rsidR="00903DEB" w:rsidRPr="00BD6B90">
        <w:t>х</w:t>
      </w:r>
      <w:r w:rsidRPr="00BD6B90">
        <w:t>ся в Резолюции 229 (</w:t>
      </w:r>
      <w:proofErr w:type="spellStart"/>
      <w:r w:rsidRPr="00BD6B90">
        <w:t>Пересм</w:t>
      </w:r>
      <w:proofErr w:type="spellEnd"/>
      <w:r w:rsidRPr="00BD6B90">
        <w:t xml:space="preserve">. </w:t>
      </w:r>
      <w:proofErr w:type="spellStart"/>
      <w:r w:rsidRPr="00BD6B90">
        <w:t>ВКР</w:t>
      </w:r>
      <w:proofErr w:type="spellEnd"/>
      <w:r w:rsidRPr="00BD6B90">
        <w:t xml:space="preserve">-12), недостаточны для обеспечения защиты определенных типов радаров в полосе частот 5350−5470 МГц. Группы экспертов в МСЭ-R проводят исследования ряда дополнительных методов ослабления </w:t>
      </w:r>
      <w:r w:rsidR="00903DEB" w:rsidRPr="00BD6B90">
        <w:t xml:space="preserve">влияния </w:t>
      </w:r>
      <w:r w:rsidRPr="00BD6B90">
        <w:t xml:space="preserve">помех от </w:t>
      </w:r>
      <w:proofErr w:type="spellStart"/>
      <w:r w:rsidRPr="00BD6B90">
        <w:t>RLAN</w:t>
      </w:r>
      <w:proofErr w:type="spellEnd"/>
      <w:r w:rsidRPr="00BD6B90">
        <w:t xml:space="preserve">, </w:t>
      </w:r>
      <w:r w:rsidR="00903DEB" w:rsidRPr="00BD6B90">
        <w:t xml:space="preserve">чтобы </w:t>
      </w:r>
      <w:r w:rsidRPr="00BD6B90">
        <w:t>сдела</w:t>
      </w:r>
      <w:r w:rsidR="00903DEB" w:rsidRPr="00BD6B90">
        <w:t>ть</w:t>
      </w:r>
      <w:r w:rsidRPr="00BD6B90">
        <w:t xml:space="preserve"> возможным совместное использование частот, но в настоящее время невозможно прийти к каким-либо </w:t>
      </w:r>
      <w:r w:rsidR="008C5872" w:rsidRPr="00BD6B90">
        <w:t>выводам</w:t>
      </w:r>
      <w:r w:rsidRPr="00BD6B90">
        <w:t xml:space="preserve">. </w:t>
      </w:r>
    </w:p>
    <w:p w:rsidR="001421A7" w:rsidRPr="00BD6B90" w:rsidRDefault="00602D83">
      <w:pPr>
        <w:pStyle w:val="Proposal"/>
      </w:pPr>
      <w:proofErr w:type="spellStart"/>
      <w:r w:rsidRPr="00BD6B90">
        <w:rPr>
          <w:u w:val="single"/>
        </w:rPr>
        <w:t>NOC</w:t>
      </w:r>
      <w:proofErr w:type="spellEnd"/>
      <w:r w:rsidRPr="00BD6B90">
        <w:tab/>
      </w:r>
      <w:proofErr w:type="spellStart"/>
      <w:r w:rsidRPr="00BD6B90">
        <w:t>ARB</w:t>
      </w:r>
      <w:proofErr w:type="spellEnd"/>
      <w:r w:rsidRPr="00BD6B90">
        <w:t>/</w:t>
      </w:r>
      <w:proofErr w:type="spellStart"/>
      <w:r w:rsidRPr="00BD6B90">
        <w:t>25A1A5</w:t>
      </w:r>
      <w:proofErr w:type="spellEnd"/>
      <w:r w:rsidRPr="00BD6B90">
        <w:t>/8</w:t>
      </w:r>
      <w:bookmarkStart w:id="11" w:name="_GoBack"/>
      <w:bookmarkEnd w:id="11"/>
    </w:p>
    <w:p w:rsidR="00602D83" w:rsidRPr="00BD6B90" w:rsidRDefault="00602D83" w:rsidP="00602D83">
      <w:pPr>
        <w:pStyle w:val="Tabletitle"/>
      </w:pPr>
      <w:r w:rsidRPr="00BD6B90">
        <w:t>5570–7250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602D83" w:rsidRPr="00BD6B90" w:rsidTr="004F25FF">
        <w:trPr>
          <w:cantSplit/>
        </w:trPr>
        <w:tc>
          <w:tcPr>
            <w:tcW w:w="5000" w:type="pct"/>
            <w:gridSpan w:val="3"/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Распределение по службам</w:t>
            </w:r>
          </w:p>
        </w:tc>
      </w:tr>
      <w:tr w:rsidR="00602D83" w:rsidRPr="00BD6B90" w:rsidTr="004F25FF">
        <w:trPr>
          <w:cantSplit/>
        </w:trPr>
        <w:tc>
          <w:tcPr>
            <w:tcW w:w="1666" w:type="pct"/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1</w:t>
            </w:r>
          </w:p>
        </w:tc>
        <w:tc>
          <w:tcPr>
            <w:tcW w:w="1666" w:type="pct"/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2</w:t>
            </w:r>
          </w:p>
        </w:tc>
        <w:tc>
          <w:tcPr>
            <w:tcW w:w="1668" w:type="pct"/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3</w:t>
            </w:r>
          </w:p>
        </w:tc>
      </w:tr>
      <w:tr w:rsidR="00602D83" w:rsidRPr="00BD6B90" w:rsidTr="004F25FF">
        <w:trPr>
          <w:cantSplit/>
        </w:trPr>
        <w:tc>
          <w:tcPr>
            <w:tcW w:w="1666" w:type="pct"/>
            <w:tcBorders>
              <w:bottom w:val="nil"/>
            </w:tcBorders>
          </w:tcPr>
          <w:p w:rsidR="00602D83" w:rsidRPr="00BD6B90" w:rsidRDefault="00602D83" w:rsidP="00602D8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BD6B90">
              <w:rPr>
                <w:rStyle w:val="Tablefreq"/>
                <w:szCs w:val="18"/>
                <w:lang w:val="ru-RU"/>
              </w:rPr>
              <w:t>5 725–5 830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 xml:space="preserve">ФИКСИРОВАННАЯ </w:t>
            </w:r>
            <w:proofErr w:type="gramStart"/>
            <w:r w:rsidRPr="00BD6B90">
              <w:rPr>
                <w:szCs w:val="18"/>
                <w:lang w:val="ru-RU"/>
              </w:rPr>
              <w:t>СПУТНИКОВАЯ</w:t>
            </w:r>
            <w:r w:rsidRPr="00BD6B90">
              <w:rPr>
                <w:szCs w:val="18"/>
                <w:lang w:val="ru-RU"/>
              </w:rPr>
              <w:br/>
              <w:t>(</w:t>
            </w:r>
            <w:proofErr w:type="gramEnd"/>
            <w:r w:rsidRPr="00BD6B90">
              <w:rPr>
                <w:szCs w:val="18"/>
                <w:lang w:val="ru-RU"/>
              </w:rPr>
              <w:t>Земля-космос )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>РАДИОЛОКАЦИОННАЯ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lang w:val="ru-RU"/>
              </w:rPr>
            </w:pPr>
            <w:r w:rsidRPr="00BD6B90">
              <w:rPr>
                <w:lang w:val="ru-RU"/>
              </w:rPr>
              <w:t>Любительская</w:t>
            </w:r>
          </w:p>
        </w:tc>
        <w:tc>
          <w:tcPr>
            <w:tcW w:w="3334" w:type="pct"/>
            <w:gridSpan w:val="2"/>
            <w:tcBorders>
              <w:bottom w:val="nil"/>
            </w:tcBorders>
          </w:tcPr>
          <w:p w:rsidR="00602D83" w:rsidRPr="00BD6B90" w:rsidRDefault="00602D83" w:rsidP="00602D8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BD6B90">
              <w:rPr>
                <w:rStyle w:val="Tablefreq"/>
                <w:szCs w:val="18"/>
                <w:lang w:val="ru-RU"/>
              </w:rPr>
              <w:t>5 725–5 830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ab/>
            </w:r>
            <w:r w:rsidRPr="00BD6B90">
              <w:rPr>
                <w:szCs w:val="18"/>
                <w:lang w:val="ru-RU"/>
              </w:rPr>
              <w:tab/>
              <w:t>РАДИОЛОКАЦИОННАЯ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lang w:val="ru-RU"/>
              </w:rPr>
            </w:pPr>
            <w:r w:rsidRPr="00BD6B90">
              <w:rPr>
                <w:lang w:val="ru-RU"/>
              </w:rPr>
              <w:tab/>
            </w:r>
            <w:r w:rsidRPr="00BD6B90">
              <w:rPr>
                <w:lang w:val="ru-RU"/>
              </w:rPr>
              <w:tab/>
              <w:t>Любительская</w:t>
            </w:r>
          </w:p>
        </w:tc>
      </w:tr>
      <w:tr w:rsidR="00602D83" w:rsidRPr="00BD6B90" w:rsidTr="004F25FF">
        <w:trPr>
          <w:cantSplit/>
        </w:trPr>
        <w:tc>
          <w:tcPr>
            <w:tcW w:w="1666" w:type="pct"/>
            <w:tcBorders>
              <w:top w:val="nil"/>
            </w:tcBorders>
          </w:tcPr>
          <w:p w:rsidR="00602D83" w:rsidRPr="00BD6B90" w:rsidRDefault="00602D83" w:rsidP="00602D83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BD6B90">
              <w:rPr>
                <w:rStyle w:val="Artref"/>
                <w:szCs w:val="18"/>
                <w:lang w:val="ru-RU"/>
              </w:rPr>
              <w:t>5.150  5.451  5.453  5.455  5.456</w:t>
            </w:r>
          </w:p>
        </w:tc>
        <w:tc>
          <w:tcPr>
            <w:tcW w:w="3334" w:type="pct"/>
            <w:gridSpan w:val="2"/>
            <w:tcBorders>
              <w:top w:val="nil"/>
            </w:tcBorders>
          </w:tcPr>
          <w:p w:rsidR="00602D83" w:rsidRPr="00BD6B90" w:rsidRDefault="00602D83" w:rsidP="00602D83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BD6B90">
              <w:rPr>
                <w:rStyle w:val="Artref"/>
                <w:szCs w:val="18"/>
                <w:lang w:val="ru-RU"/>
              </w:rPr>
              <w:tab/>
            </w:r>
            <w:r w:rsidRPr="00BD6B90">
              <w:rPr>
                <w:rStyle w:val="Artref"/>
                <w:szCs w:val="18"/>
                <w:lang w:val="ru-RU"/>
              </w:rPr>
              <w:tab/>
              <w:t>5.150  5.453  5.455</w:t>
            </w:r>
          </w:p>
        </w:tc>
      </w:tr>
      <w:tr w:rsidR="00602D83" w:rsidRPr="00BD6B90" w:rsidTr="004F25FF">
        <w:trPr>
          <w:cantSplit/>
        </w:trPr>
        <w:tc>
          <w:tcPr>
            <w:tcW w:w="1666" w:type="pct"/>
            <w:tcBorders>
              <w:bottom w:val="nil"/>
            </w:tcBorders>
          </w:tcPr>
          <w:p w:rsidR="00602D83" w:rsidRPr="00BD6B90" w:rsidRDefault="00602D83" w:rsidP="00602D83">
            <w:pPr>
              <w:spacing w:before="20" w:after="20"/>
              <w:rPr>
                <w:rStyle w:val="Tablefreq"/>
                <w:szCs w:val="18"/>
              </w:rPr>
            </w:pPr>
            <w:r w:rsidRPr="00BD6B90">
              <w:rPr>
                <w:rStyle w:val="Tablefreq"/>
                <w:szCs w:val="18"/>
              </w:rPr>
              <w:lastRenderedPageBreak/>
              <w:t>5 830–5 850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>ФИКСИРОВАННАЯ СПУТНИКОВАЯ</w:t>
            </w:r>
            <w:r w:rsidRPr="00BD6B90">
              <w:rPr>
                <w:szCs w:val="18"/>
                <w:lang w:val="ru-RU"/>
              </w:rPr>
              <w:br/>
              <w:t>(Земля-космос)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>РАДИОЛОКАЦИОННАЯ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>Любительская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lang w:val="ru-RU"/>
              </w:rPr>
            </w:pPr>
            <w:r w:rsidRPr="00BD6B90">
              <w:rPr>
                <w:lang w:val="ru-RU"/>
              </w:rPr>
              <w:t>Любительская спутниковая (космос</w:t>
            </w:r>
            <w:r w:rsidRPr="00BD6B90">
              <w:rPr>
                <w:lang w:val="ru-RU"/>
              </w:rPr>
              <w:noBreakHyphen/>
              <w:t>Земля)</w:t>
            </w:r>
          </w:p>
        </w:tc>
        <w:tc>
          <w:tcPr>
            <w:tcW w:w="3334" w:type="pct"/>
            <w:gridSpan w:val="2"/>
            <w:tcBorders>
              <w:bottom w:val="nil"/>
            </w:tcBorders>
          </w:tcPr>
          <w:p w:rsidR="00602D83" w:rsidRPr="00BD6B90" w:rsidRDefault="00602D83" w:rsidP="00602D83">
            <w:pPr>
              <w:spacing w:before="20" w:after="20"/>
              <w:rPr>
                <w:rStyle w:val="Tablefreq"/>
                <w:szCs w:val="18"/>
              </w:rPr>
            </w:pPr>
            <w:r w:rsidRPr="00BD6B90">
              <w:rPr>
                <w:rStyle w:val="Tablefreq"/>
                <w:szCs w:val="18"/>
              </w:rPr>
              <w:t>5 830–5 850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ab/>
            </w:r>
            <w:r w:rsidRPr="00BD6B90">
              <w:rPr>
                <w:szCs w:val="18"/>
                <w:lang w:val="ru-RU"/>
              </w:rPr>
              <w:tab/>
              <w:t>РАДИОЛОКАЦИОННАЯ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ab/>
            </w:r>
            <w:r w:rsidRPr="00BD6B90">
              <w:rPr>
                <w:szCs w:val="18"/>
                <w:lang w:val="ru-RU"/>
              </w:rPr>
              <w:tab/>
              <w:t>Любительская</w:t>
            </w:r>
          </w:p>
          <w:p w:rsidR="00602D83" w:rsidRPr="00BD6B90" w:rsidRDefault="00602D83" w:rsidP="00602D8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D6B90">
              <w:rPr>
                <w:szCs w:val="18"/>
                <w:lang w:val="ru-RU"/>
              </w:rPr>
              <w:tab/>
            </w:r>
            <w:r w:rsidRPr="00BD6B90">
              <w:rPr>
                <w:szCs w:val="18"/>
                <w:lang w:val="ru-RU"/>
              </w:rPr>
              <w:tab/>
              <w:t>Любительская спутниковая (космос-Земля)</w:t>
            </w:r>
          </w:p>
          <w:p w:rsidR="00602D83" w:rsidRPr="00BD6B90" w:rsidRDefault="00602D83" w:rsidP="00602D83">
            <w:pPr>
              <w:pStyle w:val="Tablehead"/>
              <w:spacing w:before="20" w:after="20"/>
              <w:jc w:val="left"/>
              <w:rPr>
                <w:b w:val="0"/>
                <w:bCs/>
                <w:szCs w:val="18"/>
                <w:lang w:val="ru-RU"/>
              </w:rPr>
            </w:pPr>
          </w:p>
        </w:tc>
      </w:tr>
      <w:tr w:rsidR="00602D83" w:rsidRPr="00BD6B90" w:rsidTr="004F25FF">
        <w:trPr>
          <w:cantSplit/>
        </w:trPr>
        <w:tc>
          <w:tcPr>
            <w:tcW w:w="1666" w:type="pct"/>
            <w:tcBorders>
              <w:top w:val="nil"/>
            </w:tcBorders>
          </w:tcPr>
          <w:p w:rsidR="00602D83" w:rsidRPr="00BD6B90" w:rsidRDefault="00602D83" w:rsidP="00602D83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BD6B90">
              <w:rPr>
                <w:rStyle w:val="Artref"/>
                <w:szCs w:val="18"/>
                <w:lang w:val="ru-RU"/>
              </w:rPr>
              <w:t>5.150  5.451  5.453  5.455  5.456</w:t>
            </w:r>
          </w:p>
        </w:tc>
        <w:tc>
          <w:tcPr>
            <w:tcW w:w="3334" w:type="pct"/>
            <w:gridSpan w:val="2"/>
            <w:tcBorders>
              <w:top w:val="nil"/>
            </w:tcBorders>
          </w:tcPr>
          <w:p w:rsidR="00602D83" w:rsidRPr="00BD6B90" w:rsidRDefault="00602D83" w:rsidP="00602D83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BD6B90">
              <w:rPr>
                <w:rStyle w:val="Artref"/>
                <w:szCs w:val="18"/>
                <w:lang w:val="ru-RU"/>
              </w:rPr>
              <w:tab/>
            </w:r>
            <w:r w:rsidRPr="00BD6B90">
              <w:rPr>
                <w:rStyle w:val="Artref"/>
                <w:szCs w:val="18"/>
                <w:lang w:val="ru-RU"/>
              </w:rPr>
              <w:tab/>
              <w:t>5.150  5.453  5.455</w:t>
            </w:r>
          </w:p>
        </w:tc>
      </w:tr>
    </w:tbl>
    <w:p w:rsidR="001421A7" w:rsidRPr="00BD6B90" w:rsidRDefault="00602D83" w:rsidP="008C5872">
      <w:pPr>
        <w:pStyle w:val="Reasons"/>
      </w:pPr>
      <w:proofErr w:type="gramStart"/>
      <w:r w:rsidRPr="00BD6B90">
        <w:rPr>
          <w:b/>
        </w:rPr>
        <w:t>Основания</w:t>
      </w:r>
      <w:r w:rsidRPr="00BD6B90">
        <w:rPr>
          <w:bCs/>
        </w:rPr>
        <w:t>:</w:t>
      </w:r>
      <w:r w:rsidRPr="00BD6B90">
        <w:tab/>
      </w:r>
      <w:proofErr w:type="gramEnd"/>
      <w:r w:rsidR="008C5872" w:rsidRPr="00BD6B90">
        <w:t xml:space="preserve">Отсутствие изменений, связанных с полосой частот </w:t>
      </w:r>
      <w:r w:rsidR="001F487B" w:rsidRPr="00BD6B90">
        <w:t>5</w:t>
      </w:r>
      <w:r w:rsidR="003A5B0F" w:rsidRPr="00BD6B90">
        <w:t>725</w:t>
      </w:r>
      <w:r w:rsidR="001F487B" w:rsidRPr="00BD6B90">
        <w:t>−5</w:t>
      </w:r>
      <w:r w:rsidR="003A5B0F" w:rsidRPr="00BD6B90">
        <w:t>850 </w:t>
      </w:r>
      <w:r w:rsidR="001F487B" w:rsidRPr="00BD6B90">
        <w:t>МГц</w:t>
      </w:r>
      <w:r w:rsidR="008C5872" w:rsidRPr="00BD6B90">
        <w:t>. Это единственный метод для данной полосы, поскольку не удалось достичь согласия в отношении выводов по результатам представленных исследований</w:t>
      </w:r>
      <w:r w:rsidR="003A5B0F" w:rsidRPr="00BD6B90">
        <w:t>.</w:t>
      </w:r>
    </w:p>
    <w:p w:rsidR="001421A7" w:rsidRPr="00BD6B90" w:rsidRDefault="00602D83">
      <w:pPr>
        <w:pStyle w:val="Proposal"/>
      </w:pPr>
      <w:proofErr w:type="spellStart"/>
      <w:r w:rsidRPr="00BD6B90">
        <w:rPr>
          <w:u w:val="single"/>
        </w:rPr>
        <w:t>NOC</w:t>
      </w:r>
      <w:proofErr w:type="spellEnd"/>
      <w:r w:rsidRPr="00BD6B90">
        <w:tab/>
      </w:r>
      <w:proofErr w:type="spellStart"/>
      <w:r w:rsidRPr="00BD6B90">
        <w:t>ARB</w:t>
      </w:r>
      <w:proofErr w:type="spellEnd"/>
      <w:r w:rsidRPr="00BD6B90">
        <w:t>/</w:t>
      </w:r>
      <w:proofErr w:type="spellStart"/>
      <w:r w:rsidRPr="00BD6B90">
        <w:t>25A1A5</w:t>
      </w:r>
      <w:proofErr w:type="spellEnd"/>
      <w:r w:rsidRPr="00BD6B90">
        <w:t>/9</w:t>
      </w:r>
    </w:p>
    <w:p w:rsidR="00602D83" w:rsidRPr="00BD6B90" w:rsidRDefault="00602D83" w:rsidP="00602D83">
      <w:pPr>
        <w:pStyle w:val="Tabletitle"/>
      </w:pPr>
      <w:r w:rsidRPr="00BD6B90">
        <w:t>5570–7250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10"/>
        <w:gridCol w:w="3210"/>
      </w:tblGrid>
      <w:tr w:rsidR="00602D83" w:rsidRPr="00BD6B90" w:rsidTr="004F25FF">
        <w:trPr>
          <w:cantSplit/>
        </w:trPr>
        <w:tc>
          <w:tcPr>
            <w:tcW w:w="5000" w:type="pct"/>
            <w:gridSpan w:val="3"/>
          </w:tcPr>
          <w:p w:rsidR="00602D83" w:rsidRPr="00BD6B90" w:rsidRDefault="00602D83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Распределение по службам</w:t>
            </w:r>
          </w:p>
        </w:tc>
      </w:tr>
      <w:tr w:rsidR="003A5B0F" w:rsidRPr="00BD6B90" w:rsidTr="004F25FF">
        <w:trPr>
          <w:cantSplit/>
        </w:trPr>
        <w:tc>
          <w:tcPr>
            <w:tcW w:w="1666" w:type="pct"/>
          </w:tcPr>
          <w:p w:rsidR="003A5B0F" w:rsidRPr="00BD6B90" w:rsidRDefault="003A5B0F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A5B0F" w:rsidRPr="00BD6B90" w:rsidRDefault="003A5B0F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2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A5B0F" w:rsidRPr="00BD6B90" w:rsidRDefault="003A5B0F" w:rsidP="00602D83">
            <w:pPr>
              <w:pStyle w:val="Tablehead"/>
              <w:rPr>
                <w:lang w:val="ru-RU"/>
              </w:rPr>
            </w:pPr>
            <w:r w:rsidRPr="00BD6B90">
              <w:rPr>
                <w:lang w:val="ru-RU"/>
              </w:rPr>
              <w:t>Район 3</w:t>
            </w:r>
          </w:p>
        </w:tc>
      </w:tr>
      <w:tr w:rsidR="00602D83" w:rsidRPr="00BD6B90" w:rsidTr="004F25FF">
        <w:trPr>
          <w:cantSplit/>
        </w:trPr>
        <w:tc>
          <w:tcPr>
            <w:tcW w:w="1666" w:type="pct"/>
            <w:tcBorders>
              <w:right w:val="nil"/>
            </w:tcBorders>
          </w:tcPr>
          <w:p w:rsidR="00602D83" w:rsidRPr="00BD6B90" w:rsidRDefault="00602D83" w:rsidP="00602D83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BD6B90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4" w:type="pct"/>
            <w:gridSpan w:val="2"/>
            <w:tcBorders>
              <w:left w:val="nil"/>
            </w:tcBorders>
          </w:tcPr>
          <w:p w:rsidR="00602D83" w:rsidRPr="00BD6B90" w:rsidRDefault="00602D83" w:rsidP="00602D83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proofErr w:type="gramStart"/>
            <w:r w:rsidRPr="00BD6B90">
              <w:rPr>
                <w:lang w:val="ru-RU"/>
              </w:rPr>
              <w:t>ФИКСИРОВАННАЯ</w:t>
            </w:r>
            <w:r w:rsidRPr="00BD6B90">
              <w:rPr>
                <w:rStyle w:val="Artref"/>
                <w:lang w:val="ru-RU"/>
              </w:rPr>
              <w:t xml:space="preserve">  5.457</w:t>
            </w:r>
            <w:proofErr w:type="gramEnd"/>
          </w:p>
          <w:p w:rsidR="00602D83" w:rsidRPr="00BD6B90" w:rsidRDefault="00602D83" w:rsidP="00602D83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BD6B90">
              <w:rPr>
                <w:lang w:val="ru-RU"/>
              </w:rPr>
              <w:t>ФИКСИРОВАННАЯ СПУТНИКОВАЯ (Земля-</w:t>
            </w:r>
            <w:proofErr w:type="gramStart"/>
            <w:r w:rsidRPr="00BD6B90">
              <w:rPr>
                <w:lang w:val="ru-RU"/>
              </w:rPr>
              <w:t xml:space="preserve">космос)  </w:t>
            </w:r>
            <w:proofErr w:type="spellStart"/>
            <w:r w:rsidRPr="00BD6B90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BD6B90">
              <w:rPr>
                <w:rStyle w:val="Artref"/>
                <w:lang w:val="ru-RU"/>
              </w:rPr>
              <w:t xml:space="preserve">  </w:t>
            </w:r>
            <w:proofErr w:type="spellStart"/>
            <w:r w:rsidRPr="00BD6B90">
              <w:rPr>
                <w:rStyle w:val="Artref"/>
                <w:lang w:val="ru-RU"/>
              </w:rPr>
              <w:t>5.457В</w:t>
            </w:r>
            <w:proofErr w:type="spellEnd"/>
          </w:p>
          <w:p w:rsidR="00602D83" w:rsidRPr="00BD6B90" w:rsidRDefault="00602D83" w:rsidP="00602D83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proofErr w:type="gramStart"/>
            <w:r w:rsidRPr="00BD6B90">
              <w:rPr>
                <w:lang w:val="ru-RU"/>
              </w:rPr>
              <w:t xml:space="preserve">ПОДВИЖНАЯ  </w:t>
            </w:r>
            <w:proofErr w:type="spellStart"/>
            <w:r w:rsidRPr="00BD6B90">
              <w:rPr>
                <w:rStyle w:val="Artref"/>
                <w:lang w:val="ru-RU"/>
              </w:rPr>
              <w:t>5.457С</w:t>
            </w:r>
            <w:proofErr w:type="spellEnd"/>
            <w:proofErr w:type="gramEnd"/>
          </w:p>
          <w:p w:rsidR="00602D83" w:rsidRPr="00BD6B90" w:rsidRDefault="00602D83" w:rsidP="00602D83">
            <w:pPr>
              <w:pStyle w:val="TableTextS5"/>
              <w:spacing w:before="20" w:after="20"/>
              <w:ind w:hanging="255"/>
              <w:rPr>
                <w:rStyle w:val="Artref"/>
                <w:rFonts w:asciiTheme="majorBidi" w:hAnsiTheme="majorBidi" w:cstheme="majorBidi"/>
                <w:b/>
                <w:bCs w:val="0"/>
                <w:szCs w:val="18"/>
                <w:lang w:val="ru-RU"/>
              </w:rPr>
            </w:pPr>
            <w:r w:rsidRPr="00BD6B90">
              <w:rPr>
                <w:rStyle w:val="Artref"/>
                <w:lang w:val="ru-RU"/>
              </w:rPr>
              <w:t>5.149  5.440  5.458</w:t>
            </w:r>
          </w:p>
        </w:tc>
      </w:tr>
    </w:tbl>
    <w:p w:rsidR="003A5B0F" w:rsidRPr="00BD6B90" w:rsidRDefault="00602D83" w:rsidP="00E63C46">
      <w:pPr>
        <w:pStyle w:val="Reasons"/>
      </w:pPr>
      <w:proofErr w:type="gramStart"/>
      <w:r w:rsidRPr="00BD6B90">
        <w:rPr>
          <w:b/>
        </w:rPr>
        <w:t>Основания</w:t>
      </w:r>
      <w:r w:rsidRPr="00BD6B90">
        <w:rPr>
          <w:bCs/>
        </w:rPr>
        <w:t>:</w:t>
      </w:r>
      <w:r w:rsidRPr="00BD6B90">
        <w:tab/>
      </w:r>
      <w:proofErr w:type="gramEnd"/>
      <w:r w:rsidR="0098431C" w:rsidRPr="00BD6B90">
        <w:t xml:space="preserve">Отсутствие изменений, связанных с полосой частот </w:t>
      </w:r>
      <w:r w:rsidR="001F487B" w:rsidRPr="00BD6B90">
        <w:t>5925−6</w:t>
      </w:r>
      <w:r w:rsidR="003A5B0F" w:rsidRPr="00BD6B90">
        <w:t>425 </w:t>
      </w:r>
      <w:r w:rsidR="001F487B" w:rsidRPr="00BD6B90">
        <w:t>МГц</w:t>
      </w:r>
      <w:r w:rsidR="003A5B0F" w:rsidRPr="00BD6B90">
        <w:t xml:space="preserve">, </w:t>
      </w:r>
      <w:r w:rsidR="0098431C" w:rsidRPr="00BD6B90">
        <w:t xml:space="preserve">с учетом того, что данная полоса интенсивно используется линиями </w:t>
      </w:r>
      <w:proofErr w:type="spellStart"/>
      <w:r w:rsidR="0098431C" w:rsidRPr="00BD6B90">
        <w:t>ФС</w:t>
      </w:r>
      <w:proofErr w:type="spellEnd"/>
      <w:r w:rsidR="0098431C" w:rsidRPr="00BD6B90">
        <w:t xml:space="preserve"> для связи пункта с пунктом и станциями </w:t>
      </w:r>
      <w:proofErr w:type="spellStart"/>
      <w:r w:rsidR="0098431C" w:rsidRPr="00BD6B90">
        <w:t>ФСС</w:t>
      </w:r>
      <w:proofErr w:type="spellEnd"/>
      <w:r w:rsidR="003A5B0F" w:rsidRPr="00BD6B90">
        <w:t xml:space="preserve">. </w:t>
      </w:r>
      <w:r w:rsidR="0098431C" w:rsidRPr="00BD6B90">
        <w:t>Соответственно, отсутствует потенциал для согласования этой полосы на региональном</w:t>
      </w:r>
      <w:r w:rsidR="00E63C46" w:rsidRPr="00BD6B90">
        <w:t xml:space="preserve"> или </w:t>
      </w:r>
      <w:r w:rsidR="0098431C" w:rsidRPr="00BD6B90">
        <w:t xml:space="preserve">глобальном уровне для </w:t>
      </w:r>
      <w:proofErr w:type="spellStart"/>
      <w:r w:rsidR="0098431C" w:rsidRPr="00BD6B90">
        <w:t>IMT</w:t>
      </w:r>
      <w:proofErr w:type="spellEnd"/>
      <w:r w:rsidR="0098431C" w:rsidRPr="00BD6B90">
        <w:t xml:space="preserve"> или других служб подвижной широкополосной связи</w:t>
      </w:r>
      <w:r w:rsidR="003A5B0F" w:rsidRPr="00BD6B90">
        <w:t>.</w:t>
      </w:r>
      <w:r w:rsidR="003A5B0F" w:rsidRPr="00BD6B90" w:rsidDel="007146B3">
        <w:t xml:space="preserve"> </w:t>
      </w:r>
    </w:p>
    <w:p w:rsidR="001421A7" w:rsidRPr="00BD6B90" w:rsidRDefault="003A5B0F" w:rsidP="003A5B0F">
      <w:pPr>
        <w:pStyle w:val="Reasons"/>
        <w:spacing w:before="480"/>
        <w:jc w:val="center"/>
      </w:pPr>
      <w:r w:rsidRPr="00BD6B90">
        <w:t>______________</w:t>
      </w:r>
    </w:p>
    <w:sectPr w:rsidR="001421A7" w:rsidRPr="00BD6B90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83" w:rsidRDefault="00602D83">
      <w:r>
        <w:separator/>
      </w:r>
    </w:p>
  </w:endnote>
  <w:endnote w:type="continuationSeparator" w:id="0">
    <w:p w:rsidR="00602D83" w:rsidRDefault="0060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83" w:rsidRDefault="00602D8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02D83" w:rsidRPr="00453EE8" w:rsidRDefault="00602D83">
    <w:pPr>
      <w:ind w:right="360"/>
      <w:rPr>
        <w:lang w:val="en-US"/>
      </w:rPr>
    </w:pPr>
    <w:r>
      <w:fldChar w:fldCharType="begin"/>
    </w:r>
    <w:r w:rsidRPr="00453EE8">
      <w:rPr>
        <w:lang w:val="en-US"/>
      </w:rPr>
      <w:instrText xml:space="preserve"> FILENAME \p  \* MERGEFORMAT </w:instrText>
    </w:r>
    <w:r>
      <w:fldChar w:fldCharType="separate"/>
    </w:r>
    <w:r w:rsidR="008E1C4F">
      <w:rPr>
        <w:noProof/>
        <w:lang w:val="en-US"/>
      </w:rPr>
      <w:t>P:\RUS\ITU-R\CONF-R\CMR15\000\025ADD01ADD05R.docx</w:t>
    </w:r>
    <w:r>
      <w:fldChar w:fldCharType="end"/>
    </w:r>
    <w:r w:rsidRPr="00453EE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1C4F">
      <w:rPr>
        <w:noProof/>
      </w:rPr>
      <w:t>15.10.15</w:t>
    </w:r>
    <w:r>
      <w:fldChar w:fldCharType="end"/>
    </w:r>
    <w:r w:rsidRPr="00453EE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1C4F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83" w:rsidRDefault="00602D83" w:rsidP="00DE2EBA">
    <w:pPr>
      <w:pStyle w:val="Footer"/>
    </w:pPr>
    <w:r>
      <w:fldChar w:fldCharType="begin"/>
    </w:r>
    <w:r w:rsidRPr="001F487B">
      <w:instrText xml:space="preserve"> FILENAME \p  \* MERGEFORMAT </w:instrText>
    </w:r>
    <w:r>
      <w:fldChar w:fldCharType="separate"/>
    </w:r>
    <w:r w:rsidR="008E1C4F">
      <w:t>P:\RUS\ITU-R\CONF-R\CMR15\000\025ADD01ADD05R.docx</w:t>
    </w:r>
    <w:r>
      <w:fldChar w:fldCharType="end"/>
    </w:r>
    <w:r w:rsidR="001F487B" w:rsidRPr="001F487B">
      <w:t xml:space="preserve"> (386841)</w:t>
    </w:r>
    <w:r w:rsidRPr="001F487B">
      <w:tab/>
    </w:r>
    <w:r>
      <w:fldChar w:fldCharType="begin"/>
    </w:r>
    <w:r>
      <w:instrText xml:space="preserve"> SAVEDATE \@ DD.MM.YY </w:instrText>
    </w:r>
    <w:r>
      <w:fldChar w:fldCharType="separate"/>
    </w:r>
    <w:r w:rsidR="008E1C4F">
      <w:t>15.10.15</w:t>
    </w:r>
    <w:r>
      <w:fldChar w:fldCharType="end"/>
    </w:r>
    <w:r w:rsidRPr="001F487B">
      <w:tab/>
    </w:r>
    <w:r>
      <w:fldChar w:fldCharType="begin"/>
    </w:r>
    <w:r>
      <w:instrText xml:space="preserve"> PRINTDATE \@ DD.MM.YY </w:instrText>
    </w:r>
    <w:r>
      <w:fldChar w:fldCharType="separate"/>
    </w:r>
    <w:r w:rsidR="008E1C4F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83" w:rsidRPr="001F487B" w:rsidRDefault="001F487B" w:rsidP="001F487B">
    <w:pPr>
      <w:pStyle w:val="Footer"/>
    </w:pPr>
    <w:r>
      <w:fldChar w:fldCharType="begin"/>
    </w:r>
    <w:r w:rsidRPr="001F487B">
      <w:instrText xml:space="preserve"> FILENAME \p  \* MERGEFORMAT </w:instrText>
    </w:r>
    <w:r>
      <w:fldChar w:fldCharType="separate"/>
    </w:r>
    <w:r w:rsidR="008E1C4F">
      <w:t>P:\RUS\ITU-R\CONF-R\CMR15\000\025ADD01ADD05R.docx</w:t>
    </w:r>
    <w:r>
      <w:fldChar w:fldCharType="end"/>
    </w:r>
    <w:r w:rsidRPr="001F487B">
      <w:t xml:space="preserve"> (386841)</w:t>
    </w:r>
    <w:r w:rsidRPr="001F487B">
      <w:tab/>
    </w:r>
    <w:r>
      <w:fldChar w:fldCharType="begin"/>
    </w:r>
    <w:r>
      <w:instrText xml:space="preserve"> SAVEDATE \@ DD.MM.YY </w:instrText>
    </w:r>
    <w:r>
      <w:fldChar w:fldCharType="separate"/>
    </w:r>
    <w:r w:rsidR="008E1C4F">
      <w:t>15.10.15</w:t>
    </w:r>
    <w:r>
      <w:fldChar w:fldCharType="end"/>
    </w:r>
    <w:r w:rsidRPr="001F487B">
      <w:tab/>
    </w:r>
    <w:r>
      <w:fldChar w:fldCharType="begin"/>
    </w:r>
    <w:r>
      <w:instrText xml:space="preserve"> PRINTDATE \@ DD.MM.YY </w:instrText>
    </w:r>
    <w:r>
      <w:fldChar w:fldCharType="separate"/>
    </w:r>
    <w:r w:rsidR="008E1C4F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83" w:rsidRDefault="00602D83">
      <w:r>
        <w:rPr>
          <w:b/>
        </w:rPr>
        <w:t>_______________</w:t>
      </w:r>
    </w:p>
  </w:footnote>
  <w:footnote w:type="continuationSeparator" w:id="0">
    <w:p w:rsidR="00602D83" w:rsidRDefault="00602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83" w:rsidRPr="00434A7C" w:rsidRDefault="00602D83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E1C4F">
      <w:rPr>
        <w:noProof/>
      </w:rPr>
      <w:t>5</w:t>
    </w:r>
    <w:r>
      <w:fldChar w:fldCharType="end"/>
    </w:r>
  </w:p>
  <w:p w:rsidR="00602D83" w:rsidRDefault="00602D83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/25(</w:t>
    </w:r>
    <w:proofErr w:type="spellStart"/>
    <w:r>
      <w:t>Add.1</w:t>
    </w:r>
    <w:proofErr w:type="spellEnd"/>
    <w:proofErr w:type="gramStart"/>
    <w:r>
      <w:t>)(</w:t>
    </w:r>
    <w:proofErr w:type="spellStart"/>
    <w:proofErr w:type="gramEnd"/>
    <w:r>
      <w:t>Add.5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196D"/>
    <w:rsid w:val="000A0EF3"/>
    <w:rsid w:val="000F33D8"/>
    <w:rsid w:val="000F39B4"/>
    <w:rsid w:val="00113D0B"/>
    <w:rsid w:val="001226EC"/>
    <w:rsid w:val="00123B68"/>
    <w:rsid w:val="00124C09"/>
    <w:rsid w:val="00126F2E"/>
    <w:rsid w:val="001421A7"/>
    <w:rsid w:val="001521AE"/>
    <w:rsid w:val="001A5585"/>
    <w:rsid w:val="001E5FB4"/>
    <w:rsid w:val="001F487B"/>
    <w:rsid w:val="00202CA0"/>
    <w:rsid w:val="00230582"/>
    <w:rsid w:val="002449AA"/>
    <w:rsid w:val="00245A1F"/>
    <w:rsid w:val="00290C74"/>
    <w:rsid w:val="002A2D3F"/>
    <w:rsid w:val="002B0445"/>
    <w:rsid w:val="00300F84"/>
    <w:rsid w:val="00344EB8"/>
    <w:rsid w:val="00346BEC"/>
    <w:rsid w:val="003A5B0F"/>
    <w:rsid w:val="003C583C"/>
    <w:rsid w:val="003F0078"/>
    <w:rsid w:val="00434A7C"/>
    <w:rsid w:val="0045143A"/>
    <w:rsid w:val="00453EE8"/>
    <w:rsid w:val="0046120F"/>
    <w:rsid w:val="004A58F4"/>
    <w:rsid w:val="004B716F"/>
    <w:rsid w:val="004C47ED"/>
    <w:rsid w:val="004E085A"/>
    <w:rsid w:val="004F25FF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2D83"/>
    <w:rsid w:val="006115BE"/>
    <w:rsid w:val="00614771"/>
    <w:rsid w:val="00620DD7"/>
    <w:rsid w:val="00657DE0"/>
    <w:rsid w:val="00692C06"/>
    <w:rsid w:val="006A6E9B"/>
    <w:rsid w:val="00742DA3"/>
    <w:rsid w:val="00763F4F"/>
    <w:rsid w:val="00775720"/>
    <w:rsid w:val="007917AE"/>
    <w:rsid w:val="007A08B5"/>
    <w:rsid w:val="008026C3"/>
    <w:rsid w:val="00811633"/>
    <w:rsid w:val="00812452"/>
    <w:rsid w:val="00815749"/>
    <w:rsid w:val="00872FC8"/>
    <w:rsid w:val="008B43F2"/>
    <w:rsid w:val="008C3257"/>
    <w:rsid w:val="008C5872"/>
    <w:rsid w:val="008E1C4F"/>
    <w:rsid w:val="00903DEB"/>
    <w:rsid w:val="009119CC"/>
    <w:rsid w:val="00917C0A"/>
    <w:rsid w:val="00941A02"/>
    <w:rsid w:val="0098431C"/>
    <w:rsid w:val="009B5CC2"/>
    <w:rsid w:val="009E5FC8"/>
    <w:rsid w:val="00A117A3"/>
    <w:rsid w:val="00A138D0"/>
    <w:rsid w:val="00A141AF"/>
    <w:rsid w:val="00A2044F"/>
    <w:rsid w:val="00A36DDD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D6B90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1432"/>
    <w:rsid w:val="00E2253F"/>
    <w:rsid w:val="00E43E99"/>
    <w:rsid w:val="00E5155F"/>
    <w:rsid w:val="00E63C46"/>
    <w:rsid w:val="00E65919"/>
    <w:rsid w:val="00E976C1"/>
    <w:rsid w:val="00ED74A0"/>
    <w:rsid w:val="00F21A03"/>
    <w:rsid w:val="00F3161E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5ECDD1F-41D8-4996-9D09-27A30C2C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5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R15-WRC15-C-0025!A1-A5!MSW-R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31F5AA-D5FD-40EA-8A71-616B44E37E7D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1317</Words>
  <Characters>8800</Characters>
  <Application>Microsoft Office Word</Application>
  <DocSecurity>0</DocSecurity>
  <Lines>271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R15-WRC15-C-0025!A1-A5!MSW-R</vt:lpstr>
    </vt:vector>
  </TitlesOfParts>
  <Manager>General Secretariat - Pool</Manager>
  <Company>International Telecommunication Union (ITU)</Company>
  <LinksUpToDate>false</LinksUpToDate>
  <CharactersWithSpaces>10003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R15-WRC15-C-0025!A1-A5!MSW-R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5</cp:revision>
  <cp:lastPrinted>2015-10-15T15:29:00Z</cp:lastPrinted>
  <dcterms:created xsi:type="dcterms:W3CDTF">2015-10-15T13:00:00Z</dcterms:created>
  <dcterms:modified xsi:type="dcterms:W3CDTF">2015-10-15T15:29:00Z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