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5C56BC" w:rsidRDefault="00E165ED" w:rsidP="003E1608">
            <w:pPr>
              <w:pStyle w:val="Committee"/>
              <w:framePr w:hSpace="0" w:wrap="auto" w:hAnchor="text" w:yAlign="inline"/>
              <w:tabs>
                <w:tab w:val="clear" w:pos="2268"/>
                <w:tab w:val="left" w:pos="2448"/>
              </w:tabs>
              <w:bidi/>
              <w:rPr>
                <w:rFonts w:cs="Traditional Arabic"/>
                <w:sz w:val="30"/>
                <w:szCs w:val="30"/>
                <w:rtl/>
                <w:lang w:bidi="ar-SY"/>
              </w:rPr>
            </w:pPr>
            <w:r w:rsidRPr="005C56B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C56BC" w:rsidRDefault="003E1608" w:rsidP="00C7259C">
            <w:pPr>
              <w:pStyle w:val="Adress"/>
              <w:framePr w:hSpace="0" w:wrap="auto" w:xAlign="left" w:yAlign="inline"/>
              <w:rPr>
                <w:rtl/>
              </w:rPr>
            </w:pPr>
            <w:r w:rsidRPr="005C56BC">
              <w:rPr>
                <w:rtl/>
              </w:rPr>
              <w:t xml:space="preserve">الإضافة </w:t>
            </w:r>
            <w:r w:rsidRPr="005C56BC">
              <w:t>10</w:t>
            </w:r>
            <w:r w:rsidRPr="005C56BC">
              <w:br/>
            </w:r>
            <w:r w:rsidRPr="005C56BC">
              <w:rPr>
                <w:rtl/>
              </w:rPr>
              <w:t xml:space="preserve">للوثيقة </w:t>
            </w:r>
            <w:r w:rsidRPr="005C56BC">
              <w:t>25</w:t>
            </w:r>
            <w:r w:rsidR="00C7259C">
              <w:t>-A</w:t>
            </w:r>
          </w:p>
        </w:tc>
      </w:tr>
      <w:tr w:rsidR="00764079" w:rsidTr="003E1608">
        <w:trPr>
          <w:cantSplit/>
        </w:trPr>
        <w:tc>
          <w:tcPr>
            <w:tcW w:w="6619" w:type="dxa"/>
            <w:shd w:val="clear" w:color="auto" w:fill="auto"/>
          </w:tcPr>
          <w:p w:rsidR="00764079" w:rsidRPr="005C56BC" w:rsidRDefault="00764079" w:rsidP="00D44350">
            <w:pPr>
              <w:pStyle w:val="Adress"/>
              <w:framePr w:hSpace="0" w:wrap="auto" w:xAlign="left" w:yAlign="inline"/>
              <w:rPr>
                <w:rtl/>
              </w:rPr>
            </w:pPr>
          </w:p>
        </w:tc>
        <w:tc>
          <w:tcPr>
            <w:tcW w:w="3053" w:type="dxa"/>
            <w:shd w:val="clear" w:color="auto" w:fill="auto"/>
            <w:vAlign w:val="center"/>
          </w:tcPr>
          <w:p w:rsidR="00764079" w:rsidRPr="005C56BC" w:rsidRDefault="00764079" w:rsidP="00D44350">
            <w:pPr>
              <w:pStyle w:val="Adress"/>
              <w:framePr w:hSpace="0" w:wrap="auto" w:xAlign="left" w:yAlign="inline"/>
              <w:rPr>
                <w:rtl/>
              </w:rPr>
            </w:pPr>
            <w:r w:rsidRPr="005C56BC">
              <w:rPr>
                <w:rFonts w:eastAsia="SimSun"/>
              </w:rPr>
              <w:t>10</w:t>
            </w:r>
            <w:r w:rsidRPr="005C56BC">
              <w:rPr>
                <w:rFonts w:eastAsia="SimSun"/>
                <w:rtl/>
              </w:rPr>
              <w:t xml:space="preserve"> سبتمبر </w:t>
            </w:r>
            <w:r w:rsidRPr="005C56BC">
              <w:rPr>
                <w:rFonts w:eastAsia="SimSun"/>
              </w:rPr>
              <w:t>2015</w:t>
            </w:r>
          </w:p>
        </w:tc>
      </w:tr>
      <w:tr w:rsidR="00764079" w:rsidTr="003E1608">
        <w:trPr>
          <w:cantSplit/>
        </w:trPr>
        <w:tc>
          <w:tcPr>
            <w:tcW w:w="6619" w:type="dxa"/>
          </w:tcPr>
          <w:p w:rsidR="00764079" w:rsidRPr="005C56BC" w:rsidRDefault="00764079" w:rsidP="00D44350">
            <w:pPr>
              <w:pStyle w:val="Adress"/>
              <w:framePr w:hSpace="0" w:wrap="auto" w:xAlign="left" w:yAlign="inline"/>
              <w:rPr>
                <w:rFonts w:eastAsia="SimSun" w:hint="eastAsia"/>
                <w:rtl/>
              </w:rPr>
            </w:pPr>
          </w:p>
        </w:tc>
        <w:tc>
          <w:tcPr>
            <w:tcW w:w="3053" w:type="dxa"/>
            <w:vAlign w:val="center"/>
          </w:tcPr>
          <w:p w:rsidR="00764079" w:rsidRPr="005C56BC" w:rsidRDefault="00764079" w:rsidP="00D44350">
            <w:pPr>
              <w:pStyle w:val="Adress"/>
              <w:framePr w:hSpace="0" w:wrap="auto" w:xAlign="left" w:yAlign="inline"/>
              <w:rPr>
                <w:rFonts w:eastAsia="SimSun" w:hint="eastAsia"/>
              </w:rPr>
            </w:pPr>
            <w:r w:rsidRPr="005C56BC">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C7259C" w:rsidP="00D44350">
            <w:pPr>
              <w:pStyle w:val="Title1"/>
              <w:spacing w:before="240"/>
              <w:rPr>
                <w:rtl/>
              </w:rPr>
            </w:pPr>
            <w:r>
              <w:rPr>
                <w:rFonts w:hint="cs"/>
                <w:rtl/>
              </w:rPr>
              <w:t>مقترحات بشأن أعمال ال</w:t>
            </w:r>
            <w:r w:rsidR="003458E9">
              <w:rPr>
                <w:rFonts w:hint="cs"/>
                <w:rtl/>
              </w:rPr>
              <w:t>‍</w:t>
            </w:r>
            <w:r>
              <w:rPr>
                <w:rFonts w:hint="cs"/>
                <w:rtl/>
              </w:rPr>
              <w:t>مؤت</w:t>
            </w:r>
            <w:r w:rsidR="003458E9">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7259C">
            <w:pPr>
              <w:pStyle w:val="Agendaitem"/>
              <w:spacing w:before="240" w:line="192" w:lineRule="auto"/>
            </w:pPr>
            <w:r w:rsidRPr="008204AC">
              <w:rPr>
                <w:rtl/>
              </w:rPr>
              <w:t xml:space="preserve">البنـد </w:t>
            </w:r>
            <w:r w:rsidR="00C7259C">
              <w:t>10.1</w:t>
            </w:r>
            <w:r w:rsidRPr="008204AC">
              <w:rPr>
                <w:rtl/>
              </w:rPr>
              <w:t xml:space="preserve"> من جدول الأعمال</w:t>
            </w:r>
          </w:p>
        </w:tc>
      </w:tr>
    </w:tbl>
    <w:p w:rsidR="001D597A" w:rsidRPr="00C7259C" w:rsidRDefault="005130A7" w:rsidP="00C7259C">
      <w:pPr>
        <w:pStyle w:val="Normalaftertitle"/>
        <w:rPr>
          <w:rFonts w:eastAsia="SimSun"/>
          <w:spacing w:val="-2"/>
        </w:rPr>
      </w:pPr>
      <w:r w:rsidRPr="00C7259C">
        <w:rPr>
          <w:rFonts w:eastAsia="SimSun"/>
          <w:spacing w:val="-2"/>
        </w:rPr>
        <w:t>10.1</w:t>
      </w:r>
      <w:r w:rsidRPr="00C7259C">
        <w:rPr>
          <w:rFonts w:eastAsia="SimSun" w:hint="cs"/>
          <w:spacing w:val="-2"/>
          <w:rtl/>
        </w:rPr>
        <w:tab/>
        <w:t>النظر في المتطلبات</w:t>
      </w:r>
      <w:r w:rsidRPr="00C7259C">
        <w:rPr>
          <w:rFonts w:eastAsia="SimSun"/>
          <w:spacing w:val="-2"/>
          <w:rtl/>
        </w:rPr>
        <w:t xml:space="preserve"> من الطيف وتوزيعات الطيف الإضافية الممكنة </w:t>
      </w:r>
      <w:r w:rsidRPr="00C7259C">
        <w:rPr>
          <w:rFonts w:eastAsia="SimSun" w:hint="cs"/>
          <w:spacing w:val="-2"/>
          <w:rtl/>
          <w:lang w:bidi="ar-AE"/>
        </w:rPr>
        <w:t>ل</w:t>
      </w:r>
      <w:r w:rsidRPr="00C7259C">
        <w:rPr>
          <w:rFonts w:eastAsia="SimSun" w:hint="cs"/>
          <w:spacing w:val="-2"/>
          <w:rtl/>
        </w:rPr>
        <w:t>ل</w:t>
      </w:r>
      <w:r w:rsidRPr="00C7259C">
        <w:rPr>
          <w:rFonts w:eastAsia="SimSun"/>
          <w:spacing w:val="-2"/>
          <w:rtl/>
        </w:rPr>
        <w:t>خدمة</w:t>
      </w:r>
      <w:r w:rsidRPr="00C7259C">
        <w:rPr>
          <w:rFonts w:eastAsia="SimSun" w:hint="cs"/>
          <w:spacing w:val="-2"/>
          <w:rtl/>
        </w:rPr>
        <w:t xml:space="preserve"> المتنقلة الساتلية في الاتجاهين</w:t>
      </w:r>
      <w:r w:rsidRPr="00C7259C">
        <w:rPr>
          <w:rFonts w:eastAsia="SimSun"/>
          <w:spacing w:val="-2"/>
          <w:rtl/>
        </w:rPr>
        <w:t xml:space="preserve"> أرض-فضاء</w:t>
      </w:r>
      <w:r w:rsidRPr="00C7259C">
        <w:rPr>
          <w:rFonts w:eastAsia="SimSun" w:hint="cs"/>
          <w:spacing w:val="-2"/>
          <w:rtl/>
        </w:rPr>
        <w:t xml:space="preserve"> وفضاء</w:t>
      </w:r>
      <w:r w:rsidRPr="00C7259C">
        <w:rPr>
          <w:rFonts w:eastAsia="SimSun"/>
          <w:spacing w:val="-2"/>
          <w:rtl/>
        </w:rPr>
        <w:t>-</w:t>
      </w:r>
      <w:r w:rsidRPr="00C7259C">
        <w:rPr>
          <w:rFonts w:eastAsia="SimSun" w:hint="cs"/>
          <w:spacing w:val="-2"/>
          <w:rtl/>
        </w:rPr>
        <w:t>أرض، بما في ذلك المكون الساتلي لتطبيقات النطاق العريض، بما فيها الاتصالا</w:t>
      </w:r>
      <w:r w:rsidRPr="00C7259C">
        <w:rPr>
          <w:rFonts w:eastAsia="SimSun" w:hint="eastAsia"/>
          <w:spacing w:val="-2"/>
          <w:rtl/>
        </w:rPr>
        <w:t>ت</w:t>
      </w:r>
      <w:r w:rsidRPr="00C7259C">
        <w:rPr>
          <w:rFonts w:eastAsia="SimSun" w:hint="cs"/>
          <w:spacing w:val="-2"/>
          <w:rtl/>
        </w:rPr>
        <w:t xml:space="preserve"> المتنقلة الدولية</w:t>
      </w:r>
      <w:r w:rsidRPr="00C7259C">
        <w:rPr>
          <w:rFonts w:eastAsia="SimSun" w:hint="eastAsia"/>
          <w:spacing w:val="-2"/>
          <w:rtl/>
        </w:rPr>
        <w:t> </w:t>
      </w:r>
      <w:r w:rsidRPr="00C7259C">
        <w:rPr>
          <w:rFonts w:eastAsia="SimSun"/>
          <w:spacing w:val="-2"/>
        </w:rPr>
        <w:t>(IMT)</w:t>
      </w:r>
      <w:r w:rsidRPr="00C7259C">
        <w:rPr>
          <w:rFonts w:eastAsia="SimSun" w:hint="cs"/>
          <w:spacing w:val="-2"/>
          <w:rtl/>
        </w:rPr>
        <w:t>، في مدى الترددات من</w:t>
      </w:r>
      <w:r w:rsidRPr="00C7259C">
        <w:rPr>
          <w:rFonts w:eastAsia="SimSun" w:hint="eastAsia"/>
          <w:spacing w:val="-2"/>
          <w:rtl/>
        </w:rPr>
        <w:t> </w:t>
      </w:r>
      <w:r w:rsidRPr="00C7259C">
        <w:rPr>
          <w:rFonts w:eastAsia="SimSun"/>
          <w:spacing w:val="-2"/>
        </w:rPr>
        <w:t>GHz 22</w:t>
      </w:r>
      <w:r w:rsidRPr="00C7259C">
        <w:rPr>
          <w:rFonts w:eastAsia="SimSun" w:hint="cs"/>
          <w:spacing w:val="-2"/>
          <w:rtl/>
        </w:rPr>
        <w:t xml:space="preserve"> </w:t>
      </w:r>
      <w:r w:rsidRPr="00C7259C">
        <w:rPr>
          <w:rFonts w:eastAsia="SimSun" w:hint="cs"/>
          <w:spacing w:val="-2"/>
          <w:rtl/>
          <w:lang w:bidi="ar-SY"/>
        </w:rPr>
        <w:t xml:space="preserve">إلى </w:t>
      </w:r>
      <w:r w:rsidRPr="00C7259C">
        <w:rPr>
          <w:rFonts w:eastAsia="SimSun"/>
          <w:spacing w:val="-2"/>
          <w:lang w:bidi="ar-SY"/>
        </w:rPr>
        <w:t>GHz 26</w:t>
      </w:r>
      <w:r w:rsidRPr="00C7259C">
        <w:rPr>
          <w:rFonts w:eastAsia="SimSun" w:hint="cs"/>
          <w:spacing w:val="-2"/>
          <w:rtl/>
          <w:lang w:bidi="ar-SY"/>
        </w:rPr>
        <w:t xml:space="preserve">، </w:t>
      </w:r>
      <w:r w:rsidRPr="00C7259C">
        <w:rPr>
          <w:rFonts w:eastAsia="SimSun" w:hint="cs"/>
          <w:spacing w:val="-2"/>
          <w:rtl/>
        </w:rPr>
        <w:t>وفقاً للقرار</w:t>
      </w:r>
      <w:r w:rsidRPr="00C7259C">
        <w:rPr>
          <w:rFonts w:eastAsia="SimSun" w:hint="eastAsia"/>
          <w:spacing w:val="-2"/>
          <w:rtl/>
        </w:rPr>
        <w:t> </w:t>
      </w:r>
      <w:r w:rsidRPr="00C7259C">
        <w:rPr>
          <w:rFonts w:eastAsia="SimSun"/>
          <w:b/>
          <w:bCs/>
          <w:spacing w:val="-2"/>
        </w:rPr>
        <w:t>234 (WRC-12)</w:t>
      </w:r>
      <w:r w:rsidRPr="00C7259C">
        <w:rPr>
          <w:rFonts w:eastAsia="SimSun" w:hint="cs"/>
          <w:spacing w:val="-2"/>
          <w:rtl/>
        </w:rPr>
        <w:t>؛</w:t>
      </w:r>
    </w:p>
    <w:p w:rsidR="00F16602" w:rsidRDefault="00C7259C" w:rsidP="00C7259C">
      <w:pPr>
        <w:pStyle w:val="Headingb"/>
        <w:rPr>
          <w:rtl/>
        </w:rPr>
      </w:pPr>
      <w:r>
        <w:rPr>
          <w:rFonts w:hint="cs"/>
          <w:rtl/>
        </w:rPr>
        <w:t>مقدمة</w:t>
      </w:r>
    </w:p>
    <w:p w:rsidR="00C7259C" w:rsidRPr="006103E2" w:rsidRDefault="006103E2" w:rsidP="006103E2">
      <w:pPr>
        <w:rPr>
          <w:rtl/>
          <w:lang w:bidi="ar-OM"/>
        </w:rPr>
      </w:pPr>
      <w:r w:rsidRPr="006103E2">
        <w:rPr>
          <w:rFonts w:hint="cs"/>
          <w:rtl/>
          <w:lang w:bidi="ar-OM"/>
        </w:rPr>
        <w:t xml:space="preserve">دعا القرار </w:t>
      </w:r>
      <w:r w:rsidRPr="006103E2">
        <w:t>234</w:t>
      </w:r>
      <w:r>
        <w:t> </w:t>
      </w:r>
      <w:r w:rsidRPr="006103E2">
        <w:t>(WRC</w:t>
      </w:r>
      <w:r>
        <w:noBreakHyphen/>
      </w:r>
      <w:r w:rsidRPr="006103E2">
        <w:t>12)</w:t>
      </w:r>
      <w:r w:rsidRPr="006103E2">
        <w:rPr>
          <w:rFonts w:hint="cs"/>
          <w:rtl/>
          <w:lang w:bidi="ar-OM"/>
        </w:rPr>
        <w:t xml:space="preserve"> قطاع </w:t>
      </w:r>
      <w:r>
        <w:rPr>
          <w:rFonts w:hint="cs"/>
          <w:rtl/>
          <w:lang w:bidi="ar-OM"/>
        </w:rPr>
        <w:t xml:space="preserve">الاتصالات </w:t>
      </w:r>
      <w:r w:rsidRPr="006103E2">
        <w:rPr>
          <w:rFonts w:hint="cs"/>
          <w:rtl/>
          <w:lang w:bidi="ar-OM"/>
        </w:rPr>
        <w:t xml:space="preserve">الراديوية إلى أن يقوم، من أجل المؤتمر العالمي </w:t>
      </w:r>
      <w:r>
        <w:rPr>
          <w:rFonts w:hint="cs"/>
          <w:rtl/>
          <w:lang w:bidi="ar-OM"/>
        </w:rPr>
        <w:t xml:space="preserve">للاتصالات </w:t>
      </w:r>
      <w:r w:rsidRPr="006103E2">
        <w:rPr>
          <w:rFonts w:hint="cs"/>
          <w:rtl/>
          <w:lang w:bidi="ar-OM"/>
        </w:rPr>
        <w:t>الراديوية لعام</w:t>
      </w:r>
      <w:r>
        <w:rPr>
          <w:rFonts w:hint="eastAsia"/>
          <w:rtl/>
          <w:lang w:bidi="ar-OM"/>
        </w:rPr>
        <w:t> </w:t>
      </w:r>
      <w:r w:rsidRPr="006103E2">
        <w:t>2015</w:t>
      </w:r>
      <w:r w:rsidRPr="006103E2">
        <w:rPr>
          <w:rFonts w:hint="cs"/>
          <w:rtl/>
          <w:lang w:bidi="ar-OM"/>
        </w:rPr>
        <w:t xml:space="preserve">، </w:t>
      </w:r>
      <w:r>
        <w:rPr>
          <w:rFonts w:hint="cs"/>
          <w:rtl/>
          <w:lang w:bidi="ar-OM"/>
        </w:rPr>
        <w:t xml:space="preserve">باستكمال </w:t>
      </w:r>
      <w:r w:rsidRPr="006103E2">
        <w:rPr>
          <w:rFonts w:hint="cs"/>
          <w:rtl/>
          <w:lang w:bidi="ar-OM"/>
        </w:rPr>
        <w:t xml:space="preserve">دراسات التقاسم والتوافق المتعلقة بتوزيعات إضافية للخدمة المتنقلة الساتلية في </w:t>
      </w:r>
      <w:r>
        <w:rPr>
          <w:rFonts w:hint="cs"/>
          <w:rtl/>
          <w:lang w:bidi="ar-OM"/>
        </w:rPr>
        <w:t xml:space="preserve">الاتجاهين </w:t>
      </w:r>
      <w:r w:rsidRPr="006103E2">
        <w:rPr>
          <w:rFonts w:hint="cs"/>
          <w:rtl/>
          <w:lang w:bidi="ar-OM"/>
        </w:rPr>
        <w:t>أرض-فضاء وفضاء-أرض، في</w:t>
      </w:r>
      <w:r>
        <w:rPr>
          <w:rFonts w:hint="eastAsia"/>
          <w:rtl/>
          <w:lang w:bidi="ar-OM"/>
        </w:rPr>
        <w:t> </w:t>
      </w:r>
      <w:r w:rsidRPr="006103E2">
        <w:rPr>
          <w:rFonts w:hint="cs"/>
          <w:rtl/>
          <w:lang w:bidi="ar-OM"/>
        </w:rPr>
        <w:t xml:space="preserve">أجزاء من النطاقات بين </w:t>
      </w:r>
      <w:r w:rsidRPr="006103E2">
        <w:t>GHz</w:t>
      </w:r>
      <w:r>
        <w:t> 22</w:t>
      </w:r>
      <w:r w:rsidRPr="006103E2">
        <w:rPr>
          <w:rFonts w:hint="cs"/>
          <w:rtl/>
          <w:lang w:bidi="ar-OM"/>
        </w:rPr>
        <w:t xml:space="preserve"> و</w:t>
      </w:r>
      <w:r w:rsidRPr="006103E2">
        <w:t>GHz</w:t>
      </w:r>
      <w:r>
        <w:t> 26</w:t>
      </w:r>
      <w:r w:rsidRPr="006103E2">
        <w:rPr>
          <w:rFonts w:hint="cs"/>
          <w:rtl/>
          <w:lang w:bidi="ar-OM"/>
        </w:rPr>
        <w:t>، مع ضمان توفير الحماية للخدمات الحالية في</w:t>
      </w:r>
      <w:r>
        <w:rPr>
          <w:rFonts w:hint="eastAsia"/>
          <w:rtl/>
          <w:lang w:bidi="ar-OM"/>
        </w:rPr>
        <w:t> </w:t>
      </w:r>
      <w:r w:rsidRPr="006103E2">
        <w:rPr>
          <w:rFonts w:hint="cs"/>
          <w:rtl/>
          <w:lang w:bidi="ar-OM"/>
        </w:rPr>
        <w:t>مدى التردد هذا، بالإضافة إلى</w:t>
      </w:r>
      <w:r>
        <w:rPr>
          <w:rFonts w:hint="eastAsia"/>
          <w:rtl/>
          <w:lang w:bidi="ar-OM"/>
        </w:rPr>
        <w:t> </w:t>
      </w:r>
      <w:r w:rsidRPr="006103E2">
        <w:rPr>
          <w:rFonts w:hint="cs"/>
          <w:rtl/>
          <w:lang w:bidi="ar-OM"/>
        </w:rPr>
        <w:t>مراعاة الرقمين</w:t>
      </w:r>
      <w:r>
        <w:rPr>
          <w:rFonts w:hint="cs"/>
          <w:rtl/>
          <w:lang w:bidi="ar-OM"/>
        </w:rPr>
        <w:t xml:space="preserve"> </w:t>
      </w:r>
      <w:r>
        <w:rPr>
          <w:lang w:bidi="ar-OM"/>
        </w:rPr>
        <w:t>340.5</w:t>
      </w:r>
      <w:r w:rsidRPr="006103E2">
        <w:rPr>
          <w:rFonts w:hint="cs"/>
          <w:rtl/>
          <w:lang w:bidi="ar-OM"/>
        </w:rPr>
        <w:t xml:space="preserve"> و</w:t>
      </w:r>
      <w:r>
        <w:rPr>
          <w:lang w:bidi="ar-OM"/>
        </w:rPr>
        <w:t>149.5</w:t>
      </w:r>
      <w:r>
        <w:rPr>
          <w:rFonts w:hint="cs"/>
          <w:rtl/>
          <w:lang w:bidi="ar-OM"/>
        </w:rPr>
        <w:t xml:space="preserve"> </w:t>
      </w:r>
      <w:r w:rsidRPr="006103E2">
        <w:rPr>
          <w:rFonts w:hint="cs"/>
          <w:rtl/>
          <w:lang w:bidi="ar-OM"/>
        </w:rPr>
        <w:t>من لوائح الراديو.</w:t>
      </w:r>
    </w:p>
    <w:p w:rsidR="006103E2" w:rsidRDefault="006103E2" w:rsidP="00CA4D37">
      <w:pPr>
        <w:rPr>
          <w:rtl/>
          <w:lang w:bidi="ar-OM"/>
        </w:rPr>
      </w:pPr>
      <w:r w:rsidRPr="006103E2">
        <w:rPr>
          <w:rFonts w:hint="cs"/>
          <w:rtl/>
          <w:lang w:bidi="ar-OM"/>
        </w:rPr>
        <w:t xml:space="preserve">ولم توفر دراسات قطاع الاتصالات الراديوية التي </w:t>
      </w:r>
      <w:r w:rsidR="00CA4D37">
        <w:rPr>
          <w:rFonts w:hint="cs"/>
          <w:rtl/>
          <w:lang w:bidi="ar-OM"/>
        </w:rPr>
        <w:t xml:space="preserve">أُجريت </w:t>
      </w:r>
      <w:r w:rsidRPr="006103E2">
        <w:rPr>
          <w:rFonts w:hint="cs"/>
          <w:rtl/>
          <w:lang w:bidi="ar-OM"/>
        </w:rPr>
        <w:t>في إطار القرار أعلاه ضمان توفير الحماية للخدمات الحالية في</w:t>
      </w:r>
      <w:r w:rsidR="00CA4D37">
        <w:rPr>
          <w:rFonts w:hint="eastAsia"/>
          <w:rtl/>
          <w:lang w:bidi="ar-OM"/>
        </w:rPr>
        <w:t> </w:t>
      </w:r>
      <w:r w:rsidRPr="006103E2">
        <w:rPr>
          <w:rFonts w:hint="cs"/>
          <w:rtl/>
          <w:lang w:bidi="ar-OM"/>
        </w:rPr>
        <w:t xml:space="preserve">النطاقات المرشحة للتوزيع للخدمة المتنقلة الساتلية، وعلى سبيل المثال، صعوبة و/أو </w:t>
      </w:r>
      <w:r w:rsidR="00CA4D37">
        <w:rPr>
          <w:rFonts w:hint="cs"/>
          <w:rtl/>
          <w:lang w:bidi="ar-OM"/>
        </w:rPr>
        <w:t>ا</w:t>
      </w:r>
      <w:r w:rsidRPr="006103E2">
        <w:rPr>
          <w:rFonts w:hint="cs"/>
          <w:rtl/>
          <w:lang w:bidi="ar-OM"/>
        </w:rPr>
        <w:t>ستحالة توفير الحماية لخدمات الأرض من تداخلات مصدرها المحطات ال</w:t>
      </w:r>
      <w:r w:rsidR="00CA4D37">
        <w:rPr>
          <w:rFonts w:hint="cs"/>
          <w:rtl/>
          <w:lang w:bidi="ar-OM"/>
        </w:rPr>
        <w:t>أ</w:t>
      </w:r>
      <w:r w:rsidRPr="006103E2">
        <w:rPr>
          <w:rFonts w:hint="cs"/>
          <w:rtl/>
          <w:lang w:bidi="ar-OM"/>
        </w:rPr>
        <w:t>رضية للخدمة المتنقلة الساتلية المحمولة جوا</w:t>
      </w:r>
      <w:r w:rsidR="00CA4D37">
        <w:rPr>
          <w:rFonts w:hint="cs"/>
          <w:rtl/>
          <w:lang w:bidi="ar-OM"/>
        </w:rPr>
        <w:t>ً</w:t>
      </w:r>
      <w:r w:rsidRPr="006103E2">
        <w:rPr>
          <w:rFonts w:hint="cs"/>
          <w:rtl/>
          <w:lang w:bidi="ar-OM"/>
        </w:rPr>
        <w:t xml:space="preserve"> أو على متن سفن وتحديدا</w:t>
      </w:r>
      <w:r w:rsidR="00CA4D37">
        <w:rPr>
          <w:rFonts w:hint="cs"/>
          <w:rtl/>
          <w:lang w:bidi="ar-OM"/>
        </w:rPr>
        <w:t>ً</w:t>
      </w:r>
      <w:r w:rsidRPr="006103E2">
        <w:rPr>
          <w:rFonts w:hint="cs"/>
          <w:rtl/>
          <w:lang w:bidi="ar-OM"/>
        </w:rPr>
        <w:t xml:space="preserve"> في</w:t>
      </w:r>
      <w:r w:rsidR="00CA4D37">
        <w:rPr>
          <w:rFonts w:hint="eastAsia"/>
          <w:rtl/>
          <w:lang w:bidi="ar-OM"/>
        </w:rPr>
        <w:t> </w:t>
      </w:r>
      <w:r w:rsidRPr="006103E2">
        <w:rPr>
          <w:rFonts w:hint="cs"/>
          <w:rtl/>
          <w:lang w:bidi="ar-OM"/>
        </w:rPr>
        <w:t>حال تواجد محطات الطائرات أو</w:t>
      </w:r>
      <w:r w:rsidR="00CA4D37">
        <w:rPr>
          <w:rFonts w:hint="eastAsia"/>
          <w:rtl/>
          <w:lang w:bidi="ar-OM"/>
        </w:rPr>
        <w:t> </w:t>
      </w:r>
      <w:r w:rsidRPr="006103E2">
        <w:rPr>
          <w:rFonts w:hint="cs"/>
          <w:rtl/>
          <w:lang w:bidi="ar-OM"/>
        </w:rPr>
        <w:t>السفن في الخدمة المتنقلة الساتلية في</w:t>
      </w:r>
      <w:r w:rsidR="00CA4D37">
        <w:rPr>
          <w:rFonts w:hint="eastAsia"/>
          <w:rtl/>
          <w:lang w:bidi="ar-OM"/>
        </w:rPr>
        <w:t> </w:t>
      </w:r>
      <w:r w:rsidRPr="006103E2">
        <w:rPr>
          <w:rFonts w:hint="cs"/>
          <w:rtl/>
          <w:lang w:bidi="ar-OM"/>
        </w:rPr>
        <w:t>المياه الدولية.</w:t>
      </w:r>
    </w:p>
    <w:p w:rsidR="006103E2" w:rsidRDefault="006103E2" w:rsidP="00CA4D37">
      <w:pPr>
        <w:rPr>
          <w:rtl/>
          <w:lang w:bidi="ar-OM"/>
        </w:rPr>
      </w:pPr>
      <w:r w:rsidRPr="006103E2">
        <w:rPr>
          <w:rFonts w:hint="cs"/>
          <w:rtl/>
          <w:lang w:bidi="ar-OM"/>
        </w:rPr>
        <w:t>علاوة</w:t>
      </w:r>
      <w:r w:rsidR="00CA4D37">
        <w:rPr>
          <w:rFonts w:hint="cs"/>
          <w:rtl/>
          <w:lang w:bidi="ar-OM"/>
        </w:rPr>
        <w:t>ً</w:t>
      </w:r>
      <w:r w:rsidRPr="006103E2">
        <w:rPr>
          <w:rFonts w:hint="cs"/>
          <w:rtl/>
          <w:lang w:bidi="ar-OM"/>
        </w:rPr>
        <w:t xml:space="preserve"> على أن الشروط التنظيمية المقترح تطبيقها على النطاقات المرشحة للتوزيع للخدمة المتنقلة الساتلية ستحد أو ستقيد بشكل كبير من النشر المستقبلي للعدد المتزايد من أنظمة الأرض وخاصة في المناطق القريبة من الحدود الوطنية وستتسبب في</w:t>
      </w:r>
      <w:r w:rsidR="00CA4D37">
        <w:rPr>
          <w:rFonts w:hint="eastAsia"/>
          <w:rtl/>
          <w:lang w:bidi="ar-OM"/>
        </w:rPr>
        <w:t> </w:t>
      </w:r>
      <w:r w:rsidRPr="006103E2">
        <w:rPr>
          <w:rFonts w:hint="cs"/>
          <w:rtl/>
          <w:lang w:bidi="ar-OM"/>
        </w:rPr>
        <w:t>فرض قيود لا</w:t>
      </w:r>
      <w:r w:rsidR="00CA4D37">
        <w:rPr>
          <w:rFonts w:hint="eastAsia"/>
          <w:rtl/>
          <w:lang w:bidi="ar-OM"/>
        </w:rPr>
        <w:t> </w:t>
      </w:r>
      <w:r w:rsidRPr="006103E2">
        <w:rPr>
          <w:rFonts w:hint="cs"/>
          <w:rtl/>
          <w:lang w:bidi="ar-OM"/>
        </w:rPr>
        <w:t>ضرورة لها على خدمات الأرض.</w:t>
      </w:r>
    </w:p>
    <w:p w:rsidR="006103E2" w:rsidRDefault="006103E2" w:rsidP="00CA4D37">
      <w:pPr>
        <w:rPr>
          <w:rtl/>
          <w:lang w:bidi="ar-OM"/>
        </w:rPr>
      </w:pPr>
      <w:r w:rsidRPr="006103E2">
        <w:rPr>
          <w:rFonts w:hint="cs"/>
          <w:rtl/>
          <w:lang w:bidi="ar-OM"/>
        </w:rPr>
        <w:lastRenderedPageBreak/>
        <w:t>في</w:t>
      </w:r>
      <w:r w:rsidR="00CA4D37">
        <w:rPr>
          <w:rFonts w:hint="eastAsia"/>
          <w:rtl/>
          <w:lang w:bidi="ar-OM"/>
        </w:rPr>
        <w:t> </w:t>
      </w:r>
      <w:r w:rsidRPr="006103E2">
        <w:rPr>
          <w:rFonts w:hint="cs"/>
          <w:rtl/>
          <w:lang w:bidi="ar-OM"/>
        </w:rPr>
        <w:t xml:space="preserve">حين لم توضح دراسات قطاع </w:t>
      </w:r>
      <w:r w:rsidR="00CA4D37">
        <w:rPr>
          <w:rFonts w:hint="cs"/>
          <w:rtl/>
          <w:lang w:bidi="ar-OM"/>
        </w:rPr>
        <w:t xml:space="preserve">الاتصالات </w:t>
      </w:r>
      <w:r w:rsidRPr="006103E2">
        <w:rPr>
          <w:rFonts w:hint="cs"/>
          <w:rtl/>
          <w:lang w:bidi="ar-OM"/>
        </w:rPr>
        <w:t xml:space="preserve">الراديوية ما إذا كانت الخدمة المتنقلة الساتلية ستتمكن من </w:t>
      </w:r>
      <w:r w:rsidR="00CA4D37">
        <w:rPr>
          <w:rFonts w:hint="cs"/>
          <w:rtl/>
          <w:lang w:bidi="ar-OM"/>
        </w:rPr>
        <w:t>ا</w:t>
      </w:r>
      <w:r w:rsidRPr="006103E2">
        <w:rPr>
          <w:rFonts w:hint="cs"/>
          <w:rtl/>
          <w:lang w:bidi="ar-OM"/>
        </w:rPr>
        <w:t>ستعمال التوزيعات الجديدة المقترحة دون أن تعاني من تداخلات ضارة تسببها عمليات تشغيل الخدمات الراديوية القائمة الحالية والمستقبلية.</w:t>
      </w:r>
    </w:p>
    <w:p w:rsidR="006103E2" w:rsidRDefault="006103E2" w:rsidP="00CA4D37">
      <w:pPr>
        <w:rPr>
          <w:b/>
          <w:bCs/>
          <w:rtl/>
          <w:lang w:bidi="ar-OM"/>
        </w:rPr>
      </w:pPr>
      <w:r w:rsidRPr="006103E2">
        <w:rPr>
          <w:rFonts w:hint="cs"/>
          <w:rtl/>
          <w:lang w:bidi="ar-OM"/>
        </w:rPr>
        <w:t>بالإضافة</w:t>
      </w:r>
      <w:r w:rsidR="00415DFB">
        <w:rPr>
          <w:rFonts w:hint="cs"/>
          <w:rtl/>
          <w:lang w:bidi="ar-OM"/>
        </w:rPr>
        <w:t xml:space="preserve"> إلى ذلك،</w:t>
      </w:r>
      <w:bookmarkStart w:id="1" w:name="_GoBack"/>
      <w:bookmarkEnd w:id="1"/>
      <w:r w:rsidRPr="006103E2">
        <w:rPr>
          <w:rFonts w:hint="cs"/>
          <w:rtl/>
          <w:lang w:bidi="ar-OM"/>
        </w:rPr>
        <w:t xml:space="preserve"> لم تحدد دراسات قطاع </w:t>
      </w:r>
      <w:r w:rsidR="00CA4D37">
        <w:rPr>
          <w:rFonts w:hint="cs"/>
          <w:rtl/>
          <w:lang w:bidi="ar-OM"/>
        </w:rPr>
        <w:t xml:space="preserve">الاتصالات </w:t>
      </w:r>
      <w:r w:rsidRPr="006103E2">
        <w:rPr>
          <w:rFonts w:hint="cs"/>
          <w:rtl/>
          <w:lang w:bidi="ar-OM"/>
        </w:rPr>
        <w:t xml:space="preserve">الراديوية </w:t>
      </w:r>
      <w:r w:rsidR="00CA4D37">
        <w:rPr>
          <w:rFonts w:hint="cs"/>
          <w:rtl/>
          <w:lang w:bidi="ar-OM"/>
        </w:rPr>
        <w:t xml:space="preserve">الاحتياجات </w:t>
      </w:r>
      <w:r w:rsidRPr="006103E2">
        <w:rPr>
          <w:rFonts w:hint="cs"/>
          <w:rtl/>
          <w:lang w:bidi="ar-OM"/>
        </w:rPr>
        <w:t>الفعلية من الطيف الترددي للتوزيعات الإضافية للخدمة المتنقلة الساتلية في</w:t>
      </w:r>
      <w:r w:rsidR="00CA4D37">
        <w:rPr>
          <w:rFonts w:hint="eastAsia"/>
          <w:rtl/>
          <w:lang w:bidi="ar-OM"/>
        </w:rPr>
        <w:t> </w:t>
      </w:r>
      <w:r w:rsidRPr="006103E2">
        <w:rPr>
          <w:rFonts w:hint="cs"/>
          <w:rtl/>
          <w:lang w:bidi="ar-OM"/>
        </w:rPr>
        <w:t>ال</w:t>
      </w:r>
      <w:r w:rsidR="00CA4D37">
        <w:rPr>
          <w:rFonts w:hint="cs"/>
          <w:rtl/>
          <w:lang w:bidi="ar-OM"/>
        </w:rPr>
        <w:t>ا</w:t>
      </w:r>
      <w:r w:rsidRPr="006103E2">
        <w:rPr>
          <w:rFonts w:hint="cs"/>
          <w:rtl/>
          <w:lang w:bidi="ar-OM"/>
        </w:rPr>
        <w:t xml:space="preserve">تجاهين أرض-فضاء وفضاء-أرض في أجزاء النطاقات بين </w:t>
      </w:r>
      <w:r w:rsidRPr="006103E2">
        <w:t>GHz</w:t>
      </w:r>
      <w:r w:rsidR="00CA4D37">
        <w:t> 22</w:t>
      </w:r>
      <w:r w:rsidRPr="006103E2">
        <w:rPr>
          <w:rFonts w:hint="cs"/>
          <w:rtl/>
          <w:lang w:bidi="ar-OM"/>
        </w:rPr>
        <w:t xml:space="preserve"> و</w:t>
      </w:r>
      <w:r w:rsidRPr="006103E2">
        <w:t>GHz</w:t>
      </w:r>
      <w:r w:rsidR="00CA4D37">
        <w:t> 26</w:t>
      </w:r>
      <w:r w:rsidR="0041092C">
        <w:rPr>
          <w:rFonts w:hint="cs"/>
          <w:rtl/>
          <w:lang w:bidi="ar-EG"/>
        </w:rPr>
        <w:t>.</w:t>
      </w:r>
      <w:r w:rsidRPr="006103E2">
        <w:rPr>
          <w:rFonts w:hint="cs"/>
          <w:rtl/>
          <w:lang w:bidi="ar-OM"/>
        </w:rPr>
        <w:t xml:space="preserve"> وبالتالي لا</w:t>
      </w:r>
      <w:r w:rsidR="00CA4D37">
        <w:rPr>
          <w:rFonts w:hint="eastAsia"/>
          <w:rtl/>
          <w:lang w:bidi="ar-OM"/>
        </w:rPr>
        <w:t> </w:t>
      </w:r>
      <w:r w:rsidRPr="006103E2">
        <w:rPr>
          <w:rFonts w:hint="cs"/>
          <w:rtl/>
          <w:lang w:bidi="ar-OM"/>
        </w:rPr>
        <w:t>يوجد أي تبرير للتوزيعات المقترحة للخدمة المتنقلة الساتلية في</w:t>
      </w:r>
      <w:r w:rsidR="00CA4D37">
        <w:rPr>
          <w:rFonts w:hint="eastAsia"/>
          <w:rtl/>
          <w:lang w:bidi="ar-OM"/>
        </w:rPr>
        <w:t> </w:t>
      </w:r>
      <w:r w:rsidRPr="006103E2">
        <w:rPr>
          <w:rFonts w:hint="cs"/>
          <w:rtl/>
          <w:lang w:bidi="ar-OM"/>
        </w:rPr>
        <w:t>إطار هذا البند من جدول الأعمال.</w:t>
      </w:r>
    </w:p>
    <w:p w:rsidR="006103E2" w:rsidRDefault="00CA4D37" w:rsidP="006103E2">
      <w:pPr>
        <w:pStyle w:val="Headingb"/>
        <w:rPr>
          <w:rtl/>
        </w:rPr>
      </w:pPr>
      <w:r>
        <w:rPr>
          <w:rFonts w:hint="cs"/>
          <w:rtl/>
        </w:rPr>
        <w:t>المقترحات</w:t>
      </w:r>
    </w:p>
    <w:p w:rsidR="00C7259C" w:rsidRDefault="006103E2" w:rsidP="00CA4D37">
      <w:r w:rsidRPr="006103E2">
        <w:rPr>
          <w:rFonts w:hint="cs"/>
          <w:rtl/>
          <w:lang w:bidi="ar-OM"/>
        </w:rPr>
        <w:t>بناء</w:t>
      </w:r>
      <w:r w:rsidR="00CA4D37">
        <w:rPr>
          <w:rFonts w:hint="cs"/>
          <w:rtl/>
          <w:lang w:bidi="ar-OM"/>
        </w:rPr>
        <w:t>ً</w:t>
      </w:r>
      <w:r w:rsidRPr="006103E2">
        <w:rPr>
          <w:rFonts w:hint="cs"/>
          <w:rtl/>
          <w:lang w:bidi="ar-OM"/>
        </w:rPr>
        <w:t xml:space="preserve"> على نتائج دراسات قطاع ال</w:t>
      </w:r>
      <w:r w:rsidR="00CA4D37">
        <w:rPr>
          <w:rFonts w:hint="cs"/>
          <w:rtl/>
          <w:lang w:bidi="ar-OM"/>
        </w:rPr>
        <w:t>ا</w:t>
      </w:r>
      <w:r w:rsidRPr="006103E2">
        <w:rPr>
          <w:rFonts w:hint="cs"/>
          <w:rtl/>
          <w:lang w:bidi="ar-OM"/>
        </w:rPr>
        <w:t>تصالات الراديوية فإن إدارات الدول العربية</w:t>
      </w:r>
      <w:r w:rsidRPr="006103E2">
        <w:rPr>
          <w:rtl/>
          <w:lang w:bidi="ar-OM"/>
        </w:rPr>
        <w:t xml:space="preserve"> </w:t>
      </w:r>
      <w:r w:rsidRPr="006103E2">
        <w:rPr>
          <w:rFonts w:hint="cs"/>
          <w:rtl/>
          <w:lang w:bidi="ar-OM"/>
        </w:rPr>
        <w:t>تقترح التالي:</w:t>
      </w:r>
    </w:p>
    <w:p w:rsidR="009F37C9" w:rsidRDefault="005130A7" w:rsidP="008A6056">
      <w:pPr>
        <w:pStyle w:val="ArtNo"/>
        <w:rPr>
          <w:rtl/>
        </w:rPr>
      </w:pPr>
      <w:r>
        <w:rPr>
          <w:rtl/>
        </w:rPr>
        <w:t xml:space="preserve">المـادة </w:t>
      </w:r>
      <w:r w:rsidRPr="008462AD">
        <w:rPr>
          <w:rStyle w:val="href"/>
        </w:rPr>
        <w:t>5</w:t>
      </w:r>
    </w:p>
    <w:p w:rsidR="009F37C9" w:rsidRPr="007031A9" w:rsidRDefault="005130A7" w:rsidP="009F37C9">
      <w:pPr>
        <w:pStyle w:val="Arttitle"/>
        <w:rPr>
          <w:b w:val="0"/>
          <w:rtl/>
        </w:rPr>
      </w:pPr>
      <w:bookmarkStart w:id="2" w:name="_Toc331055733"/>
      <w:r w:rsidRPr="007031A9">
        <w:rPr>
          <w:b w:val="0"/>
          <w:rtl/>
        </w:rPr>
        <w:t>توزيع نطاقات التردد</w:t>
      </w:r>
      <w:bookmarkEnd w:id="2"/>
    </w:p>
    <w:p w:rsidR="00F670EC" w:rsidRDefault="005130A7">
      <w:pPr>
        <w:pStyle w:val="Proposal"/>
      </w:pPr>
      <w:r>
        <w:rPr>
          <w:u w:val="single"/>
        </w:rPr>
        <w:t>NOC</w:t>
      </w:r>
      <w:r>
        <w:tab/>
        <w:t>ARB/25A10/1</w:t>
      </w:r>
    </w:p>
    <w:p w:rsidR="009F37C9" w:rsidRDefault="005130A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670EC" w:rsidRDefault="005130A7" w:rsidP="0041092C">
      <w:pPr>
        <w:pStyle w:val="Reasons"/>
      </w:pPr>
      <w:r>
        <w:rPr>
          <w:rtl/>
        </w:rPr>
        <w:t>الأسباب:</w:t>
      </w:r>
      <w:r>
        <w:tab/>
      </w:r>
      <w:r w:rsidR="006103E2" w:rsidRPr="006103E2">
        <w:rPr>
          <w:b w:val="0"/>
          <w:bCs w:val="0"/>
          <w:rtl/>
        </w:rPr>
        <w:t>لم توفر دراسات قطاع الاتصالات الراديوية ضمان توفير الحماية للخدمات الحالية في</w:t>
      </w:r>
      <w:r w:rsidR="0060498F">
        <w:rPr>
          <w:rFonts w:hint="cs"/>
          <w:b w:val="0"/>
          <w:bCs w:val="0"/>
          <w:rtl/>
        </w:rPr>
        <w:t> </w:t>
      </w:r>
      <w:r w:rsidR="006103E2" w:rsidRPr="006103E2">
        <w:rPr>
          <w:b w:val="0"/>
          <w:bCs w:val="0"/>
          <w:rtl/>
        </w:rPr>
        <w:t xml:space="preserve">النطاقات المرشحة للتوزيع للخدمة المتنقلة الساتلية، وعلى سبيل المثال، صعوبة و/أو </w:t>
      </w:r>
      <w:r w:rsidR="0060498F">
        <w:rPr>
          <w:rFonts w:hint="cs"/>
          <w:b w:val="0"/>
          <w:bCs w:val="0"/>
          <w:rtl/>
        </w:rPr>
        <w:t>ا</w:t>
      </w:r>
      <w:r w:rsidR="006103E2" w:rsidRPr="006103E2">
        <w:rPr>
          <w:b w:val="0"/>
          <w:bCs w:val="0"/>
          <w:rtl/>
        </w:rPr>
        <w:t>ستحالة توفير الحماية لخدمات الأرض من تداخلات مصدرها المحطات ال</w:t>
      </w:r>
      <w:r w:rsidR="0060498F">
        <w:rPr>
          <w:rFonts w:hint="cs"/>
          <w:b w:val="0"/>
          <w:bCs w:val="0"/>
          <w:rtl/>
        </w:rPr>
        <w:t>أ</w:t>
      </w:r>
      <w:r w:rsidR="006103E2" w:rsidRPr="006103E2">
        <w:rPr>
          <w:b w:val="0"/>
          <w:bCs w:val="0"/>
          <w:rtl/>
        </w:rPr>
        <w:t>رضية للخدمة المتنقلة الساتلية المحمولة جوا</w:t>
      </w:r>
      <w:r w:rsidR="0060498F">
        <w:rPr>
          <w:rFonts w:hint="cs"/>
          <w:b w:val="0"/>
          <w:bCs w:val="0"/>
          <w:rtl/>
        </w:rPr>
        <w:t>ً</w:t>
      </w:r>
      <w:r w:rsidR="006103E2" w:rsidRPr="006103E2">
        <w:rPr>
          <w:b w:val="0"/>
          <w:bCs w:val="0"/>
          <w:rtl/>
        </w:rPr>
        <w:t xml:space="preserve"> أو على متن سفن وتحديدا</w:t>
      </w:r>
      <w:r w:rsidR="0060498F">
        <w:rPr>
          <w:rFonts w:hint="cs"/>
          <w:b w:val="0"/>
          <w:bCs w:val="0"/>
          <w:rtl/>
        </w:rPr>
        <w:t>ً</w:t>
      </w:r>
      <w:r w:rsidR="006103E2" w:rsidRPr="006103E2">
        <w:rPr>
          <w:b w:val="0"/>
          <w:bCs w:val="0"/>
          <w:rtl/>
        </w:rPr>
        <w:t xml:space="preserve"> في حال تواجد محطات الطائرات أو السفن في</w:t>
      </w:r>
      <w:r w:rsidR="0060498F">
        <w:rPr>
          <w:rFonts w:hint="cs"/>
          <w:b w:val="0"/>
          <w:bCs w:val="0"/>
          <w:rtl/>
        </w:rPr>
        <w:t> </w:t>
      </w:r>
      <w:r w:rsidR="006103E2" w:rsidRPr="006103E2">
        <w:rPr>
          <w:b w:val="0"/>
          <w:bCs w:val="0"/>
          <w:rtl/>
        </w:rPr>
        <w:t>الخدمة المتنقلة الساتلية في</w:t>
      </w:r>
      <w:r w:rsidR="0060498F">
        <w:rPr>
          <w:rFonts w:hint="cs"/>
          <w:b w:val="0"/>
          <w:bCs w:val="0"/>
          <w:rtl/>
        </w:rPr>
        <w:t> </w:t>
      </w:r>
      <w:r w:rsidR="006103E2" w:rsidRPr="006103E2">
        <w:rPr>
          <w:b w:val="0"/>
          <w:bCs w:val="0"/>
          <w:rtl/>
        </w:rPr>
        <w:t>المياه الدولية.</w:t>
      </w:r>
      <w:r w:rsidR="006103E2" w:rsidRPr="006103E2">
        <w:rPr>
          <w:rFonts w:hint="cs"/>
          <w:b w:val="0"/>
          <w:bCs w:val="0"/>
          <w:rtl/>
        </w:rPr>
        <w:t xml:space="preserve"> </w:t>
      </w:r>
      <w:r w:rsidR="006103E2" w:rsidRPr="006103E2">
        <w:rPr>
          <w:rFonts w:hint="cs"/>
          <w:b w:val="0"/>
          <w:bCs w:val="0"/>
          <w:rtl/>
          <w:lang w:bidi="ar-OM"/>
        </w:rPr>
        <w:t>بالإضافة</w:t>
      </w:r>
      <w:r w:rsidR="00415DFB">
        <w:rPr>
          <w:rFonts w:hint="cs"/>
          <w:b w:val="0"/>
          <w:bCs w:val="0"/>
          <w:rtl/>
          <w:lang w:bidi="ar-OM"/>
        </w:rPr>
        <w:t xml:space="preserve"> إلى ذلك،</w:t>
      </w:r>
      <w:r w:rsidR="006103E2" w:rsidRPr="006103E2">
        <w:rPr>
          <w:rFonts w:hint="cs"/>
          <w:b w:val="0"/>
          <w:bCs w:val="0"/>
          <w:rtl/>
          <w:lang w:bidi="ar-OM"/>
        </w:rPr>
        <w:t xml:space="preserve"> لم تحدد دراسات قطاع </w:t>
      </w:r>
      <w:r w:rsidR="0060498F">
        <w:rPr>
          <w:rFonts w:hint="cs"/>
          <w:b w:val="0"/>
          <w:bCs w:val="0"/>
          <w:rtl/>
          <w:lang w:bidi="ar-OM"/>
        </w:rPr>
        <w:t xml:space="preserve">الاتصالات </w:t>
      </w:r>
      <w:r w:rsidR="006103E2" w:rsidRPr="006103E2">
        <w:rPr>
          <w:rFonts w:hint="cs"/>
          <w:b w:val="0"/>
          <w:bCs w:val="0"/>
          <w:rtl/>
          <w:lang w:bidi="ar-OM"/>
        </w:rPr>
        <w:t xml:space="preserve">الراديوية </w:t>
      </w:r>
      <w:r w:rsidR="0060498F">
        <w:rPr>
          <w:rFonts w:hint="cs"/>
          <w:b w:val="0"/>
          <w:bCs w:val="0"/>
          <w:rtl/>
          <w:lang w:bidi="ar-OM"/>
        </w:rPr>
        <w:t xml:space="preserve">الاحتياجات </w:t>
      </w:r>
      <w:r w:rsidR="006103E2" w:rsidRPr="006103E2">
        <w:rPr>
          <w:rFonts w:hint="cs"/>
          <w:b w:val="0"/>
          <w:bCs w:val="0"/>
          <w:rtl/>
          <w:lang w:bidi="ar-OM"/>
        </w:rPr>
        <w:t>الفعلية من الطيف الترددي للتوزيعات الإضافية للخدمة المتنقلة الساتلية في</w:t>
      </w:r>
      <w:r w:rsidR="0060498F">
        <w:rPr>
          <w:rFonts w:hint="eastAsia"/>
          <w:b w:val="0"/>
          <w:bCs w:val="0"/>
          <w:rtl/>
          <w:lang w:bidi="ar-OM"/>
        </w:rPr>
        <w:t> </w:t>
      </w:r>
      <w:r w:rsidR="0060498F">
        <w:rPr>
          <w:rFonts w:hint="cs"/>
          <w:b w:val="0"/>
          <w:bCs w:val="0"/>
          <w:rtl/>
          <w:lang w:bidi="ar-OM"/>
        </w:rPr>
        <w:t xml:space="preserve">الاتجاهين </w:t>
      </w:r>
      <w:r w:rsidR="006103E2" w:rsidRPr="006103E2">
        <w:rPr>
          <w:rFonts w:hint="cs"/>
          <w:b w:val="0"/>
          <w:bCs w:val="0"/>
          <w:rtl/>
          <w:lang w:bidi="ar-OM"/>
        </w:rPr>
        <w:t>أرض-فضاء وفضاء-أرض في</w:t>
      </w:r>
      <w:r w:rsidR="0060498F">
        <w:rPr>
          <w:rFonts w:hint="eastAsia"/>
          <w:b w:val="0"/>
          <w:bCs w:val="0"/>
          <w:rtl/>
          <w:lang w:bidi="ar-OM"/>
        </w:rPr>
        <w:t> </w:t>
      </w:r>
      <w:r w:rsidR="006103E2" w:rsidRPr="006103E2">
        <w:rPr>
          <w:rFonts w:hint="cs"/>
          <w:b w:val="0"/>
          <w:bCs w:val="0"/>
          <w:rtl/>
          <w:lang w:bidi="ar-OM"/>
        </w:rPr>
        <w:t xml:space="preserve">أجزاء النطاقات بين </w:t>
      </w:r>
      <w:r w:rsidR="006103E2" w:rsidRPr="006103E2">
        <w:rPr>
          <w:b w:val="0"/>
          <w:bCs w:val="0"/>
        </w:rPr>
        <w:t>GHz</w:t>
      </w:r>
      <w:r w:rsidR="0060498F">
        <w:rPr>
          <w:b w:val="0"/>
          <w:bCs w:val="0"/>
        </w:rPr>
        <w:t> 22</w:t>
      </w:r>
      <w:r w:rsidR="006103E2" w:rsidRPr="006103E2">
        <w:rPr>
          <w:rFonts w:hint="cs"/>
          <w:b w:val="0"/>
          <w:bCs w:val="0"/>
          <w:rtl/>
          <w:lang w:bidi="ar-OM"/>
        </w:rPr>
        <w:t xml:space="preserve"> و</w:t>
      </w:r>
      <w:r w:rsidR="006103E2" w:rsidRPr="006103E2">
        <w:rPr>
          <w:b w:val="0"/>
          <w:bCs w:val="0"/>
        </w:rPr>
        <w:t>GHz</w:t>
      </w:r>
      <w:r w:rsidR="0060498F">
        <w:rPr>
          <w:b w:val="0"/>
          <w:bCs w:val="0"/>
        </w:rPr>
        <w:t> 26</w:t>
      </w:r>
      <w:r w:rsidR="00CF2B60">
        <w:rPr>
          <w:rFonts w:hint="cs"/>
          <w:b w:val="0"/>
          <w:bCs w:val="0"/>
          <w:rtl/>
          <w:lang w:bidi="ar-OM"/>
        </w:rPr>
        <w:t>.</w:t>
      </w:r>
      <w:r w:rsidR="006103E2" w:rsidRPr="006103E2">
        <w:rPr>
          <w:rFonts w:hint="cs"/>
          <w:b w:val="0"/>
          <w:bCs w:val="0"/>
          <w:rtl/>
          <w:lang w:bidi="ar-OM"/>
        </w:rPr>
        <w:t xml:space="preserve"> وبالتالي لا</w:t>
      </w:r>
      <w:r w:rsidR="0041092C">
        <w:rPr>
          <w:rFonts w:hint="eastAsia"/>
          <w:b w:val="0"/>
          <w:bCs w:val="0"/>
          <w:rtl/>
          <w:lang w:bidi="ar-OM"/>
        </w:rPr>
        <w:t> </w:t>
      </w:r>
      <w:r w:rsidR="006103E2" w:rsidRPr="006103E2">
        <w:rPr>
          <w:rFonts w:hint="cs"/>
          <w:b w:val="0"/>
          <w:bCs w:val="0"/>
          <w:rtl/>
          <w:lang w:bidi="ar-OM"/>
        </w:rPr>
        <w:t>يوجد أي تبرير للتوزيعات المقترحة للخدمة المتنقلة الساتلية في إطار هذا البند من جدول الأعمال.</w:t>
      </w:r>
    </w:p>
    <w:p w:rsidR="00F670EC" w:rsidRDefault="005130A7">
      <w:pPr>
        <w:pStyle w:val="Proposal"/>
      </w:pPr>
      <w:r>
        <w:t>SUP</w:t>
      </w:r>
      <w:r>
        <w:tab/>
        <w:t>ARB/25A10/2</w:t>
      </w:r>
    </w:p>
    <w:p w:rsidR="00BF7778" w:rsidRPr="001A0CA5" w:rsidRDefault="005130A7" w:rsidP="006B39BB">
      <w:pPr>
        <w:pStyle w:val="ResNo"/>
        <w:rPr>
          <w:rtl/>
          <w:lang w:val="fr-FR"/>
        </w:rPr>
      </w:pPr>
      <w:bookmarkStart w:id="3" w:name="_Toc327956639"/>
      <w:r w:rsidRPr="00732D06">
        <w:rPr>
          <w:rtl/>
        </w:rPr>
        <w:t>القـرار</w:t>
      </w:r>
      <w:r>
        <w:rPr>
          <w:rtl/>
        </w:rPr>
        <w:t xml:space="preserve"> </w:t>
      </w:r>
      <w:r w:rsidRPr="002541A2">
        <w:rPr>
          <w:rStyle w:val="href"/>
        </w:rPr>
        <w:t>234</w:t>
      </w:r>
      <w:r w:rsidR="006B39BB">
        <w:rPr>
          <w:lang w:val="en-GB"/>
        </w:rPr>
        <w:t> </w:t>
      </w:r>
      <w:r w:rsidRPr="002E7406">
        <w:rPr>
          <w:lang w:val="en-GB"/>
        </w:rPr>
        <w:t>(WRC</w:t>
      </w:r>
      <w:r w:rsidRPr="002E7406">
        <w:rPr>
          <w:lang w:val="en-GB"/>
        </w:rPr>
        <w:noBreakHyphen/>
        <w:t>12)</w:t>
      </w:r>
      <w:bookmarkEnd w:id="3"/>
    </w:p>
    <w:p w:rsidR="00BF7778" w:rsidRPr="000A7F68" w:rsidRDefault="005130A7" w:rsidP="00BF7778">
      <w:pPr>
        <w:pStyle w:val="Restitle"/>
      </w:pPr>
      <w:bookmarkStart w:id="4" w:name="_Toc327956640"/>
      <w:r>
        <w:rPr>
          <w:rFonts w:hint="cs"/>
          <w:rtl/>
        </w:rPr>
        <w:t xml:space="preserve">توزيعات أولية إضافية للخدمة المتنقلة الساتلية </w:t>
      </w:r>
      <w:r>
        <w:rPr>
          <w:rtl/>
          <w:lang w:bidi="ar-EG"/>
        </w:rPr>
        <w:br/>
      </w:r>
      <w:r>
        <w:rPr>
          <w:rFonts w:hint="cs"/>
          <w:rtl/>
        </w:rPr>
        <w:t>في</w:t>
      </w:r>
      <w:r>
        <w:rPr>
          <w:rFonts w:hint="cs"/>
          <w:rtl/>
          <w:lang w:bidi="ar-EG"/>
        </w:rPr>
        <w:t xml:space="preserve"> النطاقات من</w:t>
      </w:r>
      <w:r>
        <w:rPr>
          <w:rFonts w:hint="eastAsia"/>
          <w:rtl/>
          <w:lang w:bidi="ar-EG"/>
        </w:rPr>
        <w:t> </w:t>
      </w:r>
      <w:r>
        <w:t>GHz 22</w:t>
      </w:r>
      <w:r>
        <w:rPr>
          <w:rFonts w:hint="cs"/>
          <w:rtl/>
        </w:rPr>
        <w:t xml:space="preserve"> إلى </w:t>
      </w:r>
      <w:r>
        <w:t>GHz 26</w:t>
      </w:r>
      <w:bookmarkEnd w:id="4"/>
    </w:p>
    <w:p w:rsidR="00F670EC" w:rsidRDefault="005130A7" w:rsidP="006103E2">
      <w:pPr>
        <w:pStyle w:val="Reasons"/>
        <w:rPr>
          <w:b w:val="0"/>
          <w:bCs w:val="0"/>
          <w:rtl/>
        </w:rPr>
      </w:pPr>
      <w:r>
        <w:rPr>
          <w:rtl/>
        </w:rPr>
        <w:t>الأسباب:</w:t>
      </w:r>
      <w:r>
        <w:tab/>
      </w:r>
      <w:r w:rsidR="006103E2" w:rsidRPr="006103E2">
        <w:rPr>
          <w:rFonts w:hint="cs"/>
          <w:b w:val="0"/>
          <w:bCs w:val="0"/>
          <w:rtl/>
        </w:rPr>
        <w:t>لا حاجة لهذا القرار</w:t>
      </w:r>
      <w:r w:rsidR="006103E2">
        <w:rPr>
          <w:rFonts w:hint="cs"/>
          <w:b w:val="0"/>
          <w:bCs w:val="0"/>
          <w:rtl/>
        </w:rPr>
        <w:t>.</w:t>
      </w:r>
    </w:p>
    <w:p w:rsidR="0041092C" w:rsidRPr="0041092C" w:rsidRDefault="0041092C" w:rsidP="0041092C">
      <w:pPr>
        <w:pStyle w:val="Reasons"/>
        <w:rPr>
          <w:b w:val="0"/>
          <w:bCs w:val="0"/>
          <w:rtl/>
        </w:rPr>
      </w:pPr>
    </w:p>
    <w:p w:rsidR="006103E2" w:rsidRPr="006103E2" w:rsidRDefault="006103E2" w:rsidP="006103E2">
      <w:pPr>
        <w:spacing w:before="600"/>
        <w:jc w:val="center"/>
      </w:pPr>
      <w:r>
        <w:rPr>
          <w:rtl/>
        </w:rPr>
        <w:t>___________</w:t>
      </w:r>
    </w:p>
    <w:sectPr w:rsidR="006103E2" w:rsidRPr="006103E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A7" w:rsidRPr="00CB4300" w:rsidRDefault="005130A7" w:rsidP="005130A7">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P:\ARA\ITU-R\CONF-R\CMR15\000\025ADD10A.docx</w:t>
    </w:r>
    <w:r>
      <w:fldChar w:fldCharType="end"/>
    </w:r>
    <w:r w:rsidRPr="00CB4300">
      <w:rPr>
        <w:lang w:val="es-ES"/>
      </w:rPr>
      <w:t xml:space="preserve">   (</w:t>
    </w:r>
    <w:r>
      <w:rPr>
        <w:lang w:val="es-ES"/>
      </w:rPr>
      <w:t>386862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15DFB">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5130A7">
    <w:pPr>
      <w:pStyle w:val="Footer"/>
      <w:rPr>
        <w:lang w:val="es-ES"/>
      </w:rPr>
    </w:pPr>
    <w:r>
      <w:fldChar w:fldCharType="begin"/>
    </w:r>
    <w:r w:rsidRPr="00CB4300">
      <w:rPr>
        <w:lang w:val="es-ES"/>
      </w:rPr>
      <w:instrText xml:space="preserve"> FILENAME \p \* MERGEFORMAT </w:instrText>
    </w:r>
    <w:r>
      <w:fldChar w:fldCharType="separate"/>
    </w:r>
    <w:r w:rsidR="005130A7">
      <w:rPr>
        <w:noProof/>
        <w:lang w:val="es-ES"/>
      </w:rPr>
      <w:t>P:\ARA\ITU-R\CONF-R\CMR15\000\025ADD10A.docx</w:t>
    </w:r>
    <w:r>
      <w:fldChar w:fldCharType="end"/>
    </w:r>
    <w:r w:rsidRPr="00CB4300">
      <w:rPr>
        <w:lang w:val="es-ES"/>
      </w:rPr>
      <w:t xml:space="preserve">   (</w:t>
    </w:r>
    <w:r w:rsidR="005130A7">
      <w:rPr>
        <w:lang w:val="es-ES"/>
      </w:rPr>
      <w:t>386862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15DFB">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130A7">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15DFB">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58E9"/>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092C"/>
    <w:rsid w:val="004147B9"/>
    <w:rsid w:val="00415DFB"/>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30A7"/>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6BC"/>
    <w:rsid w:val="005C5D25"/>
    <w:rsid w:val="005D6D48"/>
    <w:rsid w:val="005D72A4"/>
    <w:rsid w:val="005F05CC"/>
    <w:rsid w:val="005F65DE"/>
    <w:rsid w:val="0060498F"/>
    <w:rsid w:val="006103E2"/>
    <w:rsid w:val="00613492"/>
    <w:rsid w:val="006315B5"/>
    <w:rsid w:val="00651343"/>
    <w:rsid w:val="0065562F"/>
    <w:rsid w:val="00680A66"/>
    <w:rsid w:val="00681391"/>
    <w:rsid w:val="006A12AC"/>
    <w:rsid w:val="006A2162"/>
    <w:rsid w:val="006B0D94"/>
    <w:rsid w:val="006B39BB"/>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156A"/>
    <w:rsid w:val="00BD6EF3"/>
    <w:rsid w:val="00BE69C3"/>
    <w:rsid w:val="00C1165E"/>
    <w:rsid w:val="00C22074"/>
    <w:rsid w:val="00C2377B"/>
    <w:rsid w:val="00C3693C"/>
    <w:rsid w:val="00C53F6F"/>
    <w:rsid w:val="00C5489D"/>
    <w:rsid w:val="00C71759"/>
    <w:rsid w:val="00C7259C"/>
    <w:rsid w:val="00C8199C"/>
    <w:rsid w:val="00C84112"/>
    <w:rsid w:val="00C841EB"/>
    <w:rsid w:val="00C8665F"/>
    <w:rsid w:val="00C917B5"/>
    <w:rsid w:val="00C94DFA"/>
    <w:rsid w:val="00CA298C"/>
    <w:rsid w:val="00CA4D37"/>
    <w:rsid w:val="00CB2BF9"/>
    <w:rsid w:val="00CB4300"/>
    <w:rsid w:val="00CB454E"/>
    <w:rsid w:val="00CC030E"/>
    <w:rsid w:val="00CC57D0"/>
    <w:rsid w:val="00CC68C4"/>
    <w:rsid w:val="00CC79A4"/>
    <w:rsid w:val="00CD0FDE"/>
    <w:rsid w:val="00CE0E68"/>
    <w:rsid w:val="00CE5BA4"/>
    <w:rsid w:val="00CF2B60"/>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70EC"/>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1D3CBE-A5EC-4A3A-A952-D0AFA6EB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R15-WRC15-C-0025!A10!MSW-A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660A26CC-AA89-4C19-8B56-7D6B17605C5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41478-F1D8-41F8-9807-B554AD61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494</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R15-WRC15-C-0025!A10!MSW-A</dc:title>
  <dc:creator>Documents Proposals Manager (DPM)</dc:creator>
  <cp:keywords>DPM_v5.2015.9.16_prod</cp:keywords>
  <cp:lastModifiedBy>Awad, Samy</cp:lastModifiedBy>
  <cp:revision>13</cp:revision>
  <cp:lastPrinted>2011-11-07T13:53:00Z</cp:lastPrinted>
  <dcterms:created xsi:type="dcterms:W3CDTF">2015-09-25T14:21:00Z</dcterms:created>
  <dcterms:modified xsi:type="dcterms:W3CDTF">2015-09-29T10:01:00Z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