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B94CCF"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1.10</w:t>
            </w:r>
          </w:p>
        </w:tc>
      </w:tr>
    </w:tbl>
    <w:bookmarkEnd w:id="7"/>
    <w:p w:rsidR="008B60D0" w:rsidRPr="00D42E4F" w:rsidRDefault="00B94CCF" w:rsidP="00720A70">
      <w:pPr>
        <w:pStyle w:val="Normalaftertitle0"/>
        <w:rPr>
          <w:lang w:eastAsia="zh-CN"/>
        </w:rPr>
      </w:pPr>
      <w:r w:rsidRPr="009C33AA">
        <w:rPr>
          <w:lang w:eastAsia="zh-CN"/>
        </w:rPr>
        <w:t>1.10</w:t>
      </w:r>
      <w:r w:rsidRPr="009C33AA">
        <w:rPr>
          <w:lang w:eastAsia="zh-CN"/>
        </w:rPr>
        <w:tab/>
      </w:r>
      <w:r w:rsidRPr="009C33AA">
        <w:rPr>
          <w:rFonts w:hint="eastAsia"/>
          <w:lang w:eastAsia="zh-CN"/>
        </w:rPr>
        <w:t>根据第</w:t>
      </w:r>
      <w:r w:rsidRPr="009C33AA">
        <w:rPr>
          <w:b/>
          <w:bCs/>
          <w:lang w:eastAsia="zh-CN"/>
        </w:rPr>
        <w:t>234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22 GHz</w:t>
      </w:r>
      <w:r w:rsidRPr="009C33AA">
        <w:rPr>
          <w:rFonts w:hint="eastAsia"/>
          <w:lang w:eastAsia="zh-CN"/>
        </w:rPr>
        <w:t>至</w:t>
      </w:r>
      <w:r w:rsidRPr="009C33AA">
        <w:rPr>
          <w:lang w:eastAsia="zh-CN"/>
        </w:rPr>
        <w:t>26 GHz</w:t>
      </w:r>
      <w:r w:rsidRPr="009C33AA">
        <w:rPr>
          <w:rFonts w:hint="eastAsia"/>
          <w:lang w:eastAsia="zh-CN"/>
        </w:rPr>
        <w:t>的频率范围内卫星移动业务地对空和空对地方向（包括涵盖国际移动通信（</w:t>
      </w:r>
      <w:r w:rsidRPr="009C33AA">
        <w:rPr>
          <w:lang w:eastAsia="zh-CN"/>
        </w:rPr>
        <w:t>IMT</w:t>
      </w:r>
      <w:r w:rsidRPr="009C33AA">
        <w:rPr>
          <w:rFonts w:hint="eastAsia"/>
          <w:lang w:eastAsia="zh-CN"/>
        </w:rPr>
        <w:t>）的宽带应用的卫星部分）的频谱需求并考虑做出可能的附加频谱划分；</w:t>
      </w:r>
    </w:p>
    <w:p w:rsidR="00B94CCF" w:rsidRPr="000B4E2B" w:rsidRDefault="00B94CCF" w:rsidP="00B94CCF">
      <w:pPr>
        <w:spacing w:before="0"/>
        <w:rPr>
          <w:lang w:eastAsia="zh-CN"/>
        </w:rPr>
      </w:pPr>
    </w:p>
    <w:p w:rsidR="00B94CCF" w:rsidRPr="00001A1B" w:rsidRDefault="00B94CCF" w:rsidP="00B94CCF">
      <w:pPr>
        <w:pStyle w:val="Headingb"/>
        <w:rPr>
          <w:lang w:eastAsia="zh-CN"/>
        </w:rPr>
      </w:pPr>
      <w:r>
        <w:rPr>
          <w:rFonts w:hint="eastAsia"/>
          <w:lang w:eastAsia="zh-CN"/>
        </w:rPr>
        <w:t>引言</w:t>
      </w:r>
    </w:p>
    <w:p w:rsidR="00B94CCF" w:rsidRPr="00720A70" w:rsidRDefault="001451F1" w:rsidP="00720A70">
      <w:pPr>
        <w:ind w:firstLineChars="200" w:firstLine="480"/>
        <w:rPr>
          <w:lang w:eastAsia="zh-CN"/>
        </w:rPr>
      </w:pPr>
      <w:r w:rsidRPr="00720A70">
        <w:rPr>
          <w:lang w:eastAsia="zh-CN"/>
        </w:rPr>
        <w:t>第</w:t>
      </w:r>
      <w:r w:rsidRPr="00720A70">
        <w:rPr>
          <w:lang w:eastAsia="zh-CN"/>
        </w:rPr>
        <w:t>234</w:t>
      </w:r>
      <w:r w:rsidRPr="00720A70">
        <w:rPr>
          <w:lang w:eastAsia="zh-CN"/>
        </w:rPr>
        <w:t>号决议（</w:t>
      </w:r>
      <w:r w:rsidRPr="00720A70">
        <w:rPr>
          <w:lang w:eastAsia="zh-CN"/>
        </w:rPr>
        <w:t>WRC-12</w:t>
      </w:r>
      <w:r w:rsidRPr="00720A70">
        <w:rPr>
          <w:lang w:eastAsia="zh-CN"/>
        </w:rPr>
        <w:t>）请</w:t>
      </w:r>
      <w:r w:rsidRPr="00720A70">
        <w:rPr>
          <w:lang w:eastAsia="zh-CN"/>
        </w:rPr>
        <w:t>ITU-R</w:t>
      </w:r>
      <w:r w:rsidRPr="00720A70">
        <w:rPr>
          <w:lang w:eastAsia="zh-CN"/>
        </w:rPr>
        <w:t>在</w:t>
      </w:r>
      <w:r w:rsidRPr="00720A70">
        <w:rPr>
          <w:lang w:eastAsia="zh-CN"/>
        </w:rPr>
        <w:t>WRC-15</w:t>
      </w:r>
      <w:r w:rsidRPr="00720A70">
        <w:rPr>
          <w:lang w:eastAsia="zh-CN"/>
        </w:rPr>
        <w:t>之前完成旨在实现在</w:t>
      </w:r>
      <w:r w:rsidRPr="00720A70">
        <w:rPr>
          <w:lang w:eastAsia="zh-CN"/>
        </w:rPr>
        <w:t>22 GHz</w:t>
      </w:r>
      <w:r w:rsidRPr="00720A70">
        <w:rPr>
          <w:lang w:eastAsia="zh-CN"/>
        </w:rPr>
        <w:t>至</w:t>
      </w:r>
      <w:r w:rsidRPr="00720A70">
        <w:rPr>
          <w:lang w:eastAsia="zh-CN"/>
        </w:rPr>
        <w:t>26 GHz</w:t>
      </w:r>
      <w:r w:rsidRPr="00720A70">
        <w:rPr>
          <w:lang w:eastAsia="zh-CN"/>
        </w:rPr>
        <w:t>部分频段内为地对空和空对地方向卫星移动业务增加划分的共用和兼容性研究，并在确保对这些频段内现有业务的保护的同时考虑到第</w:t>
      </w:r>
      <w:r w:rsidRPr="00720A70">
        <w:rPr>
          <w:lang w:eastAsia="zh-CN"/>
        </w:rPr>
        <w:t>5.340</w:t>
      </w:r>
      <w:r w:rsidRPr="00720A70">
        <w:rPr>
          <w:lang w:eastAsia="zh-CN"/>
        </w:rPr>
        <w:t>和</w:t>
      </w:r>
      <w:r w:rsidRPr="00720A70">
        <w:rPr>
          <w:lang w:eastAsia="zh-CN"/>
        </w:rPr>
        <w:t>5.149</w:t>
      </w:r>
      <w:r w:rsidRPr="00720A70">
        <w:rPr>
          <w:lang w:eastAsia="zh-CN"/>
        </w:rPr>
        <w:t>款。</w:t>
      </w:r>
    </w:p>
    <w:p w:rsidR="00B94CCF" w:rsidRPr="00720A70" w:rsidRDefault="00330AB6" w:rsidP="00720A70">
      <w:pPr>
        <w:ind w:firstLineChars="200" w:firstLine="480"/>
        <w:rPr>
          <w:lang w:eastAsia="zh-CN"/>
        </w:rPr>
      </w:pPr>
      <w:r w:rsidRPr="00720A70">
        <w:rPr>
          <w:rFonts w:hint="eastAsia"/>
          <w:lang w:eastAsia="zh-CN"/>
        </w:rPr>
        <w:t>在上述决议框架内开展的</w:t>
      </w:r>
      <w:r w:rsidR="00B94CCF" w:rsidRPr="00720A70">
        <w:rPr>
          <w:lang w:eastAsia="zh-CN"/>
        </w:rPr>
        <w:t>ITU-R</w:t>
      </w:r>
      <w:r w:rsidRPr="00720A70">
        <w:rPr>
          <w:rFonts w:hint="eastAsia"/>
          <w:lang w:eastAsia="zh-CN"/>
        </w:rPr>
        <w:t>研究，无法保证</w:t>
      </w:r>
      <w:r w:rsidRPr="00720A70">
        <w:rPr>
          <w:rFonts w:hint="eastAsia"/>
          <w:lang w:eastAsia="zh-CN"/>
        </w:rPr>
        <w:t>MSS</w:t>
      </w:r>
      <w:r w:rsidRPr="00720A70">
        <w:rPr>
          <w:rFonts w:hint="eastAsia"/>
          <w:lang w:eastAsia="zh-CN"/>
        </w:rPr>
        <w:t>候选划分频段内的现有业务得到保护，例如，研究指出保护地面业务免受空载或船载</w:t>
      </w:r>
      <w:r w:rsidRPr="00720A70">
        <w:rPr>
          <w:rFonts w:hint="eastAsia"/>
          <w:lang w:eastAsia="zh-CN"/>
        </w:rPr>
        <w:t>MSS</w:t>
      </w:r>
      <w:r w:rsidRPr="00720A70">
        <w:rPr>
          <w:rFonts w:hint="eastAsia"/>
          <w:lang w:eastAsia="zh-CN"/>
        </w:rPr>
        <w:t>地球站的干扰十分困难和</w:t>
      </w:r>
      <w:r w:rsidRPr="00720A70">
        <w:rPr>
          <w:rFonts w:hint="eastAsia"/>
          <w:lang w:eastAsia="zh-CN"/>
        </w:rPr>
        <w:t>/</w:t>
      </w:r>
      <w:r w:rsidRPr="00720A70">
        <w:rPr>
          <w:rFonts w:hint="eastAsia"/>
          <w:lang w:eastAsia="zh-CN"/>
        </w:rPr>
        <w:t>或没有可能，特别是当</w:t>
      </w:r>
      <w:r w:rsidRPr="00720A70">
        <w:rPr>
          <w:rFonts w:hint="eastAsia"/>
          <w:lang w:eastAsia="zh-CN"/>
        </w:rPr>
        <w:t>MSS</w:t>
      </w:r>
      <w:r w:rsidRPr="00720A70">
        <w:rPr>
          <w:rFonts w:hint="eastAsia"/>
          <w:lang w:eastAsia="zh-CN"/>
        </w:rPr>
        <w:t>航空器或船舶台站位于国际水域时。</w:t>
      </w:r>
    </w:p>
    <w:p w:rsidR="00B94CCF" w:rsidRPr="00720A70" w:rsidRDefault="00330AB6" w:rsidP="00550744">
      <w:pPr>
        <w:ind w:firstLineChars="200" w:firstLine="480"/>
        <w:rPr>
          <w:lang w:eastAsia="zh-CN"/>
        </w:rPr>
      </w:pPr>
      <w:r w:rsidRPr="00720A70">
        <w:rPr>
          <w:rFonts w:hint="eastAsia"/>
          <w:lang w:eastAsia="zh-CN"/>
        </w:rPr>
        <w:t>此外，建议应用于</w:t>
      </w:r>
      <w:r w:rsidRPr="00720A70">
        <w:rPr>
          <w:rFonts w:hint="eastAsia"/>
          <w:lang w:eastAsia="zh-CN"/>
        </w:rPr>
        <w:t>MSS</w:t>
      </w:r>
      <w:r w:rsidRPr="00720A70">
        <w:rPr>
          <w:rFonts w:hint="eastAsia"/>
          <w:lang w:eastAsia="zh-CN"/>
        </w:rPr>
        <w:t>候选频段的规则条件</w:t>
      </w:r>
      <w:r w:rsidR="0001691A" w:rsidRPr="00720A70">
        <w:rPr>
          <w:rFonts w:hint="eastAsia"/>
          <w:lang w:eastAsia="zh-CN"/>
        </w:rPr>
        <w:t>，</w:t>
      </w:r>
      <w:r w:rsidRPr="00720A70">
        <w:rPr>
          <w:rFonts w:hint="eastAsia"/>
          <w:lang w:eastAsia="zh-CN"/>
        </w:rPr>
        <w:t>将严重局限或限制</w:t>
      </w:r>
      <w:r w:rsidR="0001691A" w:rsidRPr="00720A70">
        <w:rPr>
          <w:rFonts w:hint="eastAsia"/>
          <w:lang w:eastAsia="zh-CN"/>
        </w:rPr>
        <w:t>部署数量</w:t>
      </w:r>
      <w:r w:rsidR="00550744">
        <w:rPr>
          <w:rFonts w:hint="eastAsia"/>
          <w:lang w:eastAsia="zh-CN"/>
        </w:rPr>
        <w:t>将</w:t>
      </w:r>
      <w:r w:rsidR="0001691A" w:rsidRPr="00720A70">
        <w:rPr>
          <w:rFonts w:hint="eastAsia"/>
          <w:lang w:eastAsia="zh-CN"/>
        </w:rPr>
        <w:t>不断增长的地面系统，尤其是在国境附近的地区，且亦会给地面业务施加不必要的限制。</w:t>
      </w:r>
    </w:p>
    <w:p w:rsidR="00B94CCF" w:rsidRPr="00720A70" w:rsidRDefault="009A08C8" w:rsidP="00720A70">
      <w:pPr>
        <w:ind w:firstLineChars="200" w:firstLine="480"/>
        <w:rPr>
          <w:lang w:eastAsia="zh-CN"/>
        </w:rPr>
      </w:pPr>
      <w:r w:rsidRPr="00720A70">
        <w:rPr>
          <w:rFonts w:hint="eastAsia"/>
          <w:lang w:eastAsia="zh-CN"/>
        </w:rPr>
        <w:t>与此同时，</w:t>
      </w:r>
      <w:r w:rsidRPr="00720A70">
        <w:rPr>
          <w:lang w:eastAsia="zh-CN"/>
        </w:rPr>
        <w:t>ITU-R</w:t>
      </w:r>
      <w:r w:rsidRPr="00720A70">
        <w:rPr>
          <w:rFonts w:hint="eastAsia"/>
          <w:lang w:eastAsia="zh-CN"/>
        </w:rPr>
        <w:t>研究并未弄清</w:t>
      </w:r>
      <w:r w:rsidRPr="00720A70">
        <w:rPr>
          <w:rFonts w:hint="eastAsia"/>
          <w:lang w:eastAsia="zh-CN"/>
        </w:rPr>
        <w:t>MSS</w:t>
      </w:r>
      <w:r w:rsidR="00550744">
        <w:rPr>
          <w:rFonts w:hint="eastAsia"/>
          <w:lang w:eastAsia="zh-CN"/>
        </w:rPr>
        <w:t>在</w:t>
      </w:r>
      <w:r w:rsidRPr="00720A70">
        <w:rPr>
          <w:rFonts w:hint="eastAsia"/>
          <w:lang w:eastAsia="zh-CN"/>
        </w:rPr>
        <w:t>使用新提出的划分时，是否能够不受当前和未来无线电业务操作所产生的有害干扰的影响。</w:t>
      </w:r>
    </w:p>
    <w:p w:rsidR="00B94CCF" w:rsidRPr="00720A70" w:rsidRDefault="009A08C8" w:rsidP="00550744">
      <w:pPr>
        <w:ind w:firstLineChars="200" w:firstLine="480"/>
        <w:rPr>
          <w:lang w:eastAsia="zh-CN"/>
        </w:rPr>
      </w:pPr>
      <w:r w:rsidRPr="00720A70">
        <w:rPr>
          <w:rFonts w:hint="eastAsia"/>
          <w:lang w:eastAsia="zh-CN"/>
        </w:rPr>
        <w:t>此外，</w:t>
      </w:r>
      <w:r w:rsidR="00B94CCF" w:rsidRPr="00720A70">
        <w:rPr>
          <w:lang w:eastAsia="zh-CN"/>
        </w:rPr>
        <w:t>ITU-R</w:t>
      </w:r>
      <w:r w:rsidR="00C450CB" w:rsidRPr="00720A70">
        <w:rPr>
          <w:rFonts w:hint="eastAsia"/>
          <w:lang w:eastAsia="zh-CN"/>
        </w:rPr>
        <w:t>研究并未在</w:t>
      </w:r>
      <w:r w:rsidR="00C450CB" w:rsidRPr="00720A70">
        <w:rPr>
          <w:lang w:eastAsia="zh-CN"/>
        </w:rPr>
        <w:t>22 GHz</w:t>
      </w:r>
      <w:r w:rsidR="00C450CB" w:rsidRPr="00720A70">
        <w:rPr>
          <w:rFonts w:hint="eastAsia"/>
          <w:lang w:eastAsia="zh-CN"/>
        </w:rPr>
        <w:t>至</w:t>
      </w:r>
      <w:r w:rsidR="00C450CB" w:rsidRPr="00720A70">
        <w:rPr>
          <w:lang w:eastAsia="zh-CN"/>
        </w:rPr>
        <w:t>26 GHz</w:t>
      </w:r>
      <w:r w:rsidR="00C450CB" w:rsidRPr="00720A70">
        <w:rPr>
          <w:rFonts w:hint="eastAsia"/>
          <w:lang w:eastAsia="zh-CN"/>
        </w:rPr>
        <w:t>频段</w:t>
      </w:r>
      <w:r w:rsidR="00550744">
        <w:rPr>
          <w:rFonts w:hint="eastAsia"/>
          <w:lang w:eastAsia="zh-CN"/>
        </w:rPr>
        <w:t>的</w:t>
      </w:r>
      <w:r w:rsidR="00550744">
        <w:rPr>
          <w:lang w:eastAsia="zh-CN"/>
        </w:rPr>
        <w:t>各个</w:t>
      </w:r>
      <w:r w:rsidR="00C450CB" w:rsidRPr="00720A70">
        <w:rPr>
          <w:rFonts w:hint="eastAsia"/>
          <w:lang w:eastAsia="zh-CN"/>
        </w:rPr>
        <w:t>部分确定</w:t>
      </w:r>
      <w:r w:rsidR="00C450CB" w:rsidRPr="00720A70">
        <w:rPr>
          <w:rFonts w:hint="eastAsia"/>
          <w:lang w:eastAsia="zh-CN"/>
        </w:rPr>
        <w:t>MSS</w:t>
      </w:r>
      <w:r w:rsidR="00C450CB" w:rsidRPr="00720A70">
        <w:rPr>
          <w:rFonts w:hint="eastAsia"/>
          <w:lang w:eastAsia="zh-CN"/>
        </w:rPr>
        <w:t>地对空和空对地方向上附加划分的实际频谱需求。因此，</w:t>
      </w:r>
      <w:r w:rsidR="004E736C" w:rsidRPr="00720A70">
        <w:rPr>
          <w:rFonts w:hint="eastAsia"/>
          <w:lang w:eastAsia="zh-CN"/>
        </w:rPr>
        <w:t>本</w:t>
      </w:r>
      <w:r w:rsidR="00C450CB" w:rsidRPr="00720A70">
        <w:rPr>
          <w:rFonts w:hint="eastAsia"/>
          <w:lang w:eastAsia="zh-CN"/>
        </w:rPr>
        <w:t>议项范围内并</w:t>
      </w:r>
      <w:r w:rsidR="004E736C" w:rsidRPr="00720A70">
        <w:rPr>
          <w:rFonts w:hint="eastAsia"/>
          <w:lang w:eastAsia="zh-CN"/>
        </w:rPr>
        <w:t>未给</w:t>
      </w:r>
      <w:r w:rsidR="00C450CB" w:rsidRPr="00720A70">
        <w:rPr>
          <w:rFonts w:hint="eastAsia"/>
          <w:lang w:eastAsia="zh-CN"/>
        </w:rPr>
        <w:t>MSS</w:t>
      </w:r>
      <w:r w:rsidR="004E736C" w:rsidRPr="00720A70">
        <w:rPr>
          <w:rFonts w:hint="eastAsia"/>
          <w:lang w:eastAsia="zh-CN"/>
        </w:rPr>
        <w:t>的拟议</w:t>
      </w:r>
      <w:r w:rsidR="00C450CB" w:rsidRPr="00720A70">
        <w:rPr>
          <w:rFonts w:hint="eastAsia"/>
          <w:lang w:eastAsia="zh-CN"/>
        </w:rPr>
        <w:t>划分</w:t>
      </w:r>
      <w:r w:rsidR="004E736C" w:rsidRPr="00720A70">
        <w:rPr>
          <w:rFonts w:hint="eastAsia"/>
          <w:lang w:eastAsia="zh-CN"/>
        </w:rPr>
        <w:t>提供</w:t>
      </w:r>
      <w:r w:rsidR="00C450CB" w:rsidRPr="00720A70">
        <w:rPr>
          <w:rFonts w:hint="eastAsia"/>
          <w:lang w:eastAsia="zh-CN"/>
        </w:rPr>
        <w:t>理由。</w:t>
      </w:r>
    </w:p>
    <w:p w:rsidR="00B94CCF" w:rsidRPr="00001A1B" w:rsidRDefault="00B94CCF" w:rsidP="00B94CCF">
      <w:pPr>
        <w:pStyle w:val="Headingb"/>
        <w:rPr>
          <w:lang w:eastAsia="zh-CN"/>
        </w:rPr>
      </w:pPr>
      <w:r>
        <w:rPr>
          <w:rFonts w:hint="eastAsia"/>
          <w:lang w:eastAsia="zh-CN"/>
        </w:rPr>
        <w:t>提案</w:t>
      </w:r>
    </w:p>
    <w:p w:rsidR="00B94CCF" w:rsidRPr="000B4E2B" w:rsidRDefault="004E736C" w:rsidP="004E736C">
      <w:pPr>
        <w:ind w:firstLineChars="200" w:firstLine="480"/>
        <w:rPr>
          <w:lang w:eastAsia="zh-CN"/>
        </w:rPr>
      </w:pPr>
      <w:r>
        <w:rPr>
          <w:rFonts w:hint="eastAsia"/>
          <w:lang w:eastAsia="zh-CN"/>
        </w:rPr>
        <w:t>根据</w:t>
      </w:r>
      <w:r w:rsidR="00B94CCF">
        <w:rPr>
          <w:lang w:eastAsia="zh-CN"/>
        </w:rPr>
        <w:t>ITU-R</w:t>
      </w:r>
      <w:r>
        <w:rPr>
          <w:rFonts w:hint="eastAsia"/>
          <w:lang w:eastAsia="zh-CN"/>
        </w:rPr>
        <w:t>的研究结果，阿拉伯国家主管部门提出如下建议：</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94CCF"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94CCF" w:rsidP="00DB1CAC">
      <w:pPr>
        <w:pStyle w:val="Arttitle"/>
        <w:rPr>
          <w:lang w:eastAsia="zh-CN"/>
        </w:rPr>
      </w:pPr>
      <w:bookmarkStart w:id="9" w:name="_Toc329768663"/>
      <w:r>
        <w:rPr>
          <w:rFonts w:hint="eastAsia"/>
          <w:lang w:eastAsia="zh-CN"/>
        </w:rPr>
        <w:t>频率划分</w:t>
      </w:r>
      <w:bookmarkEnd w:id="9"/>
    </w:p>
    <w:p w:rsidR="00A60DF6" w:rsidRDefault="00B94CCF">
      <w:pPr>
        <w:pStyle w:val="Proposal"/>
        <w:rPr>
          <w:lang w:eastAsia="zh-CN"/>
        </w:rPr>
      </w:pPr>
      <w:r>
        <w:rPr>
          <w:u w:val="single"/>
          <w:lang w:eastAsia="zh-CN"/>
        </w:rPr>
        <w:t>NOC</w:t>
      </w:r>
      <w:r>
        <w:rPr>
          <w:lang w:eastAsia="zh-CN"/>
        </w:rPr>
        <w:tab/>
        <w:t>ARB/25A10/1</w:t>
      </w:r>
    </w:p>
    <w:p w:rsidR="00DB1CAC" w:rsidRDefault="00B94CCF"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524C6" w:rsidRDefault="00B94CCF" w:rsidP="00550744">
      <w:pPr>
        <w:pStyle w:val="Reasons"/>
        <w:rPr>
          <w:lang w:eastAsia="zh-CN"/>
        </w:rPr>
      </w:pPr>
      <w:r>
        <w:rPr>
          <w:b/>
          <w:lang w:eastAsia="zh-CN"/>
        </w:rPr>
        <w:t>理由：</w:t>
      </w:r>
      <w:r>
        <w:rPr>
          <w:lang w:eastAsia="zh-CN"/>
        </w:rPr>
        <w:tab/>
      </w:r>
      <w:r w:rsidR="001524C6">
        <w:rPr>
          <w:lang w:eastAsia="zh-CN"/>
        </w:rPr>
        <w:t>ITU-R</w:t>
      </w:r>
      <w:r w:rsidR="001524C6">
        <w:rPr>
          <w:rFonts w:hint="eastAsia"/>
          <w:lang w:eastAsia="zh-CN"/>
        </w:rPr>
        <w:t>的研究无法保证</w:t>
      </w:r>
      <w:r w:rsidR="001524C6">
        <w:rPr>
          <w:rFonts w:hint="eastAsia"/>
          <w:lang w:eastAsia="zh-CN"/>
        </w:rPr>
        <w:t>MSS</w:t>
      </w:r>
      <w:r w:rsidR="001524C6">
        <w:rPr>
          <w:rFonts w:hint="eastAsia"/>
          <w:lang w:eastAsia="zh-CN"/>
        </w:rPr>
        <w:t>候选划分频段内的现有业务得到保护，例如，研究指出保护地面业务免受空载或船载</w:t>
      </w:r>
      <w:r w:rsidR="001524C6">
        <w:rPr>
          <w:rFonts w:hint="eastAsia"/>
          <w:lang w:eastAsia="zh-CN"/>
        </w:rPr>
        <w:t>MSS</w:t>
      </w:r>
      <w:r w:rsidR="001524C6">
        <w:rPr>
          <w:rFonts w:hint="eastAsia"/>
          <w:lang w:eastAsia="zh-CN"/>
        </w:rPr>
        <w:t>地球站的干扰十分困难和</w:t>
      </w:r>
      <w:r w:rsidR="001524C6">
        <w:rPr>
          <w:rFonts w:hint="eastAsia"/>
          <w:lang w:eastAsia="zh-CN"/>
        </w:rPr>
        <w:t>/</w:t>
      </w:r>
      <w:r w:rsidR="001524C6">
        <w:rPr>
          <w:rFonts w:hint="eastAsia"/>
          <w:lang w:eastAsia="zh-CN"/>
        </w:rPr>
        <w:t>或没有可能，特别是当</w:t>
      </w:r>
      <w:r w:rsidR="001524C6">
        <w:rPr>
          <w:rFonts w:hint="eastAsia"/>
          <w:lang w:eastAsia="zh-CN"/>
        </w:rPr>
        <w:t>MSS</w:t>
      </w:r>
      <w:r w:rsidR="001524C6">
        <w:rPr>
          <w:rFonts w:hint="eastAsia"/>
          <w:lang w:eastAsia="zh-CN"/>
        </w:rPr>
        <w:t>航空器或船舶台站位于国际水域时。此外，</w:t>
      </w:r>
      <w:r w:rsidR="001524C6">
        <w:rPr>
          <w:lang w:eastAsia="zh-CN"/>
        </w:rPr>
        <w:t>ITU-R</w:t>
      </w:r>
      <w:r w:rsidR="001524C6">
        <w:rPr>
          <w:rFonts w:hint="eastAsia"/>
          <w:lang w:eastAsia="zh-CN"/>
        </w:rPr>
        <w:t>研究并未在</w:t>
      </w:r>
      <w:r w:rsidR="001524C6">
        <w:rPr>
          <w:lang w:eastAsia="zh-CN"/>
        </w:rPr>
        <w:t>22 GHz</w:t>
      </w:r>
      <w:r w:rsidR="001524C6">
        <w:rPr>
          <w:rFonts w:hint="eastAsia"/>
          <w:lang w:eastAsia="zh-CN"/>
        </w:rPr>
        <w:t>至</w:t>
      </w:r>
      <w:r w:rsidR="001524C6" w:rsidRPr="00AA12B8">
        <w:rPr>
          <w:lang w:eastAsia="zh-CN"/>
        </w:rPr>
        <w:t>26 GHz</w:t>
      </w:r>
      <w:r w:rsidR="001524C6">
        <w:rPr>
          <w:rFonts w:hint="eastAsia"/>
          <w:lang w:eastAsia="zh-CN"/>
        </w:rPr>
        <w:t>频段</w:t>
      </w:r>
      <w:r w:rsidR="00550744">
        <w:rPr>
          <w:rFonts w:hint="eastAsia"/>
          <w:lang w:eastAsia="zh-CN"/>
        </w:rPr>
        <w:t>的</w:t>
      </w:r>
      <w:r w:rsidR="00550744">
        <w:rPr>
          <w:lang w:eastAsia="zh-CN"/>
        </w:rPr>
        <w:t>各个</w:t>
      </w:r>
      <w:r w:rsidR="001524C6">
        <w:rPr>
          <w:rFonts w:hint="eastAsia"/>
          <w:lang w:eastAsia="zh-CN"/>
        </w:rPr>
        <w:t>部分确定</w:t>
      </w:r>
      <w:r w:rsidR="001524C6">
        <w:rPr>
          <w:rFonts w:hint="eastAsia"/>
          <w:lang w:eastAsia="zh-CN"/>
        </w:rPr>
        <w:t>MSS</w:t>
      </w:r>
      <w:r w:rsidR="001524C6">
        <w:rPr>
          <w:rFonts w:hint="eastAsia"/>
          <w:lang w:eastAsia="zh-CN"/>
        </w:rPr>
        <w:t>地对空和空对地方向上附加划分的实际频谱需求。因此，</w:t>
      </w:r>
      <w:bookmarkStart w:id="10" w:name="_GoBack"/>
      <w:bookmarkEnd w:id="10"/>
      <w:r w:rsidR="001524C6">
        <w:rPr>
          <w:rFonts w:hint="eastAsia"/>
          <w:lang w:eastAsia="zh-CN"/>
        </w:rPr>
        <w:t>本议项范围内并未给</w:t>
      </w:r>
      <w:r w:rsidR="001524C6">
        <w:rPr>
          <w:rFonts w:hint="eastAsia"/>
          <w:lang w:eastAsia="zh-CN"/>
        </w:rPr>
        <w:t>MSS</w:t>
      </w:r>
      <w:r w:rsidR="001524C6">
        <w:rPr>
          <w:rFonts w:hint="eastAsia"/>
          <w:lang w:eastAsia="zh-CN"/>
        </w:rPr>
        <w:t>的拟议划分提供理由。</w:t>
      </w:r>
    </w:p>
    <w:p w:rsidR="00A60DF6" w:rsidRDefault="00B94CCF">
      <w:pPr>
        <w:pStyle w:val="Proposal"/>
        <w:rPr>
          <w:lang w:eastAsia="zh-CN"/>
        </w:rPr>
      </w:pPr>
      <w:r>
        <w:rPr>
          <w:lang w:eastAsia="zh-CN"/>
        </w:rPr>
        <w:t>SUP</w:t>
      </w:r>
      <w:r>
        <w:rPr>
          <w:lang w:eastAsia="zh-CN"/>
        </w:rPr>
        <w:tab/>
        <w:t>ARB/25A10/2</w:t>
      </w:r>
    </w:p>
    <w:p w:rsidR="00F24DDE" w:rsidRPr="00E4139D" w:rsidRDefault="00B94CCF" w:rsidP="00720A70">
      <w:pPr>
        <w:pStyle w:val="ResNo"/>
        <w:rPr>
          <w:lang w:eastAsia="zh-CN"/>
        </w:rPr>
      </w:pPr>
      <w:bookmarkStart w:id="11" w:name="_Toc328053082"/>
      <w:r w:rsidRPr="00510604">
        <w:rPr>
          <w:rFonts w:hint="eastAsia"/>
          <w:lang w:eastAsia="zh-CN"/>
        </w:rPr>
        <w:t>第</w:t>
      </w:r>
      <w:r w:rsidRPr="00501F21">
        <w:rPr>
          <w:rStyle w:val="href"/>
          <w:rFonts w:hint="eastAsia"/>
          <w:lang w:eastAsia="zh-CN"/>
        </w:rPr>
        <w:t>234</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11"/>
    </w:p>
    <w:p w:rsidR="00F24DDE" w:rsidRPr="00593CC2" w:rsidRDefault="00B94CCF" w:rsidP="00F24DDE">
      <w:pPr>
        <w:pStyle w:val="Restitle"/>
        <w:rPr>
          <w:rFonts w:ascii="Times New Roman" w:hAnsi="Times New Roman"/>
          <w:lang w:eastAsia="zh-CN"/>
        </w:rPr>
      </w:pPr>
      <w:bookmarkStart w:id="12" w:name="_Toc328053083"/>
      <w:r w:rsidRPr="00593CC2">
        <w:rPr>
          <w:rFonts w:ascii="Times New Roman" w:hint="eastAsia"/>
          <w:lang w:eastAsia="zh-CN"/>
        </w:rPr>
        <w:t>在</w:t>
      </w:r>
      <w:r>
        <w:rPr>
          <w:rFonts w:hint="eastAsia"/>
          <w:lang w:eastAsia="zh-CN"/>
        </w:rPr>
        <w:t>22</w:t>
      </w:r>
      <w:r w:rsidRPr="00274E84">
        <w:rPr>
          <w:lang w:eastAsia="zh-CN"/>
        </w:rPr>
        <w:t xml:space="preserve"> GHz</w:t>
      </w:r>
      <w:r>
        <w:rPr>
          <w:rFonts w:hint="eastAsia"/>
          <w:lang w:eastAsia="zh-CN"/>
        </w:rPr>
        <w:t>至</w:t>
      </w:r>
      <w:r>
        <w:rPr>
          <w:rFonts w:hint="eastAsia"/>
          <w:lang w:eastAsia="zh-CN"/>
        </w:rPr>
        <w:t>26 GHz</w:t>
      </w:r>
      <w:r>
        <w:rPr>
          <w:rFonts w:ascii="Times New Roman" w:hAnsi="Times New Roman" w:hint="eastAsia"/>
          <w:lang w:eastAsia="zh-CN"/>
        </w:rPr>
        <w:t>频段内增加</w:t>
      </w:r>
      <w:r w:rsidRPr="00593CC2">
        <w:rPr>
          <w:rFonts w:ascii="Times New Roman" w:hint="eastAsia"/>
          <w:lang w:eastAsia="zh-CN"/>
        </w:rPr>
        <w:t>卫星移动业务</w:t>
      </w:r>
      <w:r>
        <w:rPr>
          <w:rFonts w:ascii="Times New Roman"/>
          <w:lang w:eastAsia="zh-CN"/>
        </w:rPr>
        <w:br/>
      </w:r>
      <w:r>
        <w:rPr>
          <w:rFonts w:ascii="Times New Roman" w:hAnsi="Times New Roman" w:hint="eastAsia"/>
          <w:lang w:eastAsia="zh-CN"/>
        </w:rPr>
        <w:t>主要业务</w:t>
      </w:r>
      <w:r w:rsidRPr="00593CC2">
        <w:rPr>
          <w:rFonts w:ascii="Times New Roman" w:hint="eastAsia"/>
          <w:lang w:eastAsia="zh-CN"/>
        </w:rPr>
        <w:t>的划分</w:t>
      </w:r>
      <w:bookmarkEnd w:id="12"/>
    </w:p>
    <w:p w:rsidR="00A60DF6" w:rsidRDefault="00B94CCF" w:rsidP="001524C6">
      <w:pPr>
        <w:pStyle w:val="Reasons"/>
        <w:tabs>
          <w:tab w:val="left" w:pos="1100"/>
        </w:tabs>
        <w:rPr>
          <w:lang w:eastAsia="zh-CN"/>
        </w:rPr>
      </w:pPr>
      <w:r>
        <w:rPr>
          <w:b/>
          <w:lang w:eastAsia="zh-CN"/>
        </w:rPr>
        <w:t>理由：</w:t>
      </w:r>
      <w:r>
        <w:rPr>
          <w:lang w:eastAsia="zh-CN"/>
        </w:rPr>
        <w:tab/>
      </w:r>
      <w:r w:rsidR="001524C6">
        <w:rPr>
          <w:rFonts w:hint="eastAsia"/>
          <w:lang w:eastAsia="zh-CN"/>
        </w:rPr>
        <w:t>此决议没有存在的必要。</w:t>
      </w:r>
    </w:p>
    <w:p w:rsidR="00B94CCF" w:rsidRDefault="00B94CCF" w:rsidP="0032202E">
      <w:pPr>
        <w:pStyle w:val="Reasons"/>
        <w:rPr>
          <w:lang w:eastAsia="zh-CN"/>
        </w:rPr>
      </w:pPr>
    </w:p>
    <w:p w:rsidR="00B94CCF" w:rsidRDefault="00B94CCF">
      <w:pPr>
        <w:jc w:val="center"/>
      </w:pPr>
      <w:r>
        <w:t>______________</w:t>
      </w:r>
    </w:p>
    <w:p w:rsidR="00B94CCF" w:rsidRDefault="00B94CCF" w:rsidP="00B94CCF">
      <w:pPr>
        <w:pStyle w:val="Reasons"/>
        <w:tabs>
          <w:tab w:val="left" w:pos="1100"/>
        </w:tabs>
      </w:pPr>
    </w:p>
    <w:sectPr w:rsidR="00B94CC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E00A3" w:rsidRDefault="002E00A3" w:rsidP="002E00A3">
    <w:pPr>
      <w:pStyle w:val="Footer"/>
    </w:pPr>
    <w:r>
      <w:fldChar w:fldCharType="begin"/>
    </w:r>
    <w:r w:rsidRPr="0041348E">
      <w:rPr>
        <w:lang w:val="en-US"/>
      </w:rPr>
      <w:instrText xml:space="preserve"> FILENAME \p  \* MERGEFORMAT </w:instrText>
    </w:r>
    <w:r>
      <w:fldChar w:fldCharType="separate"/>
    </w:r>
    <w:r w:rsidR="002C07AE">
      <w:rPr>
        <w:lang w:val="en-US"/>
      </w:rPr>
      <w:t>P:\CHI</w:t>
    </w:r>
    <w:r w:rsidR="002C07AE">
      <w:rPr>
        <w:lang w:val="en-US" w:eastAsia="zh-CN"/>
      </w:rPr>
      <w:t>\ITU-R</w:t>
    </w:r>
    <w:r w:rsidR="002C07AE">
      <w:rPr>
        <w:lang w:val="en-US"/>
      </w:rPr>
      <w:t>\CONF-R\CMR15\000\025ADD10C.docx</w:t>
    </w:r>
    <w:r>
      <w:fldChar w:fldCharType="end"/>
    </w:r>
    <w:r>
      <w:t xml:space="preserve"> (386862)</w:t>
    </w:r>
    <w:r w:rsidRPr="0041348E">
      <w:rPr>
        <w:lang w:val="en-US"/>
      </w:rPr>
      <w:tab/>
    </w:r>
    <w:r>
      <w:fldChar w:fldCharType="begin"/>
    </w:r>
    <w:r>
      <w:instrText xml:space="preserve"> SAVEDATE \@ DD.MM.YY </w:instrText>
    </w:r>
    <w:r>
      <w:fldChar w:fldCharType="separate"/>
    </w:r>
    <w:r w:rsidR="002C07AE">
      <w:t>30.09.15</w:t>
    </w:r>
    <w:r>
      <w:fldChar w:fldCharType="end"/>
    </w:r>
    <w:r w:rsidRPr="0041348E">
      <w:rPr>
        <w:lang w:val="en-US"/>
      </w:rPr>
      <w:tab/>
    </w:r>
    <w:r>
      <w:rPr>
        <w:lang w:val="en-US"/>
      </w:rPr>
      <w:t>29.09.15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22E16" w:rsidRDefault="00C22E16" w:rsidP="00C22E16">
    <w:pPr>
      <w:pStyle w:val="Footer"/>
    </w:pPr>
    <w:r>
      <w:fldChar w:fldCharType="begin"/>
    </w:r>
    <w:r w:rsidRPr="0041348E">
      <w:rPr>
        <w:lang w:val="en-US"/>
      </w:rPr>
      <w:instrText xml:space="preserve"> FILENAME \p  \* MERGEFORMAT </w:instrText>
    </w:r>
    <w:r>
      <w:fldChar w:fldCharType="separate"/>
    </w:r>
    <w:r w:rsidR="002C07AE">
      <w:rPr>
        <w:lang w:val="en-US"/>
      </w:rPr>
      <w:t>P:\CHI</w:t>
    </w:r>
    <w:r w:rsidR="002C07AE">
      <w:rPr>
        <w:lang w:val="en-US" w:eastAsia="zh-CN"/>
      </w:rPr>
      <w:t>\ITU-R</w:t>
    </w:r>
    <w:r w:rsidR="002C07AE">
      <w:rPr>
        <w:lang w:val="en-US"/>
      </w:rPr>
      <w:t>\CONF-R\CMR15\000\025ADD10C.docx</w:t>
    </w:r>
    <w:r>
      <w:fldChar w:fldCharType="end"/>
    </w:r>
    <w:r>
      <w:t xml:space="preserve"> (386862)</w:t>
    </w:r>
    <w:r w:rsidRPr="0041348E">
      <w:rPr>
        <w:lang w:val="en-US"/>
      </w:rPr>
      <w:tab/>
    </w:r>
    <w:r>
      <w:fldChar w:fldCharType="begin"/>
    </w:r>
    <w:r>
      <w:instrText xml:space="preserve"> SAVEDATE \@ DD.MM.YY </w:instrText>
    </w:r>
    <w:r>
      <w:fldChar w:fldCharType="separate"/>
    </w:r>
    <w:r w:rsidR="002C07AE">
      <w:t>30.09.15</w:t>
    </w:r>
    <w:r>
      <w:fldChar w:fldCharType="end"/>
    </w:r>
    <w:r w:rsidRPr="0041348E">
      <w:rPr>
        <w:lang w:val="en-US"/>
      </w:rPr>
      <w:tab/>
    </w:r>
    <w:r>
      <w:rPr>
        <w:lang w:val="en-US"/>
      </w:rPr>
      <w:t>29.09.15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07A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691A"/>
    <w:rsid w:val="000264C2"/>
    <w:rsid w:val="000273B7"/>
    <w:rsid w:val="00037C90"/>
    <w:rsid w:val="000C09BA"/>
    <w:rsid w:val="000C1F1E"/>
    <w:rsid w:val="000C6AA7"/>
    <w:rsid w:val="000E26F6"/>
    <w:rsid w:val="00123C07"/>
    <w:rsid w:val="001451F1"/>
    <w:rsid w:val="001524C6"/>
    <w:rsid w:val="00166859"/>
    <w:rsid w:val="001765EC"/>
    <w:rsid w:val="001853E8"/>
    <w:rsid w:val="001A0C12"/>
    <w:rsid w:val="001B6360"/>
    <w:rsid w:val="001F4EA6"/>
    <w:rsid w:val="00214959"/>
    <w:rsid w:val="002260A6"/>
    <w:rsid w:val="002742B3"/>
    <w:rsid w:val="002A4C9C"/>
    <w:rsid w:val="002B509B"/>
    <w:rsid w:val="002C07AE"/>
    <w:rsid w:val="002E00A3"/>
    <w:rsid w:val="002E2A59"/>
    <w:rsid w:val="002E4507"/>
    <w:rsid w:val="00305254"/>
    <w:rsid w:val="003169D2"/>
    <w:rsid w:val="00330AB6"/>
    <w:rsid w:val="003B4BEF"/>
    <w:rsid w:val="003C6B45"/>
    <w:rsid w:val="0041282E"/>
    <w:rsid w:val="00437869"/>
    <w:rsid w:val="00465A34"/>
    <w:rsid w:val="004C4554"/>
    <w:rsid w:val="004D2DEC"/>
    <w:rsid w:val="004E736C"/>
    <w:rsid w:val="004F2BE6"/>
    <w:rsid w:val="00527E8A"/>
    <w:rsid w:val="00542E85"/>
    <w:rsid w:val="00550744"/>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20A7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51465"/>
    <w:rsid w:val="009657F9"/>
    <w:rsid w:val="0099037A"/>
    <w:rsid w:val="0099525B"/>
    <w:rsid w:val="009A08C8"/>
    <w:rsid w:val="009C72B7"/>
    <w:rsid w:val="00A0052C"/>
    <w:rsid w:val="00A31B14"/>
    <w:rsid w:val="00A323DC"/>
    <w:rsid w:val="00A466E6"/>
    <w:rsid w:val="00A60DF6"/>
    <w:rsid w:val="00A815BE"/>
    <w:rsid w:val="00AA5DA1"/>
    <w:rsid w:val="00AE369F"/>
    <w:rsid w:val="00B026CB"/>
    <w:rsid w:val="00B711CC"/>
    <w:rsid w:val="00B851D4"/>
    <w:rsid w:val="00B868FC"/>
    <w:rsid w:val="00B94CCF"/>
    <w:rsid w:val="00B95072"/>
    <w:rsid w:val="00BB26CD"/>
    <w:rsid w:val="00C07239"/>
    <w:rsid w:val="00C22E16"/>
    <w:rsid w:val="00C364B1"/>
    <w:rsid w:val="00C450CB"/>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0EE5D26-65EC-4F5E-A248-82DC64B6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2E00A3"/>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R15-WRC15-C-0025!A10!MSW-C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B63B5-2FC8-4BCD-BDE3-C895108C1F24}">
  <ds:schemaRefs>
    <ds:schemaRef ds:uri="http://schemas.openxmlformats.org/package/2006/metadata/core-properties"/>
    <ds:schemaRef ds:uri="996b2e75-67fd-4955-a3b0-5ab9934cb50b"/>
    <ds:schemaRef ds:uri="http://www.w3.org/XML/1998/namespace"/>
    <ds:schemaRef ds:uri="http://schemas.microsoft.com/office/2006/documentManagement/types"/>
    <ds:schemaRef ds:uri="http://purl.org/dc/dcmitype/"/>
    <ds:schemaRef ds:uri="32a1a8c5-2265-4ebc-b7a0-2071e2c5c9bb"/>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796</Words>
  <Characters>987</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R15-WRC15-C-0025!A10!MSW-C</vt:lpstr>
    </vt:vector>
  </TitlesOfParts>
  <Manager>General Secretariat - Pool</Manager>
  <Company>International Telecommunication Union (ITU)</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R15-WRC15-C-0025!A10!MSW-C</dc:title>
  <dc:subject>World Radiocommunication Conference - 2015</dc:subject>
  <dc:creator>Documents Proposals Manager (DPM)</dc:creator>
  <cp:keywords>DPM_v5.2015.9.16_prod</cp:keywords>
  <dc:description/>
  <cp:lastModifiedBy>Zheng, Bingyue</cp:lastModifiedBy>
  <cp:revision>8</cp:revision>
  <cp:lastPrinted>2015-09-30T09:54:00Z</cp:lastPrinted>
  <dcterms:created xsi:type="dcterms:W3CDTF">2015-09-30T09:49:00Z</dcterms:created>
  <dcterms:modified xsi:type="dcterms:W3CDTF">2015-09-30T09:55:00Z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