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87"/>
        <w:gridCol w:w="3344"/>
      </w:tblGrid>
      <w:tr w:rsidR="0090121B" w:rsidRPr="0002785D" w:rsidTr="00D16D11">
        <w:trPr>
          <w:cantSplit/>
        </w:trPr>
        <w:tc>
          <w:tcPr>
            <w:tcW w:w="6687" w:type="dxa"/>
          </w:tcPr>
          <w:p w:rsidR="0090121B" w:rsidRPr="00D16D1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344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0FBCF6C9" wp14:editId="5F5438F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D16D11">
        <w:trPr>
          <w:cantSplit/>
        </w:trPr>
        <w:tc>
          <w:tcPr>
            <w:tcW w:w="6687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344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D16D11">
        <w:trPr>
          <w:cantSplit/>
        </w:trPr>
        <w:tc>
          <w:tcPr>
            <w:tcW w:w="6687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344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D16D11">
        <w:trPr>
          <w:cantSplit/>
        </w:trPr>
        <w:tc>
          <w:tcPr>
            <w:tcW w:w="6687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344" w:type="dxa"/>
            <w:shd w:val="clear" w:color="auto" w:fill="auto"/>
          </w:tcPr>
          <w:p w:rsidR="0090121B" w:rsidRPr="00D16D1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D16D11">
              <w:rPr>
                <w:rFonts w:ascii="Verdana" w:eastAsia="SimSun" w:hAnsi="Verdana" w:cs="Traditional Arabic"/>
                <w:b/>
                <w:sz w:val="20"/>
              </w:rPr>
              <w:t>Addéndum 9 al</w:t>
            </w:r>
            <w:r w:rsidRPr="00D16D11">
              <w:rPr>
                <w:rFonts w:ascii="Verdana" w:eastAsia="SimSun" w:hAnsi="Verdana" w:cs="Traditional Arabic"/>
                <w:b/>
                <w:sz w:val="20"/>
              </w:rPr>
              <w:br/>
              <w:t>Documento 25(Add.19)</w:t>
            </w:r>
            <w:r w:rsidR="0090121B" w:rsidRPr="00D16D11">
              <w:rPr>
                <w:rFonts w:ascii="Verdana" w:hAnsi="Verdana"/>
                <w:b/>
                <w:sz w:val="20"/>
              </w:rPr>
              <w:t>-</w:t>
            </w:r>
            <w:r w:rsidRPr="00D16D1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02785D" w:rsidTr="00D16D11">
        <w:trPr>
          <w:cantSplit/>
        </w:trPr>
        <w:tc>
          <w:tcPr>
            <w:tcW w:w="6687" w:type="dxa"/>
            <w:shd w:val="clear" w:color="auto" w:fill="auto"/>
          </w:tcPr>
          <w:p w:rsidR="000A5B9A" w:rsidRPr="00D16D1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44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10 de septiembre de 2015</w:t>
            </w:r>
          </w:p>
        </w:tc>
      </w:tr>
      <w:tr w:rsidR="000A5B9A" w:rsidRPr="0002785D" w:rsidTr="00D16D11">
        <w:trPr>
          <w:cantSplit/>
        </w:trPr>
        <w:tc>
          <w:tcPr>
            <w:tcW w:w="6687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344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árabe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16D11" w:rsidRDefault="000A5B9A" w:rsidP="000A5B9A">
            <w:pPr>
              <w:pStyle w:val="Source"/>
            </w:pPr>
            <w:bookmarkStart w:id="2" w:name="dsource" w:colFirst="0" w:colLast="0"/>
            <w:r w:rsidRPr="00D16D11">
              <w:t>Propuestas Comunes de los Estados Árabes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16D11" w:rsidRDefault="00D16D11" w:rsidP="000A5B9A">
            <w:pPr>
              <w:pStyle w:val="Title1"/>
            </w:pPr>
            <w:bookmarkStart w:id="3" w:name="dtitle1" w:colFirst="0" w:colLast="0"/>
            <w:bookmarkEnd w:id="2"/>
            <w:r w:rsidRPr="00D16D11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16D1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7(I) del orden del día</w:t>
            </w:r>
          </w:p>
        </w:tc>
      </w:tr>
    </w:tbl>
    <w:bookmarkEnd w:id="5"/>
    <w:p w:rsidR="001C0E40" w:rsidRPr="009424B4" w:rsidRDefault="00DB2D79" w:rsidP="00512F4E">
      <w:r w:rsidRPr="00211854">
        <w:t>7</w:t>
      </w:r>
      <w:r w:rsidRPr="00211854">
        <w:tab/>
        <w:t xml:space="preserve">considerar posibles modificaciones y otras opciones como consecuencia de la </w:t>
      </w:r>
      <w:r w:rsidRPr="00211854">
        <w:t>Resolución</w:t>
      </w:r>
      <w:r>
        <w:t> </w:t>
      </w:r>
      <w:r w:rsidRPr="00211854">
        <w:t>86 (Rev. Marrakech, 2002) de la Conferencia de Plenipotenciarios: «Procedimientos de publicación anticipada, de coordinación, de notificación y de inscripción de asignaciones de frecuencias de redes de satélite», de conformidad con la Resolución</w:t>
      </w:r>
      <w:r w:rsidRPr="00211854">
        <w:t xml:space="preserve"> </w:t>
      </w:r>
      <w:r w:rsidRPr="00211854">
        <w:rPr>
          <w:b/>
          <w:bCs/>
        </w:rPr>
        <w:t>86 (Rev.CMR-07)</w:t>
      </w:r>
      <w:r w:rsidRPr="00211854">
        <w:t>, para facilitar la utilización racional, eficaz y económica de las frecuencias radioeléctricas y toda órbita asociada, incluida la órbita de los satélites geoestacionarios;</w:t>
      </w:r>
    </w:p>
    <w:p w:rsidR="001C0E40" w:rsidRPr="004C3D94" w:rsidRDefault="00DB2D79" w:rsidP="002478DC">
      <w:r>
        <w:t xml:space="preserve">7(I) </w:t>
      </w:r>
      <w:r>
        <w:tab/>
      </w:r>
      <w:r w:rsidRPr="004C3D94">
        <w:t>Tema I</w:t>
      </w:r>
      <w:r w:rsidRPr="00646F4E">
        <w:rPr>
          <w:lang w:val="es-ES"/>
        </w:rPr>
        <w:t xml:space="preserve"> – </w:t>
      </w:r>
      <w:r w:rsidRPr="004C3D94">
        <w:t>Posible método para resolver el problema de la noti</w:t>
      </w:r>
      <w:r w:rsidRPr="004C3D94">
        <w:t>ficación excesiva de redes de satélite</w:t>
      </w:r>
    </w:p>
    <w:p w:rsidR="00363A65" w:rsidRDefault="00363A65" w:rsidP="009144C9"/>
    <w:p w:rsidR="00D16D11" w:rsidRDefault="00D16D11" w:rsidP="00D16D11">
      <w:pPr>
        <w:pStyle w:val="Headingb"/>
      </w:pPr>
      <w:r>
        <w:t>Introducción</w:t>
      </w:r>
    </w:p>
    <w:p w:rsidR="00D16D11" w:rsidRDefault="00D16D11" w:rsidP="006F5DEB">
      <w:r>
        <w:t xml:space="preserve">Atendiendo a los resultados de los estudios realizados por el UIT-R, este tema se abordó desde dos perspectivas, la primera considera la notificación excesiva durante la fase de solicitud de coordinación y la segunda considera la notificación excesiva durante la fase de información para publicación anticipada (API). La segunda perspectiva se trató en el punto 7(C), con el apoyo de las </w:t>
      </w:r>
      <w:r w:rsidR="006F5DEB">
        <w:t>A</w:t>
      </w:r>
      <w:r>
        <w:t>dministraciones de los Estados Árabes a la supresión del periodo de seis meses entre la fecha de recepción de la Información para publicación anticipada (API) y la fecha de admisibilidad de la solicitud de coordinación asociada, como se recoge en el documento pertinente.</w:t>
      </w:r>
    </w:p>
    <w:p w:rsidR="00D16D11" w:rsidRDefault="00D16D11" w:rsidP="006F5DEB">
      <w:r>
        <w:t xml:space="preserve">En relación con la notificación excesiva durante la fase de solicitud de coordinación (CR/C), estas administraciones proponen no modificar el Reglamento de </w:t>
      </w:r>
      <w:r w:rsidR="006F5DEB">
        <w:t>R</w:t>
      </w:r>
      <w:r>
        <w:t>adiocomunicaciones</w:t>
      </w:r>
      <w:r w:rsidR="006F5DEB">
        <w:t>.</w:t>
      </w:r>
    </w:p>
    <w:p w:rsidR="00D16D11" w:rsidRDefault="00D16D11" w:rsidP="00D16D11">
      <w:pPr>
        <w:pStyle w:val="Headingb"/>
      </w:pPr>
      <w:r>
        <w:t>Propuesta</w:t>
      </w:r>
    </w:p>
    <w:p w:rsidR="00E4593C" w:rsidRPr="00D16D11" w:rsidRDefault="00DB2D79">
      <w:pPr>
        <w:pStyle w:val="Proposal"/>
        <w:rPr>
          <w:lang w:val="en-US"/>
        </w:rPr>
      </w:pPr>
      <w:r w:rsidRPr="00D16D11">
        <w:rPr>
          <w:u w:val="single"/>
          <w:lang w:val="en-US"/>
        </w:rPr>
        <w:t>NOC</w:t>
      </w:r>
      <w:r w:rsidRPr="00D16D11">
        <w:rPr>
          <w:lang w:val="en-US"/>
        </w:rPr>
        <w:tab/>
        <w:t>ARB/25A19A9/1</w:t>
      </w:r>
    </w:p>
    <w:p w:rsidR="00E4593C" w:rsidRPr="00D16D11" w:rsidRDefault="00D16D11" w:rsidP="00D16D11">
      <w:pPr>
        <w:jc w:val="center"/>
        <w:rPr>
          <w:rStyle w:val="Artdef"/>
        </w:rPr>
      </w:pPr>
      <w:r w:rsidRPr="00D16D11">
        <w:rPr>
          <w:rStyle w:val="Artdef"/>
        </w:rPr>
        <w:t>REGLAM</w:t>
      </w:r>
      <w:bookmarkStart w:id="6" w:name="_GoBack"/>
      <w:bookmarkEnd w:id="6"/>
      <w:r w:rsidRPr="00D16D11">
        <w:rPr>
          <w:rStyle w:val="Artdef"/>
        </w:rPr>
        <w:t>ENTO DE RADIOCOMUNICACIONES</w:t>
      </w:r>
    </w:p>
    <w:p w:rsidR="00D16D11" w:rsidRDefault="00D16D11" w:rsidP="0032202E">
      <w:pPr>
        <w:pStyle w:val="Reasons"/>
      </w:pPr>
    </w:p>
    <w:p w:rsidR="00D16D11" w:rsidRDefault="00D16D11">
      <w:pPr>
        <w:jc w:val="center"/>
      </w:pPr>
      <w:r>
        <w:t>______________</w:t>
      </w:r>
    </w:p>
    <w:sectPr w:rsidR="00D16D11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F5DEB" w:rsidRDefault="0077084A">
    <w:pPr>
      <w:ind w:right="360"/>
    </w:pPr>
    <w:r>
      <w:fldChar w:fldCharType="begin"/>
    </w:r>
    <w:r w:rsidRPr="006F5DEB">
      <w:instrText xml:space="preserve"> FILENAME \p  \* MERGEFORMAT </w:instrText>
    </w:r>
    <w:r>
      <w:fldChar w:fldCharType="separate"/>
    </w:r>
    <w:r w:rsidR="006F5DEB">
      <w:rPr>
        <w:noProof/>
      </w:rPr>
      <w:t>P:\ESP\ITU-R\CONF-R\CMR15\000\025ADD19ADD09S.docx</w:t>
    </w:r>
    <w:r>
      <w:fldChar w:fldCharType="end"/>
    </w:r>
    <w:r w:rsidRPr="006F5DEB">
      <w:tab/>
    </w:r>
    <w:r>
      <w:fldChar w:fldCharType="begin"/>
    </w:r>
    <w:r>
      <w:instrText xml:space="preserve"> SAVEDATE \@ DD.MM.YY </w:instrText>
    </w:r>
    <w:r>
      <w:fldChar w:fldCharType="separate"/>
    </w:r>
    <w:r w:rsidR="00DB2D79">
      <w:rPr>
        <w:noProof/>
      </w:rPr>
      <w:t>21.10.15</w:t>
    </w:r>
    <w:r>
      <w:fldChar w:fldCharType="end"/>
    </w:r>
    <w:r w:rsidRPr="006F5DEB">
      <w:tab/>
    </w:r>
    <w:r>
      <w:fldChar w:fldCharType="begin"/>
    </w:r>
    <w:r>
      <w:instrText xml:space="preserve"> PRINTDATE \@ DD.MM.YY </w:instrText>
    </w:r>
    <w:r>
      <w:fldChar w:fldCharType="separate"/>
    </w:r>
    <w:r w:rsidR="006F5DEB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6F5DEB">
      <w:rPr>
        <w:lang w:val="en-US"/>
      </w:rPr>
      <w:t>P:\ESP\ITU-R\CONF-R\CMR15\000\025ADD19ADD09S.docx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2D79">
      <w:t>21.10.15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F5DEB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B8775A" w:rsidRDefault="00B8775A" w:rsidP="00B8775A">
    <w:pPr>
      <w:pStyle w:val="Footer"/>
    </w:pPr>
    <w:fldSimple w:instr=" FILENAME \p  \* MERGEFORMAT ">
      <w:r w:rsidR="006F5DEB">
        <w:t>P:\ESP\ITU-R\CONF-R\CMR15\000\025ADD19ADD09S.docx</w:t>
      </w:r>
    </w:fldSimple>
    <w:r>
      <w:t xml:space="preserve"> (386946)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DB2D79">
      <w:t>21.10.15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6F5DEB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6D11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25(Add.19)(Add.9)-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6F5DEB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8775A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16D11"/>
    <w:rsid w:val="00D72A5D"/>
    <w:rsid w:val="00DB2D79"/>
    <w:rsid w:val="00DC629B"/>
    <w:rsid w:val="00E05BFF"/>
    <w:rsid w:val="00E262F1"/>
    <w:rsid w:val="00E3176A"/>
    <w:rsid w:val="00E4593C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39532A-3D86-4AF8-ADF9-F4FEBCDE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R15-WRC15-C-0025!A19-A9!MSW-S</DPM_x0020_File_x0020_name>
    <DPM_x0020_Author xmlns="32a1a8c5-2265-4ebc-b7a0-2071e2c5c9bb" xsi:nil="false">Documents Proposals Manager (DPM)</DPM_x0020_Author>
    <DPM_x0020_Version xmlns="32a1a8c5-2265-4ebc-b7a0-2071e2c5c9bb" xsi:nil="false">DPM_v5.2015.10.21_prod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921C-4B29-4827-88C9-EBDD26C87E56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32a1a8c5-2265-4ebc-b7a0-2071e2c5c9bb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F6D9C7-1137-480D-B4BA-FC5926AE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R15-WRC15-C-0025!A19-A9!MSW-S</vt:lpstr>
    </vt:vector>
  </TitlesOfParts>
  <Manager>Secretaría General - Pool</Manager>
  <Company>Unión Internacional de Telecomunicaciones (UIT)</Company>
  <LinksUpToDate>false</LinksUpToDate>
  <CharactersWithSpaces>1916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R15-WRC15-C-0025!A19-A9!MSW-S</dc:title>
  <dc:subject>Conferencia Mundial de Radiocomunicaciones - 2015</dc:subject>
  <dc:creator>Documents Proposals Manager (DPM)</dc:creator>
  <cp:keywords>DPM_v5.2015.10.21_prod</cp:keywords>
  <dc:description/>
  <cp:lastModifiedBy>Spanish</cp:lastModifiedBy>
  <cp:revision>5</cp:revision>
  <cp:lastPrinted>2015-10-21T20:27:00Z</cp:lastPrinted>
  <dcterms:created xsi:type="dcterms:W3CDTF">2015-10-21T20:26:00Z</dcterms:created>
  <dcterms:modified xsi:type="dcterms:W3CDTF">2015-10-21T20:32:00Z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