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096"/>
        <w:gridCol w:w="3935"/>
      </w:tblGrid>
      <w:tr w:rsidR="00622560" w:rsidTr="00706020">
        <w:trPr>
          <w:cantSplit/>
        </w:trPr>
        <w:tc>
          <w:tcPr>
            <w:tcW w:w="6096"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935"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0B420B2" wp14:editId="59572D8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706020">
        <w:trPr>
          <w:cantSplit/>
        </w:trPr>
        <w:tc>
          <w:tcPr>
            <w:tcW w:w="6096"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935"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706020">
        <w:trPr>
          <w:cantSplit/>
        </w:trPr>
        <w:tc>
          <w:tcPr>
            <w:tcW w:w="6096"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935"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706020">
        <w:trPr>
          <w:cantSplit/>
          <w:trHeight w:val="23"/>
        </w:trPr>
        <w:tc>
          <w:tcPr>
            <w:tcW w:w="6096"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935" w:type="dxa"/>
            <w:shd w:val="clear" w:color="auto" w:fill="auto"/>
          </w:tcPr>
          <w:p w:rsidR="00622560" w:rsidRPr="00622560" w:rsidRDefault="000273B7" w:rsidP="00A466E6">
            <w:pPr>
              <w:spacing w:before="0"/>
              <w:rPr>
                <w:rFonts w:ascii="Verdana" w:hAnsi="Verdana"/>
                <w:sz w:val="20"/>
                <w:lang w:eastAsia="zh-CN"/>
              </w:rPr>
            </w:pPr>
            <w:r>
              <w:rPr>
                <w:rFonts w:ascii="Verdana" w:hAnsi="Verdana" w:cs="Traditional Arabic"/>
                <w:b/>
                <w:sz w:val="20"/>
                <w:lang w:eastAsia="zh-CN"/>
              </w:rPr>
              <w:t>文件</w:t>
            </w:r>
            <w:r w:rsidR="00D7569B">
              <w:rPr>
                <w:rFonts w:ascii="Verdana" w:hAnsi="Verdana" w:cs="Traditional Arabic"/>
                <w:b/>
                <w:sz w:val="20"/>
                <w:lang w:eastAsia="zh-CN"/>
              </w:rPr>
              <w:t xml:space="preserve"> 25</w:t>
            </w:r>
            <w:r>
              <w:rPr>
                <w:rFonts w:ascii="Verdana" w:hAnsi="Verdana" w:cs="Traditional Arabic"/>
                <w:b/>
                <w:sz w:val="20"/>
                <w:lang w:eastAsia="zh-CN"/>
              </w:rPr>
              <w:t>(Add.2)(Add.2)</w:t>
            </w:r>
            <w:r w:rsidR="00706020">
              <w:rPr>
                <w:rFonts w:ascii="Verdana" w:hAnsi="Verdana" w:cs="Traditional Arabic"/>
                <w:b/>
                <w:sz w:val="20"/>
                <w:lang w:eastAsia="zh-CN"/>
              </w:rPr>
              <w:t>(Rev.</w:t>
            </w:r>
            <w:r w:rsidR="00706020">
              <w:rPr>
                <w:rFonts w:ascii="Verdana" w:hAnsi="Verdana" w:cs="Traditional Arabic"/>
                <w:b/>
                <w:sz w:val="20"/>
              </w:rPr>
              <w:t>1</w:t>
            </w:r>
            <w:r w:rsidR="00706020">
              <w:rPr>
                <w:rFonts w:ascii="Verdana" w:hAnsi="Verdana" w:cs="Traditional Arabic"/>
                <w:b/>
                <w:sz w:val="20"/>
                <w:lang w:eastAsia="zh-CN"/>
              </w:rPr>
              <w:t>)</w:t>
            </w:r>
            <w:r w:rsidR="00622560" w:rsidRPr="00622560">
              <w:rPr>
                <w:rFonts w:ascii="Verdana" w:hAnsi="Verdana"/>
                <w:b/>
                <w:sz w:val="20"/>
                <w:lang w:eastAsia="zh-CN"/>
              </w:rPr>
              <w:t>-</w:t>
            </w:r>
            <w:r w:rsidRPr="000273B7">
              <w:rPr>
                <w:rFonts w:ascii="Verdana" w:hAnsi="Verdana"/>
                <w:b/>
                <w:sz w:val="20"/>
                <w:lang w:eastAsia="zh-CN"/>
              </w:rPr>
              <w:t>C</w:t>
            </w:r>
          </w:p>
        </w:tc>
      </w:tr>
      <w:bookmarkEnd w:id="1"/>
      <w:bookmarkEnd w:id="3"/>
      <w:tr w:rsidR="008221A4" w:rsidRPr="00C324A8" w:rsidTr="00706020">
        <w:trPr>
          <w:cantSplit/>
          <w:trHeight w:val="23"/>
        </w:trPr>
        <w:tc>
          <w:tcPr>
            <w:tcW w:w="6096" w:type="dxa"/>
            <w:shd w:val="clear" w:color="auto" w:fill="auto"/>
          </w:tcPr>
          <w:p w:rsidR="008221A4" w:rsidRPr="00C324A8" w:rsidRDefault="008221A4" w:rsidP="00A466E6">
            <w:pPr>
              <w:spacing w:before="0"/>
              <w:rPr>
                <w:rFonts w:ascii="Verdana" w:hAnsi="Verdana"/>
                <w:b/>
                <w:smallCaps/>
                <w:sz w:val="20"/>
                <w:lang w:eastAsia="zh-CN"/>
              </w:rPr>
            </w:pPr>
          </w:p>
        </w:tc>
        <w:tc>
          <w:tcPr>
            <w:tcW w:w="3935" w:type="dxa"/>
            <w:shd w:val="clear" w:color="auto" w:fill="auto"/>
          </w:tcPr>
          <w:p w:rsidR="008221A4" w:rsidRPr="00622560" w:rsidRDefault="008221A4" w:rsidP="00E35BDF">
            <w:pPr>
              <w:spacing w:before="0"/>
              <w:rPr>
                <w:rFonts w:ascii="Verdana" w:hAnsi="Verdana"/>
                <w:sz w:val="20"/>
                <w:lang w:eastAsia="zh-CN"/>
              </w:rPr>
            </w:pPr>
            <w:r w:rsidRPr="000273B7">
              <w:rPr>
                <w:rFonts w:ascii="Verdana" w:hAnsi="Verdana"/>
                <w:b/>
                <w:bCs/>
                <w:sz w:val="20"/>
                <w:lang w:eastAsia="zh-CN"/>
              </w:rPr>
              <w:t>2015</w:t>
            </w:r>
            <w:r w:rsidRPr="000273B7">
              <w:rPr>
                <w:rFonts w:ascii="Verdana" w:hAnsi="Verdana"/>
                <w:b/>
                <w:bCs/>
                <w:sz w:val="20"/>
                <w:lang w:eastAsia="zh-CN"/>
              </w:rPr>
              <w:t>年</w:t>
            </w:r>
            <w:r w:rsidR="00E35BDF">
              <w:rPr>
                <w:rFonts w:ascii="Verdana" w:hAnsi="Verdana"/>
                <w:b/>
                <w:bCs/>
                <w:sz w:val="20"/>
                <w:lang w:eastAsia="zh-CN"/>
              </w:rPr>
              <w:t>10</w:t>
            </w:r>
            <w:r w:rsidRPr="000273B7">
              <w:rPr>
                <w:rFonts w:ascii="Verdana" w:hAnsi="Verdana"/>
                <w:b/>
                <w:bCs/>
                <w:sz w:val="20"/>
                <w:lang w:eastAsia="zh-CN"/>
              </w:rPr>
              <w:t>月</w:t>
            </w:r>
            <w:r w:rsidR="00E35BDF">
              <w:rPr>
                <w:rFonts w:ascii="Verdana" w:hAnsi="Verdana"/>
                <w:b/>
                <w:bCs/>
                <w:sz w:val="20"/>
                <w:lang w:eastAsia="zh-CN"/>
              </w:rPr>
              <w:t>9</w:t>
            </w:r>
            <w:r w:rsidRPr="000273B7">
              <w:rPr>
                <w:rFonts w:ascii="Verdana" w:hAnsi="Verdana"/>
                <w:b/>
                <w:bCs/>
                <w:sz w:val="20"/>
                <w:lang w:eastAsia="zh-CN"/>
              </w:rPr>
              <w:t>日</w:t>
            </w:r>
          </w:p>
        </w:tc>
      </w:tr>
      <w:tr w:rsidR="008221A4" w:rsidRPr="00C324A8" w:rsidTr="00706020">
        <w:trPr>
          <w:cantSplit/>
          <w:trHeight w:val="23"/>
        </w:trPr>
        <w:tc>
          <w:tcPr>
            <w:tcW w:w="6096" w:type="dxa"/>
          </w:tcPr>
          <w:p w:rsidR="008221A4" w:rsidRPr="00CB4E5A" w:rsidRDefault="008221A4" w:rsidP="00A466E6">
            <w:pPr>
              <w:spacing w:before="0"/>
              <w:rPr>
                <w:rFonts w:ascii="Verdana" w:hAnsi="Verdana"/>
                <w:b/>
                <w:bCs/>
                <w:sz w:val="20"/>
                <w:lang w:eastAsia="zh-CN"/>
              </w:rPr>
            </w:pPr>
          </w:p>
        </w:tc>
        <w:tc>
          <w:tcPr>
            <w:tcW w:w="3935" w:type="dxa"/>
          </w:tcPr>
          <w:p w:rsidR="008221A4" w:rsidRPr="00622560" w:rsidRDefault="008221A4" w:rsidP="00A466E6">
            <w:pPr>
              <w:spacing w:before="0"/>
              <w:rPr>
                <w:rFonts w:ascii="Verdana" w:hAnsi="Verdana"/>
                <w:sz w:val="20"/>
                <w:lang w:eastAsia="zh-CN"/>
              </w:rPr>
            </w:pPr>
            <w:r w:rsidRPr="000273B7">
              <w:rPr>
                <w:rFonts w:ascii="Verdana" w:hAnsi="Verdana"/>
                <w:b/>
                <w:bCs/>
                <w:sz w:val="20"/>
                <w:lang w:eastAsia="zh-CN"/>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lang w:eastAsia="zh-CN"/>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阿拉伯国家共同提案</w:t>
            </w:r>
          </w:p>
        </w:tc>
      </w:tr>
      <w:tr w:rsidR="008221A4">
        <w:trPr>
          <w:cantSplit/>
        </w:trPr>
        <w:tc>
          <w:tcPr>
            <w:tcW w:w="10031" w:type="dxa"/>
            <w:gridSpan w:val="2"/>
          </w:tcPr>
          <w:p w:rsidR="008221A4" w:rsidRDefault="003A58BC" w:rsidP="008221A4">
            <w:pPr>
              <w:pStyle w:val="Title1"/>
              <w:rPr>
                <w:lang w:eastAsia="zh-CN"/>
              </w:rPr>
            </w:pPr>
            <w:bookmarkStart w:id="5" w:name="dtitle1" w:colFirst="0" w:colLast="0"/>
            <w:bookmarkEnd w:id="4"/>
            <w:r w:rsidRPr="003A58BC">
              <w:rPr>
                <w:rFonts w:hint="eastAsia"/>
                <w:lang w:eastAsia="zh-CN"/>
              </w:rPr>
              <w:t>有关大会工作的提案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1.2</w:t>
            </w:r>
          </w:p>
        </w:tc>
      </w:tr>
    </w:tbl>
    <w:bookmarkEnd w:id="7"/>
    <w:p w:rsidR="008B60D0" w:rsidRDefault="00A455BE" w:rsidP="00D7569B">
      <w:pPr>
        <w:pStyle w:val="Normalaftertitle0"/>
        <w:rPr>
          <w:lang w:eastAsia="zh-CN"/>
        </w:rPr>
      </w:pPr>
      <w:r w:rsidRPr="009C33AA">
        <w:rPr>
          <w:lang w:eastAsia="zh-CN"/>
        </w:rPr>
        <w:t>1.2</w:t>
      </w:r>
      <w:r w:rsidRPr="009C33AA">
        <w:rPr>
          <w:lang w:eastAsia="zh-CN"/>
        </w:rPr>
        <w:tab/>
      </w:r>
      <w:r w:rsidRPr="009C33AA">
        <w:rPr>
          <w:rFonts w:hint="eastAsia"/>
          <w:lang w:eastAsia="zh-CN"/>
        </w:rPr>
        <w:t>审查</w:t>
      </w:r>
      <w:r w:rsidRPr="009C33AA">
        <w:rPr>
          <w:lang w:eastAsia="zh-CN"/>
        </w:rPr>
        <w:t>ITU-R</w:t>
      </w:r>
      <w:r w:rsidRPr="009C33AA">
        <w:rPr>
          <w:rFonts w:hint="eastAsia"/>
          <w:lang w:eastAsia="zh-CN"/>
        </w:rPr>
        <w:t>根据第</w:t>
      </w:r>
      <w:r w:rsidRPr="009C33AA">
        <w:rPr>
          <w:b/>
          <w:bCs/>
          <w:lang w:eastAsia="zh-CN"/>
        </w:rPr>
        <w:t>232</w:t>
      </w:r>
      <w:r w:rsidRPr="009C33AA">
        <w:rPr>
          <w:rFonts w:hint="eastAsia"/>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开展的、</w:t>
      </w:r>
      <w:r w:rsidRPr="009C33AA">
        <w:rPr>
          <w:rFonts w:hint="eastAsia"/>
          <w:lang w:eastAsia="zh-CN"/>
        </w:rPr>
        <w:t>有关</w:t>
      </w:r>
      <w:r w:rsidRPr="009C33AA">
        <w:rPr>
          <w:lang w:eastAsia="zh-CN"/>
        </w:rPr>
        <w:t>1</w:t>
      </w:r>
      <w:r w:rsidRPr="009C33AA">
        <w:rPr>
          <w:rFonts w:hint="eastAsia"/>
          <w:lang w:eastAsia="zh-CN"/>
        </w:rPr>
        <w:t>区移动业务（航空移动除外）使用</w:t>
      </w:r>
      <w:r w:rsidRPr="009C33AA">
        <w:rPr>
          <w:lang w:eastAsia="zh-CN"/>
        </w:rPr>
        <w:t>694-790 MHz</w:t>
      </w:r>
      <w:r w:rsidRPr="009C33AA">
        <w:rPr>
          <w:rFonts w:hint="eastAsia"/>
          <w:lang w:eastAsia="zh-CN"/>
        </w:rPr>
        <w:t>频段的研究结果并采取适当措施；</w:t>
      </w:r>
    </w:p>
    <w:p w:rsidR="00D7569B" w:rsidRPr="001E0140" w:rsidRDefault="00706020" w:rsidP="001E0140">
      <w:pPr>
        <w:pStyle w:val="Title4"/>
        <w:rPr>
          <w:b w:val="0"/>
          <w:bCs/>
          <w:lang w:eastAsia="zh-CN"/>
        </w:rPr>
      </w:pPr>
      <w:r w:rsidRPr="001E0140">
        <w:rPr>
          <w:rFonts w:hint="eastAsia"/>
          <w:b w:val="0"/>
          <w:bCs/>
          <w:lang w:eastAsia="zh-CN"/>
        </w:rPr>
        <w:t>问题</w:t>
      </w:r>
      <w:r w:rsidRPr="001E0140">
        <w:rPr>
          <w:rFonts w:hint="eastAsia"/>
          <w:b w:val="0"/>
          <w:bCs/>
          <w:lang w:eastAsia="zh-CN"/>
        </w:rPr>
        <w:t>B</w:t>
      </w:r>
    </w:p>
    <w:p w:rsidR="008610C4" w:rsidRPr="008C3F8B" w:rsidRDefault="008610C4" w:rsidP="002D01C4">
      <w:pPr>
        <w:pStyle w:val="Headingb"/>
        <w:rPr>
          <w:lang w:eastAsia="zh-CN"/>
        </w:rPr>
      </w:pPr>
      <w:r w:rsidRPr="008C3F8B">
        <w:rPr>
          <w:rFonts w:hint="eastAsia"/>
          <w:lang w:eastAsia="zh-CN"/>
        </w:rPr>
        <w:t>引言</w:t>
      </w:r>
    </w:p>
    <w:p w:rsidR="008610C4" w:rsidRPr="00AC6FC4" w:rsidRDefault="00384147" w:rsidP="00384147">
      <w:pPr>
        <w:ind w:firstLineChars="200" w:firstLine="480"/>
        <w:rPr>
          <w:lang w:eastAsia="zh-CN"/>
        </w:rPr>
      </w:pPr>
      <w:r>
        <w:rPr>
          <w:rFonts w:hint="eastAsia"/>
          <w:lang w:val="en-US" w:eastAsia="zh-CN"/>
        </w:rPr>
        <w:t>本议项寻求研究</w:t>
      </w:r>
      <w:r>
        <w:rPr>
          <w:lang w:eastAsia="zh-CN"/>
        </w:rPr>
        <w:t>790 MHz</w:t>
      </w:r>
      <w:r>
        <w:rPr>
          <w:rFonts w:hint="eastAsia"/>
          <w:lang w:eastAsia="zh-CN"/>
        </w:rPr>
        <w:t>以下频谱的移动和广播业务</w:t>
      </w:r>
      <w:r w:rsidR="007C0261">
        <w:rPr>
          <w:rFonts w:hint="eastAsia"/>
          <w:lang w:eastAsia="zh-CN"/>
        </w:rPr>
        <w:t>要求</w:t>
      </w:r>
      <w:r>
        <w:rPr>
          <w:rFonts w:hint="eastAsia"/>
          <w:lang w:eastAsia="zh-CN"/>
        </w:rPr>
        <w:t>，以及此频段内适当移动业务的信道安排，同时充分顾及与这些频段及其相邻频段内划分的其它主要业务的兼容性。</w:t>
      </w:r>
    </w:p>
    <w:p w:rsidR="008610C4" w:rsidRPr="008C3F8B" w:rsidRDefault="008610C4" w:rsidP="002D01C4">
      <w:pPr>
        <w:pStyle w:val="Headingb"/>
        <w:rPr>
          <w:lang w:eastAsia="zh-CN"/>
        </w:rPr>
      </w:pPr>
      <w:r w:rsidRPr="008C3F8B">
        <w:rPr>
          <w:rFonts w:hint="eastAsia"/>
          <w:lang w:eastAsia="zh-CN"/>
        </w:rPr>
        <w:t>提案</w:t>
      </w:r>
    </w:p>
    <w:p w:rsidR="008610C4" w:rsidRPr="00AC6FC4" w:rsidRDefault="00384147" w:rsidP="00384147">
      <w:pPr>
        <w:ind w:firstLineChars="200" w:firstLine="480"/>
        <w:rPr>
          <w:lang w:eastAsia="zh-CN"/>
        </w:rPr>
      </w:pPr>
      <w:r>
        <w:rPr>
          <w:rFonts w:hint="eastAsia"/>
          <w:lang w:eastAsia="zh-CN"/>
        </w:rPr>
        <w:t>根据</w:t>
      </w:r>
      <w:r w:rsidR="008610C4" w:rsidRPr="00AC6FC4">
        <w:rPr>
          <w:lang w:eastAsia="zh-CN"/>
        </w:rPr>
        <w:t>ITU-R</w:t>
      </w:r>
      <w:r>
        <w:rPr>
          <w:rFonts w:hint="eastAsia"/>
          <w:lang w:eastAsia="zh-CN"/>
        </w:rPr>
        <w:t>对问题</w:t>
      </w:r>
      <w:r>
        <w:rPr>
          <w:rFonts w:hint="eastAsia"/>
          <w:lang w:eastAsia="zh-CN"/>
        </w:rPr>
        <w:t>B</w:t>
      </w:r>
      <w:r>
        <w:rPr>
          <w:rFonts w:hint="eastAsia"/>
          <w:lang w:eastAsia="zh-CN"/>
        </w:rPr>
        <w:t>的研究成果，</w:t>
      </w:r>
      <w:r>
        <w:rPr>
          <w:lang w:eastAsia="zh-CN"/>
        </w:rPr>
        <w:t>阿拉伯国家主管部门</w:t>
      </w:r>
      <w:r>
        <w:rPr>
          <w:rFonts w:hint="eastAsia"/>
          <w:lang w:eastAsia="zh-CN"/>
        </w:rPr>
        <w:t>提出如下建议：</w:t>
      </w:r>
    </w:p>
    <w:p w:rsidR="008610C4" w:rsidRPr="00AC6FC4" w:rsidRDefault="008610C4" w:rsidP="00384147">
      <w:pPr>
        <w:pStyle w:val="enumlev1"/>
        <w:rPr>
          <w:lang w:eastAsia="zh-CN"/>
        </w:rPr>
      </w:pPr>
      <w:r w:rsidRPr="00AC6FC4">
        <w:rPr>
          <w:lang w:eastAsia="zh-CN"/>
        </w:rPr>
        <w:t>−</w:t>
      </w:r>
      <w:r w:rsidRPr="00AC6FC4">
        <w:rPr>
          <w:lang w:eastAsia="zh-CN"/>
        </w:rPr>
        <w:tab/>
      </w:r>
      <w:r w:rsidR="00384147">
        <w:rPr>
          <w:rFonts w:hint="eastAsia"/>
          <w:lang w:eastAsia="zh-CN"/>
        </w:rPr>
        <w:t>鉴于</w:t>
      </w:r>
      <w:r w:rsidR="00384147">
        <w:rPr>
          <w:rFonts w:hint="eastAsia"/>
          <w:lang w:eastAsia="zh-CN"/>
        </w:rPr>
        <w:t>GE06</w:t>
      </w:r>
      <w:r w:rsidR="00384147">
        <w:rPr>
          <w:rFonts w:hint="eastAsia"/>
          <w:lang w:eastAsia="zh-CN"/>
        </w:rPr>
        <w:t>协议包含保护邻国广播业务所需的必要条款，不修改《无线电规则》。</w:t>
      </w:r>
    </w:p>
    <w:p w:rsidR="008610C4" w:rsidRPr="00AC6FC4" w:rsidRDefault="008610C4" w:rsidP="007C0261">
      <w:pPr>
        <w:pStyle w:val="enumlev1"/>
        <w:rPr>
          <w:lang w:eastAsia="zh-CN"/>
        </w:rPr>
      </w:pPr>
      <w:r w:rsidRPr="00AC6FC4">
        <w:rPr>
          <w:lang w:eastAsia="zh-CN"/>
        </w:rPr>
        <w:t>−</w:t>
      </w:r>
      <w:r w:rsidRPr="00AC6FC4">
        <w:rPr>
          <w:lang w:eastAsia="zh-CN"/>
        </w:rPr>
        <w:tab/>
      </w:r>
      <w:r w:rsidR="00A455BE" w:rsidRPr="00A455BE">
        <w:rPr>
          <w:rFonts w:hint="eastAsia"/>
          <w:lang w:eastAsia="zh-CN"/>
        </w:rPr>
        <w:t>各主管部门可在本地、国家或区域层面上采取措施，以便确定一套用来保护</w:t>
      </w:r>
      <w:r w:rsidR="00A455BE" w:rsidRPr="00A455BE">
        <w:rPr>
          <w:rFonts w:hint="eastAsia"/>
          <w:lang w:eastAsia="zh-CN"/>
        </w:rPr>
        <w:t>694</w:t>
      </w:r>
      <w:r w:rsidR="007C0261">
        <w:rPr>
          <w:lang w:val="en-US" w:eastAsia="zh-CN"/>
        </w:rPr>
        <w:t> </w:t>
      </w:r>
      <w:r w:rsidR="00A455BE" w:rsidRPr="00A455BE">
        <w:rPr>
          <w:rFonts w:hint="eastAsia"/>
          <w:lang w:eastAsia="zh-CN"/>
        </w:rPr>
        <w:t>MHz</w:t>
      </w:r>
      <w:r w:rsidR="00A455BE" w:rsidRPr="00A455BE">
        <w:rPr>
          <w:rFonts w:hint="eastAsia"/>
          <w:lang w:eastAsia="zh-CN"/>
        </w:rPr>
        <w:t>以下</w:t>
      </w:r>
      <w:r w:rsidR="00A455BE" w:rsidRPr="00A455BE">
        <w:rPr>
          <w:rFonts w:hint="eastAsia"/>
          <w:lang w:eastAsia="zh-CN"/>
        </w:rPr>
        <w:t>BS</w:t>
      </w:r>
      <w:r w:rsidR="00A455BE" w:rsidRPr="00A455BE">
        <w:rPr>
          <w:rFonts w:hint="eastAsia"/>
          <w:lang w:eastAsia="zh-CN"/>
        </w:rPr>
        <w:t>的、适用于</w:t>
      </w:r>
      <w:r w:rsidR="00A455BE" w:rsidRPr="00A455BE">
        <w:rPr>
          <w:rFonts w:hint="eastAsia"/>
          <w:lang w:eastAsia="zh-CN"/>
        </w:rPr>
        <w:t>IMT UE</w:t>
      </w:r>
      <w:r w:rsidR="00A455BE" w:rsidRPr="00A455BE">
        <w:rPr>
          <w:rFonts w:hint="eastAsia"/>
          <w:lang w:eastAsia="zh-CN"/>
        </w:rPr>
        <w:t>的技术条件。</w:t>
      </w:r>
    </w:p>
    <w:p w:rsidR="00897C08" w:rsidRDefault="00A455BE">
      <w:pPr>
        <w:pStyle w:val="Proposal"/>
        <w:rPr>
          <w:lang w:eastAsia="zh-CN"/>
        </w:rPr>
      </w:pPr>
      <w:r>
        <w:rPr>
          <w:u w:val="single"/>
          <w:lang w:eastAsia="zh-CN"/>
        </w:rPr>
        <w:t>NOC</w:t>
      </w:r>
      <w:r>
        <w:rPr>
          <w:lang w:eastAsia="zh-CN"/>
        </w:rPr>
        <w:tab/>
        <w:t>ARB/25A2A2/1</w:t>
      </w:r>
    </w:p>
    <w:p w:rsidR="00FE3433" w:rsidRPr="00B96CA3" w:rsidRDefault="00384147" w:rsidP="00B96CA3">
      <w:pPr>
        <w:pStyle w:val="Volumetitle"/>
        <w:rPr>
          <w:b/>
          <w:bCs/>
          <w:lang w:eastAsia="zh-CN"/>
        </w:rPr>
      </w:pPr>
      <w:r w:rsidRPr="00B96CA3">
        <w:rPr>
          <w:rFonts w:hint="eastAsia"/>
          <w:b/>
          <w:bCs/>
          <w:lang w:eastAsia="zh-CN"/>
        </w:rPr>
        <w:t>《无线电规则》</w:t>
      </w:r>
    </w:p>
    <w:p w:rsidR="00FE3433" w:rsidRDefault="00A455BE" w:rsidP="00E35778">
      <w:pPr>
        <w:pStyle w:val="Reasons"/>
      </w:pPr>
      <w:r>
        <w:rPr>
          <w:b/>
          <w:lang w:eastAsia="zh-CN"/>
        </w:rPr>
        <w:t>理由：</w:t>
      </w:r>
      <w:r>
        <w:rPr>
          <w:lang w:eastAsia="zh-CN"/>
        </w:rPr>
        <w:tab/>
      </w:r>
      <w:r w:rsidR="00E35778" w:rsidRPr="00E35778">
        <w:rPr>
          <w:rFonts w:hint="eastAsia"/>
          <w:lang w:eastAsia="zh-CN"/>
        </w:rPr>
        <w:t>采用</w:t>
      </w:r>
      <w:r w:rsidR="00E35778" w:rsidRPr="00E35778">
        <w:rPr>
          <w:rFonts w:hint="eastAsia"/>
          <w:lang w:eastAsia="zh-CN"/>
        </w:rPr>
        <w:t>GE06</w:t>
      </w:r>
      <w:r w:rsidR="00E35778" w:rsidRPr="00E35778">
        <w:rPr>
          <w:rFonts w:hint="eastAsia"/>
          <w:lang w:eastAsia="zh-CN"/>
        </w:rPr>
        <w:t>协议的技术和规则条件可以保证保护</w:t>
      </w:r>
      <w:r w:rsidR="00E35778" w:rsidRPr="00E35778">
        <w:rPr>
          <w:rFonts w:hint="eastAsia"/>
          <w:lang w:eastAsia="zh-CN"/>
        </w:rPr>
        <w:t>694 MHz</w:t>
      </w:r>
      <w:r w:rsidR="00E35778" w:rsidRPr="00E35778">
        <w:rPr>
          <w:rFonts w:hint="eastAsia"/>
          <w:lang w:eastAsia="zh-CN"/>
        </w:rPr>
        <w:t>以下的</w:t>
      </w:r>
      <w:r w:rsidR="00E35778" w:rsidRPr="00E35778">
        <w:rPr>
          <w:rFonts w:hint="eastAsia"/>
          <w:lang w:eastAsia="zh-CN"/>
        </w:rPr>
        <w:t>BS</w:t>
      </w:r>
      <w:r w:rsidR="00E35778" w:rsidRPr="00E35778">
        <w:rPr>
          <w:rFonts w:hint="eastAsia"/>
          <w:lang w:eastAsia="zh-CN"/>
        </w:rPr>
        <w:t>免受</w:t>
      </w:r>
      <w:r w:rsidR="00E35778" w:rsidRPr="00E35778">
        <w:rPr>
          <w:rFonts w:hint="eastAsia"/>
          <w:lang w:eastAsia="zh-CN"/>
        </w:rPr>
        <w:t>MS</w:t>
      </w:r>
      <w:r w:rsidR="00E35778" w:rsidRPr="00E35778">
        <w:rPr>
          <w:rFonts w:hint="eastAsia"/>
          <w:lang w:eastAsia="zh-CN"/>
        </w:rPr>
        <w:t>的干扰。干扰案例研究显示，单入协调门限（即</w:t>
      </w:r>
      <w:r w:rsidR="00E35778" w:rsidRPr="00E35778">
        <w:rPr>
          <w:rFonts w:hint="eastAsia"/>
          <w:lang w:eastAsia="zh-CN"/>
        </w:rPr>
        <w:t>GE06</w:t>
      </w:r>
      <w:r w:rsidR="00E35778" w:rsidRPr="00E35778">
        <w:rPr>
          <w:rFonts w:hint="eastAsia"/>
          <w:lang w:eastAsia="zh-CN"/>
        </w:rPr>
        <w:t>触发值）足以保护</w:t>
      </w:r>
      <w:r w:rsidR="00E35778" w:rsidRPr="00E35778">
        <w:rPr>
          <w:rFonts w:hint="eastAsia"/>
          <w:lang w:eastAsia="zh-CN"/>
        </w:rPr>
        <w:t>BS</w:t>
      </w:r>
      <w:r w:rsidR="00E35778" w:rsidRPr="00E35778">
        <w:rPr>
          <w:rFonts w:hint="eastAsia"/>
          <w:lang w:eastAsia="zh-CN"/>
        </w:rPr>
        <w:t>免受累积干扰影响。为确定</w:t>
      </w:r>
      <w:r w:rsidR="00E35778" w:rsidRPr="00E35778">
        <w:rPr>
          <w:rFonts w:hint="eastAsia"/>
          <w:lang w:eastAsia="zh-CN"/>
        </w:rPr>
        <w:t>694 MHz</w:t>
      </w:r>
      <w:r w:rsidR="00E35778" w:rsidRPr="00E35778">
        <w:rPr>
          <w:rFonts w:hint="eastAsia"/>
          <w:lang w:eastAsia="zh-CN"/>
        </w:rPr>
        <w:t>以下</w:t>
      </w:r>
      <w:r w:rsidR="00E35778" w:rsidRPr="00E35778">
        <w:rPr>
          <w:rFonts w:hint="eastAsia"/>
          <w:lang w:eastAsia="zh-CN"/>
        </w:rPr>
        <w:t>IMT UE</w:t>
      </w:r>
      <w:r w:rsidR="00E35778" w:rsidRPr="00E35778">
        <w:rPr>
          <w:rFonts w:hint="eastAsia"/>
          <w:lang w:eastAsia="zh-CN"/>
        </w:rPr>
        <w:t>的</w:t>
      </w:r>
      <w:r w:rsidR="00E35778" w:rsidRPr="00E35778">
        <w:rPr>
          <w:rFonts w:hint="eastAsia"/>
          <w:lang w:eastAsia="zh-CN"/>
        </w:rPr>
        <w:t>OOBE</w:t>
      </w:r>
      <w:r w:rsidR="00E35778" w:rsidRPr="00E35778">
        <w:rPr>
          <w:rFonts w:hint="eastAsia"/>
          <w:lang w:eastAsia="zh-CN"/>
        </w:rPr>
        <w:t>限值，可酌情制定新的建议书。</w:t>
      </w:r>
      <w:r w:rsidR="00E35778" w:rsidRPr="00E35778">
        <w:rPr>
          <w:rFonts w:hint="eastAsia"/>
        </w:rPr>
        <w:t>为此，</w:t>
      </w:r>
      <w:r w:rsidR="00E35778" w:rsidRPr="00E35778">
        <w:rPr>
          <w:rFonts w:hint="eastAsia"/>
        </w:rPr>
        <w:t>WRC-15</w:t>
      </w:r>
      <w:r w:rsidR="00E35778" w:rsidRPr="00E35778">
        <w:rPr>
          <w:rFonts w:hint="eastAsia"/>
        </w:rPr>
        <w:t>应通过该方法。</w:t>
      </w:r>
    </w:p>
    <w:p w:rsidR="006C4B78" w:rsidRDefault="006C4B78">
      <w:pPr>
        <w:jc w:val="center"/>
      </w:pPr>
      <w:bookmarkStart w:id="8" w:name="_GoBack"/>
      <w:bookmarkEnd w:id="8"/>
      <w:r>
        <w:t>______________</w:t>
      </w:r>
    </w:p>
    <w:sectPr w:rsidR="006C4B78">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433" w:rsidRPr="00DA0469" w:rsidRDefault="00FE3433" w:rsidP="00FE3433">
    <w:pPr>
      <w:pStyle w:val="Footer"/>
      <w:rPr>
        <w:lang w:val="en-US"/>
      </w:rPr>
    </w:pPr>
    <w:r>
      <w:fldChar w:fldCharType="begin"/>
    </w:r>
    <w:r w:rsidRPr="00DA0469">
      <w:rPr>
        <w:lang w:val="en-US"/>
      </w:rPr>
      <w:instrText xml:space="preserve"> FILENAME \p \* MERGEFORMAT </w:instrText>
    </w:r>
    <w:r>
      <w:fldChar w:fldCharType="separate"/>
    </w:r>
    <w:r w:rsidR="00C65CF8">
      <w:rPr>
        <w:lang w:val="en-US"/>
      </w:rPr>
      <w:t>P:\CHI\ITU-R\CONF-R\CMR15\000\025ADD02ADD02C.docx</w:t>
    </w:r>
    <w:r>
      <w:fldChar w:fldCharType="end"/>
    </w:r>
    <w:r>
      <w:t xml:space="preserve"> (386850)</w:t>
    </w:r>
    <w:r w:rsidRPr="00DA0469">
      <w:rPr>
        <w:lang w:val="en-US"/>
      </w:rPr>
      <w:tab/>
    </w:r>
    <w:r>
      <w:fldChar w:fldCharType="begin"/>
    </w:r>
    <w:r>
      <w:instrText xml:space="preserve"> savedate \@ dd.MM.yy </w:instrText>
    </w:r>
    <w:r>
      <w:fldChar w:fldCharType="separate"/>
    </w:r>
    <w:r w:rsidR="001E0140">
      <w:t>09.10.15</w:t>
    </w:r>
    <w:r>
      <w:fldChar w:fldCharType="end"/>
    </w:r>
    <w:r w:rsidRPr="00DA0469">
      <w:rPr>
        <w:lang w:val="en-US"/>
      </w:rPr>
      <w:tab/>
    </w:r>
    <w:r>
      <w:fldChar w:fldCharType="begin"/>
    </w:r>
    <w:r>
      <w:instrText xml:space="preserve"> printdate \@ dd.MM.yy </w:instrText>
    </w:r>
    <w:r>
      <w:fldChar w:fldCharType="separate"/>
    </w:r>
    <w:r w:rsidR="00C65CF8">
      <w:t>01.10.15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6C4B78">
      <w:rPr>
        <w:lang w:val="en-US"/>
      </w:rPr>
      <w:t>P:\CHI\ITU-R\CONF-R\CMR15\000\025ADD02ADD02REV01C.docx</w:t>
    </w:r>
    <w:r>
      <w:fldChar w:fldCharType="end"/>
    </w:r>
    <w:r w:rsidR="00525275">
      <w:t xml:space="preserve"> (387979</w:t>
    </w:r>
    <w:r w:rsidR="00FE3433">
      <w:t>)</w:t>
    </w:r>
    <w:r w:rsidRPr="00DA0469">
      <w:rPr>
        <w:lang w:val="en-US"/>
      </w:rPr>
      <w:tab/>
    </w:r>
    <w:r>
      <w:fldChar w:fldCharType="begin"/>
    </w:r>
    <w:r>
      <w:instrText xml:space="preserve"> savedate \@ dd.MM.yy </w:instrText>
    </w:r>
    <w:r>
      <w:fldChar w:fldCharType="separate"/>
    </w:r>
    <w:r w:rsidR="001E0140">
      <w:t>09.10.15</w:t>
    </w:r>
    <w:r>
      <w:fldChar w:fldCharType="end"/>
    </w:r>
    <w:r w:rsidRPr="00DA0469">
      <w:rPr>
        <w:lang w:val="en-US"/>
      </w:rPr>
      <w:tab/>
    </w:r>
    <w:r>
      <w:fldChar w:fldCharType="begin"/>
    </w:r>
    <w:r>
      <w:instrText xml:space="preserve"> printdate \@ dd.MM.yy </w:instrText>
    </w:r>
    <w:r>
      <w:fldChar w:fldCharType="separate"/>
    </w:r>
    <w:r w:rsidR="00C65CF8">
      <w:t>01.10.15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E0140">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25(Add.2)(Add.2)-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0E3168"/>
    <w:rsid w:val="00123C07"/>
    <w:rsid w:val="00166859"/>
    <w:rsid w:val="001765EC"/>
    <w:rsid w:val="001853E8"/>
    <w:rsid w:val="001B6360"/>
    <w:rsid w:val="001E0140"/>
    <w:rsid w:val="001F40A8"/>
    <w:rsid w:val="001F4EA6"/>
    <w:rsid w:val="00214959"/>
    <w:rsid w:val="002260A6"/>
    <w:rsid w:val="002742B3"/>
    <w:rsid w:val="002A4C9C"/>
    <w:rsid w:val="002B509B"/>
    <w:rsid w:val="002D01C4"/>
    <w:rsid w:val="002E2A59"/>
    <w:rsid w:val="002E4507"/>
    <w:rsid w:val="00305254"/>
    <w:rsid w:val="0031159D"/>
    <w:rsid w:val="003169D2"/>
    <w:rsid w:val="00337D01"/>
    <w:rsid w:val="00384147"/>
    <w:rsid w:val="003A58BC"/>
    <w:rsid w:val="003B4BEF"/>
    <w:rsid w:val="003C6B45"/>
    <w:rsid w:val="0041282E"/>
    <w:rsid w:val="00437869"/>
    <w:rsid w:val="00447A72"/>
    <w:rsid w:val="00464A46"/>
    <w:rsid w:val="00465A34"/>
    <w:rsid w:val="004C4554"/>
    <w:rsid w:val="004D2DEC"/>
    <w:rsid w:val="004D38A7"/>
    <w:rsid w:val="004F2BE6"/>
    <w:rsid w:val="00525275"/>
    <w:rsid w:val="00527E8A"/>
    <w:rsid w:val="00542E85"/>
    <w:rsid w:val="00557307"/>
    <w:rsid w:val="00562479"/>
    <w:rsid w:val="00576849"/>
    <w:rsid w:val="005A0ACB"/>
    <w:rsid w:val="005E08D2"/>
    <w:rsid w:val="005E7FD8"/>
    <w:rsid w:val="00622560"/>
    <w:rsid w:val="00644391"/>
    <w:rsid w:val="00647712"/>
    <w:rsid w:val="00662E12"/>
    <w:rsid w:val="00691142"/>
    <w:rsid w:val="006B67CE"/>
    <w:rsid w:val="006C38ED"/>
    <w:rsid w:val="006C4B78"/>
    <w:rsid w:val="006E6182"/>
    <w:rsid w:val="006F3C60"/>
    <w:rsid w:val="00706020"/>
    <w:rsid w:val="00736415"/>
    <w:rsid w:val="00767478"/>
    <w:rsid w:val="00770D2A"/>
    <w:rsid w:val="007864F6"/>
    <w:rsid w:val="00795C99"/>
    <w:rsid w:val="007B7C4B"/>
    <w:rsid w:val="007C0261"/>
    <w:rsid w:val="007C770E"/>
    <w:rsid w:val="007F0FC5"/>
    <w:rsid w:val="007F5C36"/>
    <w:rsid w:val="008047DB"/>
    <w:rsid w:val="008129A9"/>
    <w:rsid w:val="008221A4"/>
    <w:rsid w:val="00824BD6"/>
    <w:rsid w:val="0083672D"/>
    <w:rsid w:val="00844734"/>
    <w:rsid w:val="008610C4"/>
    <w:rsid w:val="00865DFB"/>
    <w:rsid w:val="00897C08"/>
    <w:rsid w:val="008A7416"/>
    <w:rsid w:val="008B6852"/>
    <w:rsid w:val="008C26FF"/>
    <w:rsid w:val="008C3F8B"/>
    <w:rsid w:val="008D1D14"/>
    <w:rsid w:val="008D5495"/>
    <w:rsid w:val="008E1785"/>
    <w:rsid w:val="008E7127"/>
    <w:rsid w:val="008E7C8E"/>
    <w:rsid w:val="00912959"/>
    <w:rsid w:val="009657F9"/>
    <w:rsid w:val="00974593"/>
    <w:rsid w:val="0099525B"/>
    <w:rsid w:val="009C72B7"/>
    <w:rsid w:val="00A0052C"/>
    <w:rsid w:val="00A31B14"/>
    <w:rsid w:val="00A323DC"/>
    <w:rsid w:val="00A455BE"/>
    <w:rsid w:val="00A466E6"/>
    <w:rsid w:val="00A815BE"/>
    <w:rsid w:val="00AA5DA1"/>
    <w:rsid w:val="00AE369F"/>
    <w:rsid w:val="00B026CB"/>
    <w:rsid w:val="00B711CC"/>
    <w:rsid w:val="00B721A0"/>
    <w:rsid w:val="00B851D4"/>
    <w:rsid w:val="00B868FC"/>
    <w:rsid w:val="00B95072"/>
    <w:rsid w:val="00B96CA3"/>
    <w:rsid w:val="00BB26CD"/>
    <w:rsid w:val="00C07239"/>
    <w:rsid w:val="00C364B1"/>
    <w:rsid w:val="00C47D87"/>
    <w:rsid w:val="00C627F9"/>
    <w:rsid w:val="00C6584D"/>
    <w:rsid w:val="00C65CF8"/>
    <w:rsid w:val="00C929E0"/>
    <w:rsid w:val="00CB4E5A"/>
    <w:rsid w:val="00CC73D7"/>
    <w:rsid w:val="00CF0AD7"/>
    <w:rsid w:val="00CF0BE1"/>
    <w:rsid w:val="00D52A14"/>
    <w:rsid w:val="00D6206A"/>
    <w:rsid w:val="00D70487"/>
    <w:rsid w:val="00D74599"/>
    <w:rsid w:val="00D7569B"/>
    <w:rsid w:val="00DA0469"/>
    <w:rsid w:val="00DD13B7"/>
    <w:rsid w:val="00DF3B0C"/>
    <w:rsid w:val="00E14984"/>
    <w:rsid w:val="00E22A25"/>
    <w:rsid w:val="00E35778"/>
    <w:rsid w:val="00E35BDF"/>
    <w:rsid w:val="00E560F1"/>
    <w:rsid w:val="00E92319"/>
    <w:rsid w:val="00F837F4"/>
    <w:rsid w:val="00FC59C4"/>
    <w:rsid w:val="00FE3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7570AA-849C-47CF-80BB-FD844079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R15-WRC15-C-0025!A2-A2!MSW-C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87CC197-1EE2-484C-B13E-EEF878F620F3}">
  <ds:schemaRef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32a1a8c5-2265-4ebc-b7a0-2071e2c5c9bb"/>
    <ds:schemaRef ds:uri="http://purl.org/dc/dcmitype/"/>
    <ds:schemaRef ds:uri="http://schemas.microsoft.com/office/infopath/2007/PartnerControls"/>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436</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R15-WRC15-C-0025!A2-A2!MSW-C</vt:lpstr>
    </vt:vector>
  </TitlesOfParts>
  <Manager>General Secretariat - Pool</Manager>
  <Company>International Telecommunication Union (ITU)</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R15-WRC15-C-0025!A2-A2!MSW-C</dc:title>
  <dc:subject>World Radiocommunication Conference - 2015</dc:subject>
  <dc:creator>Documents Proposals Manager (DPM)</dc:creator>
  <cp:keywords>DPM_v5.2015.9.16_prod</cp:keywords>
  <dc:description/>
  <cp:lastModifiedBy>Cong, Cong</cp:lastModifiedBy>
  <cp:revision>22</cp:revision>
  <cp:lastPrinted>2015-10-01T09:25:00Z</cp:lastPrinted>
  <dcterms:created xsi:type="dcterms:W3CDTF">2015-10-09T13:52:00Z</dcterms:created>
  <dcterms:modified xsi:type="dcterms:W3CDTF">2015-10-12T07:40:00Z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